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form8-k.htm"/>
      <w:bookmarkStart w:id="1" w:name="ksform8k"/>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30327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March 27,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HARROW HEALTH,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920" w:type="dxa"/>
        <w:jc w:val="left"/>
        <w:tblInd w:w="0" w:type="dxa"/>
        <w:tblCellMar>
          <w:top w:w="0" w:type="dxa"/>
          <w:left w:w="0" w:type="dxa"/>
          <w:bottom w:w="0" w:type="dxa"/>
          <w:right w:w="0" w:type="dxa"/>
        </w:tblCellMar>
      </w:tblPr>
      <w:tblGrid>
        <w:gridCol w:w="2165"/>
        <w:gridCol w:w="60"/>
        <w:gridCol w:w="110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A_edei--EntityFileNumber_c20230327"/>
            <w:bookmarkEnd w:id="6"/>
            <w:r>
              <w:rPr>
                <w:rFonts w:ascii="Times New Roman;Times;Serif" w:hAnsi="Times New Roman;Times;Serif"/>
                <w:b/>
                <w:i w:val="false"/>
                <w:caps w:val="false"/>
                <w:smallCaps w:val="false"/>
                <w:sz w:val="20"/>
              </w:rPr>
              <w:t>001-35814</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102 Woodmont Blvd., </w:t>
            </w:r>
            <w:bookmarkStart w:id="9" w:name="xdx_904_edei--EntityAddressAddressLine2_"/>
            <w:bookmarkEnd w:id="9"/>
            <w:r>
              <w:rPr>
                <w:rFonts w:ascii="Times New Roman;Times;Serif" w:hAnsi="Times New Roman;Times;Serif"/>
                <w:b/>
                <w:i w:val="false"/>
                <w:caps w:val="false"/>
                <w:smallCaps w:val="false"/>
                <w:sz w:val="20"/>
              </w:rPr>
              <w:t>Suite 610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Nashville, </w:t>
            </w:r>
            <w:bookmarkStart w:id="11" w:name="xdx_904_edei--EntityAddressStateOrProvin"/>
            <w:bookmarkEnd w:id="11"/>
            <w:r>
              <w:rPr>
                <w:rFonts w:ascii="Times New Roman;Times;Serif" w:hAnsi="Times New Roman;Times;Serif"/>
                <w:b/>
                <w:i w:val="false"/>
                <w:caps w:val="false"/>
                <w:smallCaps w:val="false"/>
                <w:sz w:val="20"/>
              </w:rPr>
              <w:t>Tennessee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37205</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2_edei--CityAreaCode_c20230327__20"/>
      <w:bookmarkEnd w:id="13"/>
      <w:r>
        <w:rPr>
          <w:rFonts w:ascii="Times New Roman;Times;Serif" w:hAnsi="Times New Roman;Times;Serif"/>
          <w:b/>
          <w:i w:val="false"/>
          <w:caps w:val="false"/>
          <w:smallCaps w:val="false"/>
          <w:sz w:val="20"/>
        </w:rPr>
        <w:t xml:space="preserve">(615) </w:t>
      </w:r>
      <w:bookmarkStart w:id="14" w:name="xdx_90D_edei--LocalPhoneNumber_c20230327"/>
      <w:bookmarkEnd w:id="14"/>
      <w:r>
        <w:rPr>
          <w:rFonts w:ascii="Times New Roman;Times;Serif" w:hAnsi="Times New Roman;Times;Serif"/>
          <w:b/>
          <w:i w:val="false"/>
          <w:caps w:val="false"/>
          <w:smallCaps w:val="false"/>
          <w:sz w:val="20"/>
        </w:rPr>
        <w:t>733-4730</w:t>
      </w:r>
    </w:p>
    <w:p>
      <w:pPr>
        <w:pStyle w:val="TextBody"/>
        <w:spacing w:before="0" w:after="0"/>
        <w:ind w:left="0" w:right="0" w:hanging="0"/>
        <w:jc w:val="center"/>
        <w:rPr>
          <w:caps w:val="false"/>
          <w:smallCaps w:val="false"/>
        </w:rPr>
      </w:pPr>
      <w:r>
        <w:rPr>
          <w:caps w:val="false"/>
          <w:smallCaps w:val="false"/>
        </w:rPr>
        <w:t> </w:t>
      </w:r>
    </w:p>
    <w:tbl>
      <w:tblPr>
        <w:tblW w:w="5330" w:type="dxa"/>
        <w:jc w:val="left"/>
        <w:tblInd w:w="0" w:type="dxa"/>
        <w:tblCellMar>
          <w:top w:w="0" w:type="dxa"/>
          <w:left w:w="0" w:type="dxa"/>
          <w:bottom w:w="0" w:type="dxa"/>
          <w:right w:w="0" w:type="dxa"/>
        </w:tblCellMar>
      </w:tblPr>
      <w:tblGrid>
        <w:gridCol w:w="60"/>
        <w:gridCol w:w="5210"/>
        <w:gridCol w:w="60"/>
      </w:tblGrid>
      <w:tr>
        <w:trPr/>
        <w:tc>
          <w:tcPr>
            <w:tcW w:w="60" w:type="dxa"/>
            <w:tcBorders/>
            <w:shd w:fill="auto" w:val="clear"/>
            <w:vAlign w:val="center"/>
          </w:tcPr>
          <w:p>
            <w:pPr>
              <w:pStyle w:val="TableContents"/>
              <w:spacing w:before="0" w:after="283"/>
              <w:rPr/>
            </w:pPr>
            <w:r>
              <w:rPr/>
              <w:t> </w:t>
            </w:r>
          </w:p>
        </w:tc>
        <w:tc>
          <w:tcPr>
            <w:tcW w:w="521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15" w:name="xdx_900_edei--EntityInformationFormerLeg"/>
            <w:bookmarkEnd w:id="15"/>
            <w:r>
              <w:rPr>
                <w:rFonts w:ascii="Times New Roman;Times;Serif" w:hAnsi="Times New Roman;Times;Serif"/>
                <w:b/>
                <w:i w:val="false"/>
                <w:caps w:val="false"/>
                <w:smallCaps w:val="false"/>
                <w:sz w:val="20"/>
              </w:rPr>
              <w:t>Not Applicable</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385" w:type="dxa"/>
        <w:jc w:val="left"/>
        <w:tblInd w:w="0" w:type="dxa"/>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6" w:name="xdx_90D_edei--Security12bTitle_c20230327"/>
            <w:bookmarkEnd w:id="16"/>
            <w:r>
              <w:rPr>
                <w:rFonts w:ascii="Times New Roman;Times;Serif" w:hAnsi="Times New Roman;Times;Serif"/>
                <w:b w:val="false"/>
                <w:i w:val="false"/>
                <w:caps w:val="false"/>
                <w:smallCaps w:val="false"/>
                <w:sz w:val="20"/>
              </w:rPr>
              <w:t>Common Stock, $0.001 par value per share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7" w:name="xdx_904_edei--TradingSymbol_c20230327__2"/>
            <w:bookmarkEnd w:id="17"/>
            <w:r>
              <w:rPr>
                <w:rFonts w:ascii="Times New Roman;Times;Serif" w:hAnsi="Times New Roman;Times;Serif"/>
                <w:b w:val="false"/>
                <w:i w:val="false"/>
                <w:caps w:val="false"/>
                <w:smallCaps w:val="false"/>
                <w:sz w:val="20"/>
              </w:rPr>
              <w:t>HROW</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B_edei--SecurityExchangeName_c2023"/>
            <w:bookmarkEnd w:id="18"/>
            <w:r>
              <w:rPr>
                <w:rFonts w:ascii="Times New Roman;Times;Serif" w:hAnsi="Times New Roman;Times;Serif"/>
                <w:b w:val="false"/>
                <w:i w:val="false"/>
                <w:caps w:val="false"/>
                <w:smallCaps w:val="false"/>
                <w:sz w:val="20"/>
              </w:rPr>
              <w:t>The Nasdaq Stock Market LLC</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2_edei--Security12bTitle_c20230327"/>
            <w:bookmarkEnd w:id="19"/>
            <w:r>
              <w:rPr>
                <w:rFonts w:ascii="Times New Roman;Times;Serif" w:hAnsi="Times New Roman;Times;Serif"/>
                <w:b w:val="false"/>
                <w:i w:val="false"/>
                <w:caps w:val="false"/>
                <w:smallCaps w:val="false"/>
                <w:sz w:val="20"/>
              </w:rPr>
              <w:t>8.625% Senior Notes due 2026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B_edei--TradingSymbol_c20230327__2"/>
            <w:bookmarkEnd w:id="20"/>
            <w:r>
              <w:rPr>
                <w:rFonts w:ascii="Times New Roman;Times;Serif" w:hAnsi="Times New Roman;Times;Serif"/>
                <w:b w:val="false"/>
                <w:i w:val="false"/>
                <w:caps w:val="false"/>
                <w:smallCaps w:val="false"/>
                <w:sz w:val="20"/>
              </w:rPr>
              <w:t>HROWL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E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2" w:name="xdx_90C_edei--Security12bTitle_c20230327"/>
            <w:bookmarkEnd w:id="22"/>
            <w:r>
              <w:rPr>
                <w:rFonts w:ascii="Times New Roman;Times;Serif" w:hAnsi="Times New Roman;Times;Serif"/>
                <w:b w:val="false"/>
                <w:i w:val="false"/>
                <w:caps w:val="false"/>
                <w:smallCaps w:val="false"/>
                <w:sz w:val="20"/>
              </w:rPr>
              <w:t>11.875% Senior Notes due 2027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3" w:name="xdx_90A_edei--TradingSymbol_c20230327__2"/>
            <w:bookmarkEnd w:id="23"/>
            <w:r>
              <w:rPr>
                <w:rFonts w:ascii="Times New Roman;Times;Serif" w:hAnsi="Times New Roman;Times;Serif"/>
                <w:b w:val="false"/>
                <w:i w:val="false"/>
                <w:caps w:val="false"/>
                <w:smallCaps w:val="false"/>
                <w:sz w:val="20"/>
              </w:rPr>
              <w:t>HROWM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4" w:name="xdx_90A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25" w:name="xdx_901_edei--WrittenCommunications_c202"/>
            <w:bookmarkEnd w:id="2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26" w:name="xdx_907_edei--SolicitingMaterial_c202303"/>
            <w:bookmarkEnd w:id="2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27" w:name="xdx_906_edei--PreCommencementTenderOffer"/>
            <w:bookmarkEnd w:id="2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28" w:name="xdx_90A_edei--PreCommencementIssuerTende"/>
            <w:bookmarkEnd w:id="28"/>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9" w:name="xdx_90C_edei--EntityEmergingGrowthCompan"/>
      <w:bookmarkEnd w:id="29"/>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Harrow Health, Inc. and certain of its affiliates (together,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Credit and Guaranty Agreement (the “</w:t>
      </w:r>
      <w:r>
        <w:rPr>
          <w:rFonts w:ascii="Times New Roman;Times;Serif" w:hAnsi="Times New Roman;Times;Serif"/>
          <w:b w:val="false"/>
          <w:i w:val="false"/>
          <w:caps w:val="false"/>
          <w:smallCaps w:val="false"/>
          <w:sz w:val="20"/>
          <w:u w:val="single"/>
        </w:rPr>
        <w:t>Oaktree Loan</w:t>
      </w:r>
      <w:r>
        <w:rPr>
          <w:rFonts w:ascii="Times New Roman;Times;Serif" w:hAnsi="Times New Roman;Times;Serif"/>
          <w:b w:val="false"/>
          <w:i w:val="false"/>
          <w:caps w:val="false"/>
          <w:smallCaps w:val="false"/>
          <w:sz w:val="20"/>
        </w:rPr>
        <w:t>”) with Oaktree Fund Administration, LLC, as administrative agent for the lenders (together, “</w:t>
      </w:r>
      <w:r>
        <w:rPr>
          <w:rFonts w:ascii="Times New Roman;Times;Serif" w:hAnsi="Times New Roman;Times;Serif"/>
          <w:b w:val="false"/>
          <w:i w:val="false"/>
          <w:caps w:val="false"/>
          <w:smallCaps w:val="false"/>
          <w:sz w:val="20"/>
          <w:u w:val="single"/>
        </w:rPr>
        <w:t>Oaktree</w:t>
      </w:r>
      <w:r>
        <w:rPr>
          <w:rFonts w:ascii="Times New Roman;Times;Serif" w:hAnsi="Times New Roman;Times;Serif"/>
          <w:b w:val="false"/>
          <w:i w:val="false"/>
          <w:caps w:val="false"/>
          <w:smallCaps w:val="false"/>
          <w:sz w:val="20"/>
        </w:rPr>
        <w:t>”), providing for a loan to the Company with a principal amount of up to $100,000,000. Upon entering into the Oaktree Loan, the Company drew a principal amount of $65,000,000 from the Oaktree Loan and used the net proceeds to repay all amounts owed by the Company pursuant to the Loan and Security Agreement the Company previously entered into with B. Riley Commercial Capital, LLC on December 14, 2022 (the “</w:t>
      </w:r>
      <w:r>
        <w:rPr>
          <w:rFonts w:ascii="Times New Roman;Times;Serif" w:hAnsi="Times New Roman;Times;Serif"/>
          <w:b w:val="false"/>
          <w:i w:val="false"/>
          <w:caps w:val="false"/>
          <w:smallCaps w:val="false"/>
          <w:sz w:val="20"/>
          <w:u w:val="single"/>
        </w:rPr>
        <w:t>B. Riley Loan</w:t>
      </w:r>
      <w:r>
        <w:rPr>
          <w:rFonts w:ascii="Times New Roman;Times;Serif" w:hAnsi="Times New Roman;Times;Serif"/>
          <w:b w:val="false"/>
          <w:i w:val="false"/>
          <w:caps w:val="false"/>
          <w:smallCaps w:val="false"/>
          <w:sz w:val="20"/>
        </w:rPr>
        <w:t>”). No remaining amounts are due under the B. Riley Loan, and no exit or prepayment fees were paid as a result of the payoff of the B. Riley Loan. The additional principal loan amount of up to $35,000,000 available under the Oaktree Loan (the “</w:t>
      </w:r>
      <w:r>
        <w:rPr>
          <w:rFonts w:ascii="Times New Roman;Times;Serif" w:hAnsi="Times New Roman;Times;Serif"/>
          <w:b w:val="false"/>
          <w:i w:val="false"/>
          <w:caps w:val="false"/>
          <w:smallCaps w:val="false"/>
          <w:sz w:val="20"/>
          <w:u w:val="single"/>
        </w:rPr>
        <w:t>Tranche B</w:t>
      </w:r>
      <w:r>
        <w:rPr>
          <w:rFonts w:ascii="Times New Roman;Times;Serif" w:hAnsi="Times New Roman;Times;Serif"/>
          <w:b w:val="false"/>
          <w:i w:val="false"/>
          <w:caps w:val="false"/>
          <w:smallCaps w:val="false"/>
          <w:sz w:val="20"/>
        </w:rPr>
        <w:t>”) will be made available to the Company upon the commercialization of Triesence®.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is secured by nearly all of the assets, including intellectual property, of the Company and its material subsidiaries. The Oaktree Loan has a maturity date of January 19, 2026 and carries an interest rate equal to the Secured Overnight Financing Rate (SOFR) plus 6.5% per annum. From proceeds, the Company paid fees, expenses and an original issue discount charge equal to $3,100,000 as part of the closing of the Oaktree Loan. The Oaktree Loan requires interest-only payments through its term (there is no amortization of the principal amount or excess cash flow sweeps during the term of the Oaktree Loan).</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contains customary covenants, including financial covenants related to minimum cash balance and minimum revenues. For the year ended December 31, 2024, if the Company’s Total Leverage Ratio (as defined in the Oaktree Loan) is greater than or equal to five times, but less than seven times, the Company will be required to issue to Oaktree warrants to purchase 375,000 shares of the Company’s common stock, and if the Total Leverage Ratio is greater than or equal to seven times, the Company will be required to issue to Oaktree warrants to purchase an additional 375,000 shares of the Company’s common stock (equaling 750,000 shares in aggregate). If the Total Leverage Ratio for the year ended December 31, 2024 is less than five times, no warrants will be issued to Oaktree. Based on current projections, the Company does not expect to issue any warrants related to the Oaktree Loan.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Oaktree Loan does not purport to be complete and is qualified in its entirety by reference to the full text of the Oaktree Loan, which the Company expects to file as an exhibit to its Quarterly Report on Form 10-Q for the three months ended March 31, 2023.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information regarding the payoff of the B. Riley Loan set forth in Item 1.01 is incorporated herein by reference to the extent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information regarding the Oaktree Loan set forth in Item 1.01 is incorporated herein by reference to the extent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28, 2023, the Company issued a press release announcing the Oaktree Loan. A copy of the press release is attached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tbl>
      <w:tblPr>
        <w:tblW w:w="1060" w:type="dxa"/>
        <w:jc w:val="left"/>
        <w:tblInd w:w="0" w:type="dxa"/>
        <w:tblCellMar>
          <w:top w:w="0" w:type="dxa"/>
          <w:left w:w="0" w:type="dxa"/>
          <w:bottom w:w="0" w:type="dxa"/>
          <w:right w:w="0" w:type="dxa"/>
        </w:tblCellMar>
      </w:tblPr>
      <w:tblGrid>
        <w:gridCol w:w="260"/>
        <w:gridCol w:w="60"/>
        <w:gridCol w:w="740"/>
      </w:tblGrid>
      <w:tr>
        <w:trPr/>
        <w:tc>
          <w:tcPr>
            <w:tcW w:w="2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bl>
    <w:p>
      <w:pPr>
        <w:pStyle w:val="TextBody"/>
        <w:spacing w:before="0" w:after="0"/>
        <w:ind w:left="0" w:right="0" w:hanging="0"/>
        <w:rPr>
          <w:caps w:val="false"/>
          <w:smallCaps w:val="false"/>
        </w:rPr>
      </w:pPr>
      <w:r>
        <w:rPr>
          <w:caps w:val="false"/>
          <w:smallCaps w:val="false"/>
        </w:rPr>
        <w:t> </w:t>
      </w:r>
    </w:p>
    <w:tbl>
      <w:tblPr>
        <w:tblW w:w="6940" w:type="dxa"/>
        <w:jc w:val="left"/>
        <w:tblInd w:w="0" w:type="dxa"/>
        <w:tblCellMar>
          <w:top w:w="0" w:type="dxa"/>
          <w:left w:w="0" w:type="dxa"/>
          <w:bottom w:w="28" w:type="dxa"/>
          <w:right w:w="0" w:type="dxa"/>
        </w:tblCellMar>
      </w:tblPr>
      <w:tblGrid>
        <w:gridCol w:w="395"/>
        <w:gridCol w:w="60"/>
        <w:gridCol w:w="6485"/>
      </w:tblGrid>
      <w:tr>
        <w:trPr/>
        <w:tc>
          <w:tcPr>
            <w:tcW w:w="395"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85"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3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8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3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85" w:type="dxa"/>
            <w:tcBorders/>
            <w:shd w:fill="auto" w:val="clear"/>
            <w:tcMar>
              <w:bottom w:w="0" w:type="dxa"/>
            </w:tcMar>
            <w:vAlign w:val="center"/>
          </w:tcPr>
          <w:p>
            <w:pPr>
              <w:pStyle w:val="TableContents"/>
              <w:spacing w:before="0" w:after="283"/>
              <w:rPr/>
            </w:pPr>
            <w:hyperlink w:anchor="ex99-1.htm">
              <w:r>
                <w:rPr>
                  <w:rStyle w:val="InternetLink"/>
                  <w:rFonts w:ascii="Times New Roman;Times;Serif" w:hAnsi="Times New Roman;Times;Serif"/>
                  <w:b w:val="false"/>
                  <w:i w:val="false"/>
                  <w:caps w:val="false"/>
                  <w:smallCaps w:val="false"/>
                  <w:sz w:val="20"/>
                </w:rPr>
                <w:t>Harrow Health Press Release dated March 28, 2023</w:t>
              </w:r>
            </w:hyperlink>
          </w:p>
        </w:tc>
      </w:tr>
      <w:tr>
        <w:trPr/>
        <w:tc>
          <w:tcPr>
            <w:tcW w:w="3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367"/>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7"/>
        <w:jc w:val="both"/>
        <w:rPr>
          <w:caps w:val="false"/>
          <w:smallCaps w:val="false"/>
        </w:rPr>
      </w:pPr>
      <w:r>
        <w:rPr>
          <w:caps w:val="false"/>
          <w:smallCaps w:val="false"/>
        </w:rPr>
        <w:t> </w:t>
      </w:r>
    </w:p>
    <w:tbl>
      <w:tblPr>
        <w:tblW w:w="5139" w:type="dxa"/>
        <w:jc w:val="left"/>
        <w:tblInd w:w="0" w:type="dxa"/>
        <w:tblCellMar>
          <w:top w:w="0" w:type="dxa"/>
          <w:left w:w="0" w:type="dxa"/>
          <w:bottom w:w="0" w:type="dxa"/>
          <w:right w:w="0" w:type="dxa"/>
        </w:tblCellMar>
      </w:tblPr>
      <w:tblGrid>
        <w:gridCol w:w="2240"/>
        <w:gridCol w:w="655"/>
        <w:gridCol w:w="2244"/>
      </w:tblGrid>
      <w:tr>
        <w:trPr/>
        <w:tc>
          <w:tcPr>
            <w:tcW w:w="2240" w:type="dxa"/>
            <w:tcBorders/>
            <w:shd w:fill="auto" w:val="clear"/>
            <w:vAlign w:val="center"/>
          </w:tcPr>
          <w:p>
            <w:pPr>
              <w:pStyle w:val="TableContents"/>
              <w:spacing w:before="0" w:after="283"/>
              <w:jc w:val="left"/>
              <w:rPr/>
            </w:pPr>
            <w:r>
              <w:rPr/>
              <w:t> </w:t>
            </w:r>
          </w:p>
        </w:tc>
        <w:tc>
          <w:tcPr>
            <w:tcW w:w="2899" w:type="dxa"/>
            <w:gridSpan w:val="2"/>
            <w:tcBorders/>
            <w:shd w:fill="auto" w:val="clear"/>
            <w:vAlign w:val="center"/>
          </w:tcPr>
          <w:p>
            <w:pPr>
              <w:pStyle w:val="TableContents"/>
              <w:spacing w:before="0" w:after="283"/>
              <w:rPr>
                <w:b/>
              </w:rPr>
            </w:pPr>
            <w:r>
              <w:rPr>
                <w:b/>
              </w:rPr>
              <w:t>HARROW HEALTH, INC.</w:t>
            </w:r>
          </w:p>
        </w:tc>
      </w:tr>
      <w:tr>
        <w:trPr/>
        <w:tc>
          <w:tcPr>
            <w:tcW w:w="2240" w:type="dxa"/>
            <w:tcBorders/>
            <w:shd w:fill="auto" w:val="clear"/>
            <w:vAlign w:val="center"/>
          </w:tcPr>
          <w:p>
            <w:pPr>
              <w:pStyle w:val="TableContents"/>
              <w:spacing w:before="0" w:after="283"/>
              <w:rPr/>
            </w:pPr>
            <w:r>
              <w:rPr/>
              <w:t> </w:t>
            </w:r>
          </w:p>
        </w:tc>
        <w:tc>
          <w:tcPr>
            <w:tcW w:w="655" w:type="dxa"/>
            <w:tcBorders/>
            <w:shd w:fill="auto" w:val="clear"/>
            <w:vAlign w:val="center"/>
          </w:tcPr>
          <w:p>
            <w:pPr>
              <w:pStyle w:val="TableContents"/>
              <w:spacing w:before="0" w:after="283"/>
              <w:jc w:val="right"/>
              <w:rPr/>
            </w:pPr>
            <w:r>
              <w:rPr/>
              <w:t> </w:t>
            </w:r>
          </w:p>
        </w:tc>
        <w:tc>
          <w:tcPr>
            <w:tcW w:w="2244" w:type="dxa"/>
            <w:tcBorders/>
            <w:shd w:fill="auto" w:val="clear"/>
            <w:vAlign w:val="center"/>
          </w:tcPr>
          <w:p>
            <w:pPr>
              <w:pStyle w:val="TableContents"/>
              <w:spacing w:before="0" w:after="283"/>
              <w:jc w:val="left"/>
              <w:rPr/>
            </w:pPr>
            <w:r>
              <w:rPr/>
              <w:t> </w:t>
            </w:r>
          </w:p>
        </w:tc>
      </w:tr>
      <w:tr>
        <w:trPr/>
        <w:tc>
          <w:tcPr>
            <w:tcW w:w="2240" w:type="dxa"/>
            <w:tcBorders/>
            <w:shd w:fill="auto" w:val="clear"/>
            <w:vAlign w:val="center"/>
          </w:tcPr>
          <w:p>
            <w:pPr>
              <w:pStyle w:val="TableContents"/>
              <w:spacing w:before="0" w:after="283"/>
              <w:rPr/>
            </w:pPr>
            <w:r>
              <w:rPr/>
              <w:t>Dated: March 28, 2023</w:t>
            </w:r>
          </w:p>
        </w:tc>
        <w:tc>
          <w:tcPr>
            <w:tcW w:w="655" w:type="dxa"/>
            <w:tcBorders/>
            <w:shd w:fill="auto" w:val="clear"/>
            <w:vAlign w:val="center"/>
          </w:tcPr>
          <w:p>
            <w:pPr>
              <w:pStyle w:val="TableContents"/>
              <w:spacing w:before="0" w:after="283"/>
              <w:jc w:val="left"/>
              <w:rPr/>
            </w:pPr>
            <w:r>
              <w:rPr/>
              <w:t>By:</w:t>
            </w:r>
          </w:p>
        </w:tc>
        <w:tc>
          <w:tcPr>
            <w:tcW w:w="2244" w:type="dxa"/>
            <w:tcBorders>
              <w:bottom w:val="single" w:sz="12" w:space="0" w:color="000000"/>
            </w:tcBorders>
            <w:shd w:fill="auto" w:val="clear"/>
            <w:tcMar>
              <w:bottom w:w="28" w:type="dxa"/>
            </w:tcMar>
            <w:vAlign w:val="center"/>
          </w:tcPr>
          <w:p>
            <w:pPr>
              <w:pStyle w:val="TableContents"/>
              <w:spacing w:before="0" w:after="283"/>
              <w:jc w:val="left"/>
              <w:rPr>
                <w:i/>
              </w:rPr>
            </w:pPr>
            <w:r>
              <w:rPr>
                <w:i/>
              </w:rPr>
              <w:t>/s/ Andrew R. Boll</w:t>
            </w:r>
          </w:p>
        </w:tc>
      </w:tr>
      <w:tr>
        <w:trPr/>
        <w:tc>
          <w:tcPr>
            <w:tcW w:w="2240" w:type="dxa"/>
            <w:tcBorders/>
            <w:shd w:fill="auto" w:val="clear"/>
            <w:vAlign w:val="center"/>
          </w:tcPr>
          <w:p>
            <w:pPr>
              <w:pStyle w:val="TableContents"/>
              <w:spacing w:before="0" w:after="283"/>
              <w:jc w:val="left"/>
              <w:rPr/>
            </w:pPr>
            <w:r>
              <w:rPr/>
              <w:t> </w:t>
            </w:r>
          </w:p>
        </w:tc>
        <w:tc>
          <w:tcPr>
            <w:tcW w:w="655" w:type="dxa"/>
            <w:tcBorders/>
            <w:shd w:fill="auto" w:val="clear"/>
            <w:vAlign w:val="center"/>
          </w:tcPr>
          <w:p>
            <w:pPr>
              <w:pStyle w:val="TableContents"/>
              <w:spacing w:before="0" w:after="283"/>
              <w:jc w:val="left"/>
              <w:rPr/>
            </w:pPr>
            <w:r>
              <w:rPr/>
              <w:t>Name:</w:t>
            </w:r>
          </w:p>
        </w:tc>
        <w:tc>
          <w:tcPr>
            <w:tcW w:w="2244" w:type="dxa"/>
            <w:tcBorders/>
            <w:shd w:fill="auto" w:val="clear"/>
            <w:vAlign w:val="center"/>
          </w:tcPr>
          <w:p>
            <w:pPr>
              <w:pStyle w:val="TableContents"/>
              <w:spacing w:before="0" w:after="283"/>
              <w:jc w:val="left"/>
              <w:rPr/>
            </w:pPr>
            <w:r>
              <w:rPr/>
              <w:t>Andrew R. Boll</w:t>
            </w:r>
          </w:p>
        </w:tc>
      </w:tr>
      <w:tr>
        <w:trPr/>
        <w:tc>
          <w:tcPr>
            <w:tcW w:w="2240" w:type="dxa"/>
            <w:tcBorders/>
            <w:shd w:fill="auto" w:val="clear"/>
            <w:vAlign w:val="center"/>
          </w:tcPr>
          <w:p>
            <w:pPr>
              <w:pStyle w:val="TableContents"/>
              <w:spacing w:before="0" w:after="283"/>
              <w:jc w:val="left"/>
              <w:rPr/>
            </w:pPr>
            <w:r>
              <w:rPr/>
              <w:t> </w:t>
            </w:r>
          </w:p>
        </w:tc>
        <w:tc>
          <w:tcPr>
            <w:tcW w:w="655" w:type="dxa"/>
            <w:tcBorders/>
            <w:shd w:fill="auto" w:val="clear"/>
            <w:vAlign w:val="center"/>
          </w:tcPr>
          <w:p>
            <w:pPr>
              <w:pStyle w:val="TableContents"/>
              <w:spacing w:before="0" w:after="283"/>
              <w:jc w:val="left"/>
              <w:rPr/>
            </w:pPr>
            <w:r>
              <w:rPr/>
              <w:t>Title:</w:t>
            </w:r>
          </w:p>
        </w:tc>
        <w:tc>
          <w:tcPr>
            <w:tcW w:w="2244" w:type="dxa"/>
            <w:tcBorders/>
            <w:shd w:fill="auto" w:val="clear"/>
            <w:vAlign w:val="center"/>
          </w:tcPr>
          <w:p>
            <w:pPr>
              <w:pStyle w:val="TableContents"/>
              <w:spacing w:before="0" w:after="283"/>
              <w:jc w:val="left"/>
              <w:rPr/>
            </w:pPr>
            <w:r>
              <w:rPr/>
              <w:t>Chief Financial Officer</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681"/>
        <w:rPr>
          <w:caps w:val="false"/>
          <w:smallCaps w:val="false"/>
        </w:rPr>
      </w:pPr>
      <w:r>
        <w:rPr>
          <w:caps w:val="false"/>
          <w:smallCaps w:val="false"/>
        </w:rPr>
        <w:t> </w:t>
      </w:r>
      <w:r>
        <w:br w:type="page"/>
      </w:r>
    </w:p>
    <w:p>
      <w:pPr>
        <w:pStyle w:val="TextBody"/>
        <w:spacing w:before="0" w:after="0"/>
        <w:ind w:left="0" w:right="0" w:hanging="0"/>
        <w:rPr>
          <w:caps w:val="false"/>
          <w:smallCaps w:val="false"/>
        </w:rPr>
      </w:pPr>
      <w:bookmarkStart w:id="30" w:name="ex99-1.htm"/>
      <w:bookmarkStart w:id="31" w:name="ksex991"/>
      <w:bookmarkEnd w:id="30"/>
      <w:bookmarkEnd w:id="31"/>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caps w:val="false"/>
          <w:smallCaps w:val="false"/>
        </w:rPr>
      </w:pPr>
      <w:r>
        <w:rPr>
          <w:caps w:val="false"/>
          <w:smallCaps w:val="false"/>
        </w:rPr>
        <w:drawing>
          <wp:inline distT="0" distB="0" distL="0" distR="0">
            <wp:extent cx="19050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000125"/>
                    </a:xfrm>
                    <a:prstGeom prst="rect">
                      <a:avLst/>
                    </a:prstGeom>
                  </pic:spPr>
                </pic:pic>
              </a:graphicData>
            </a:graphic>
          </wp:inline>
        </w:drawing>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Announces New $100 Million Secured Credit Facility with Oaktree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NASHVILLE, Tenn., March 28, 2023</w:t>
      </w:r>
      <w:r>
        <w:rPr>
          <w:rFonts w:ascii="Times New Roman;Times;Serif" w:hAnsi="Times New Roman;Times;Serif"/>
          <w:b w:val="false"/>
          <w:i w:val="false"/>
          <w:caps w:val="false"/>
          <w:smallCaps w:val="false"/>
          <w:sz w:val="20"/>
        </w:rPr>
        <w:t xml:space="preserve"> – Harrow (Nasdaq: HROW), a leading U.S. eyecare pharmaceutical company, today announced that it has entered into a $100 million secured credit financing agreement with funds managed by Oaktree Capital Management, L.P. (“Oaktree”). The interest-only secured credit facility carries an interest rate equal to the three-month secured overnight financing rate (SOFR) plus 6.50%, includes flexible terms and covenants, and is expected to mature in approximately three years. A portion of the proceeds from the new facility was used to pay off indebtedness under Harrow’s existing secured loan with an affiliate of B. Riley Financial, Inc., with the remainder to be used for future milestone payments related to a recently announced acquisition and for general corporate purposes.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commenting on the announcement, Mark L. Baum, Chairman and Chief Executive Officer of Harrow, said, “We are pleased to enter into this credit facility, which strengthens our balance sheet and provides us the flexibility needed to pursue additional acquisitions – in alignment with our growth strategy. We are grateful for the confidence and support of Oaktree, and we look forward to working closely with them as a strong financial partner.”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partner with Harrow during this transformational period in its history – marked by the recent FDA approval, J-Code assignment, pass-through reimbursement status approval, and upcoming launch of IHEEZO™ as well as their other recent product acquisitions,” said Steve DeNelsky, Managing Director, Life Sciences Lending at Oaktree. “We are enthusiastic about Harrow’s growth strategy and believe this extension of capital supports the Harrow leadership team as it continues to solidify its position as a leading U.S. eyecare pharmaceutical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Oaktree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is a leader among global investment managers specializing in alternative investments, with $170 billion in assets under management as of December 31, 2022. The firm emphasizes an opportunistic, value-oriented and risk-controlled approach to investments in credit, private equity, real assets and listed equities. The firm has over 1,050 employees and offices in 20 cities worldwide. For additional information, please visit Oaktree’s website at </w:t>
      </w:r>
      <w:r>
        <w:rPr>
          <w:rFonts w:ascii="Times New Roman;Times;Serif" w:hAnsi="Times New Roman;Times;Serif"/>
          <w:b w:val="false"/>
          <w:i w:val="false"/>
          <w:caps w:val="false"/>
          <w:smallCaps w:val="false"/>
          <w:sz w:val="20"/>
          <w:u w:val="single"/>
        </w:rPr>
        <w:t>oaktreecapital.com</w:t>
      </w:r>
      <w:r>
        <w:rPr>
          <w:rFonts w:ascii="Times New Roman;Times;Serif" w:hAnsi="Times New Roman;Times;Serif"/>
          <w:b w:val="false"/>
          <w:i w:val="false"/>
          <w:caps w:val="false"/>
          <w:smallCaps w:val="false"/>
          <w:sz w:val="20"/>
        </w:rPr>
        <w: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Harrow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(Nasdaq: HROW) is a leading U.S. eyecare pharmaceutical company engaged in the discovery, development, and commercialization of innovative ophthalmic prescription therapies that are accessible and affordable. Harrow owns U.S. commercial rights to ten FDA-approved ophthalmic pharmaceutical products. Harrow also owns and operates ImprimisRx, the leading U.S. ophthalmic-focused pharmaceutical compounding business, which also serves as a mail-order pharmacy licensed to ship prescription medications in all 50 states. Harrow has non-controlling equity positions in </w:t>
      </w:r>
      <w:r>
        <w:rPr>
          <w:rFonts w:ascii="Times New Roman;Times;Serif" w:hAnsi="Times New Roman;Times;Serif"/>
          <w:b w:val="false"/>
          <w:i w:val="false"/>
          <w:caps w:val="false"/>
          <w:smallCaps w:val="false"/>
          <w:sz w:val="20"/>
          <w:u w:val="single"/>
        </w:rPr>
        <w:t>Surface Ophthalmics, Inc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Melt Pharmaceuticals, Inc</w:t>
      </w:r>
      <w:r>
        <w:rPr>
          <w:rFonts w:ascii="Times New Roman;Times;Serif" w:hAnsi="Times New Roman;Times;Serif"/>
          <w:b w:val="false"/>
          <w:i w:val="false"/>
          <w:caps w:val="false"/>
          <w:smallCaps w:val="false"/>
          <w:sz w:val="20"/>
        </w:rPr>
        <w:t>., companies that began as subsidiaries of Harrow. Harrow also owns royalty rights in four late-stage drug candidates being developed by Surface and Melt.</w:t>
      </w:r>
    </w:p>
    <w:p>
      <w:pPr>
        <w:pStyle w:val="TextBody"/>
        <w:spacing w:before="0" w:after="0"/>
        <w:ind w:left="0" w:right="0" w:hanging="0"/>
        <w:rPr>
          <w:caps w:val="false"/>
          <w:smallCaps w:val="false"/>
        </w:rPr>
      </w:pPr>
      <w:r>
        <w:rPr>
          <w:caps w:val="false"/>
          <w:smallCaps w:val="false"/>
        </w:rPr>
        <w:t> </w:t>
      </w:r>
    </w:p>
    <w:tbl>
      <w:tblPr>
        <w:tblW w:w="740" w:type="dxa"/>
        <w:jc w:val="left"/>
        <w:tblInd w:w="0" w:type="dxa"/>
        <w:tblCellMar>
          <w:top w:w="0" w:type="dxa"/>
          <w:left w:w="0" w:type="dxa"/>
          <w:bottom w:w="0" w:type="dxa"/>
          <w:right w:w="0" w:type="dxa"/>
        </w:tblCellMar>
      </w:tblPr>
      <w:tblGrid>
        <w:gridCol w:w="740"/>
      </w:tblGrid>
      <w:tr>
        <w:trPr/>
        <w:tc>
          <w:tcPr>
            <w:tcW w:w="74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HROW Announces New $100 Million Secured Credit Facility with Oaktree</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2023</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Harrow’s filings with the Securities and Exchange Commission, including its Annual Report on Form 10-K and its Quarterly Reports on Form 10-Q. Such documents may be read free of charge on the SEC’s website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shd w:fill="FFFFFF" w:val="clear"/>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shd w:fill="FFFFFF" w:val="clear"/>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1811</Words>
  <CharactersWithSpaces>11907</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