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13D/A</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13d-101)</w:t>
      </w:r>
    </w:p>
    <w:p>
      <w:pPr>
        <w:spacing w:after="0" w:line="225" w:lineRule="exact"/>
        <w:rPr>
          <w:sz w:val="24"/>
          <w:szCs w:val="24"/>
          <w:color w:val="auto"/>
        </w:rPr>
      </w:pPr>
    </w:p>
    <w:p>
      <w:pPr>
        <w:jc w:val="center"/>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 240.13d-1(a) AND AMENDMENTS THERETO FILED PURSUANT TO § 240.13d-2(a)</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154305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Eton Pharmaceuticals,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141605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29772L 108</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102 Woodmont Blvd., Suite 610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Nashville, Tennessee 37215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Attention: Andrew R. Boll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 733-4731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12,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jc w:val="both"/>
        <w:ind w:right="2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Rule 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ind w:left="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223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223260"/>
                    </a:xfrm>
                    <a:prstGeom prst="rect">
                      <a:avLst/>
                    </a:prstGeom>
                    <a:noFill/>
                  </pic:spPr>
                </pic:pic>
              </a:graphicData>
            </a:graphic>
          </wp:anchor>
        </w:drawing>
        <w:t>CUSIP No. 29772L 108</w:t>
      </w:r>
    </w:p>
    <w:p>
      <w:pPr>
        <w:spacing w:after="0" w:line="333" w:lineRule="exact"/>
        <w:rPr>
          <w:sz w:val="20"/>
          <w:szCs w:val="20"/>
          <w:color w:val="auto"/>
        </w:rPr>
      </w:pPr>
    </w:p>
    <w:p>
      <w:pPr>
        <w:ind w:left="392" w:right="8740" w:hanging="347"/>
        <w:spacing w:after="0" w:line="377" w:lineRule="auto"/>
        <w:tabs>
          <w:tab w:leader="none" w:pos="392" w:val="left"/>
        </w:tabs>
        <w:numPr>
          <w:ilvl w:val="0"/>
          <w:numId w:val="1"/>
        </w:numPr>
        <w:rPr>
          <w:rFonts w:ascii="Arial" w:cs="Arial" w:eastAsia="Arial" w:hAnsi="Arial"/>
          <w:sz w:val="16"/>
          <w:szCs w:val="16"/>
          <w:color w:val="auto"/>
        </w:rPr>
      </w:pPr>
      <w:r>
        <w:rPr>
          <w:rFonts w:ascii="Arial" w:cs="Arial" w:eastAsia="Arial" w:hAnsi="Arial"/>
          <w:sz w:val="16"/>
          <w:szCs w:val="16"/>
          <w:color w:val="auto"/>
        </w:rPr>
        <w:t>Names of Reporting Persons. Harrow Health, Inc.</w:t>
      </w:r>
    </w:p>
    <w:p>
      <w:pPr>
        <w:spacing w:after="0" w:line="177" w:lineRule="exact"/>
        <w:rPr>
          <w:rFonts w:ascii="Arial" w:cs="Arial" w:eastAsia="Arial" w:hAnsi="Arial"/>
          <w:sz w:val="16"/>
          <w:szCs w:val="16"/>
          <w:color w:val="auto"/>
        </w:rPr>
      </w:pPr>
    </w:p>
    <w:p>
      <w:pPr>
        <w:ind w:left="392" w:hanging="347"/>
        <w:spacing w:after="0"/>
        <w:tabs>
          <w:tab w:leader="none" w:pos="392"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632" w:hanging="236"/>
        <w:spacing w:after="0" w:line="207" w:lineRule="exact"/>
        <w:tabs>
          <w:tab w:leader="none" w:pos="632" w:val="left"/>
        </w:tabs>
        <w:numPr>
          <w:ilvl w:val="1"/>
          <w:numId w:val="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652" w:hanging="256"/>
        <w:spacing w:after="0" w:line="207" w:lineRule="exact"/>
        <w:tabs>
          <w:tab w:leader="none" w:pos="652" w:val="left"/>
        </w:tabs>
        <w:numPr>
          <w:ilvl w:val="1"/>
          <w:numId w:val="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8" w:lineRule="exact"/>
        <w:rPr>
          <w:rFonts w:ascii="Arial" w:cs="Arial" w:eastAsia="Arial" w:hAnsi="Arial"/>
          <w:sz w:val="18"/>
          <w:szCs w:val="18"/>
          <w:color w:val="auto"/>
        </w:rPr>
      </w:pPr>
    </w:p>
    <w:p>
      <w:pPr>
        <w:ind w:left="392" w:hanging="347"/>
        <w:spacing w:after="0"/>
        <w:tabs>
          <w:tab w:leader="none" w:pos="392"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392" w:hanging="347"/>
        <w:spacing w:after="0"/>
        <w:tabs>
          <w:tab w:leader="none" w:pos="392" w:val="left"/>
        </w:tabs>
        <w:numPr>
          <w:ilvl w:val="0"/>
          <w:numId w:val="1"/>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36" w:lineRule="exact"/>
        <w:rPr>
          <w:rFonts w:ascii="Arial" w:cs="Arial" w:eastAsia="Arial" w:hAnsi="Arial"/>
          <w:sz w:val="18"/>
          <w:szCs w:val="18"/>
          <w:color w:val="auto"/>
        </w:rPr>
      </w:pPr>
    </w:p>
    <w:p>
      <w:pPr>
        <w:ind w:left="392"/>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06" w:lineRule="exact"/>
        <w:rPr>
          <w:rFonts w:ascii="Arial" w:cs="Arial" w:eastAsia="Arial" w:hAnsi="Arial"/>
          <w:sz w:val="18"/>
          <w:szCs w:val="18"/>
          <w:color w:val="auto"/>
        </w:rPr>
      </w:pPr>
    </w:p>
    <w:p>
      <w:pPr>
        <w:ind w:left="392" w:hanging="347"/>
        <w:spacing w:after="0"/>
        <w:tabs>
          <w:tab w:leader="none" w:pos="392"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3" w:lineRule="exact"/>
        <w:rPr>
          <w:rFonts w:ascii="Arial" w:cs="Arial" w:eastAsia="Arial" w:hAnsi="Arial"/>
          <w:sz w:val="18"/>
          <w:szCs w:val="18"/>
          <w:color w:val="auto"/>
        </w:rPr>
      </w:pPr>
    </w:p>
    <w:p>
      <w:pPr>
        <w:ind w:left="392"/>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45" w:lineRule="exact"/>
        <w:rPr>
          <w:rFonts w:ascii="Arial" w:cs="Arial" w:eastAsia="Arial" w:hAnsi="Arial"/>
          <w:sz w:val="18"/>
          <w:szCs w:val="18"/>
          <w:color w:val="auto"/>
        </w:rPr>
      </w:pPr>
    </w:p>
    <w:p>
      <w:pPr>
        <w:ind w:left="392" w:right="8220" w:hanging="347"/>
        <w:spacing w:after="0" w:line="297" w:lineRule="auto"/>
        <w:tabs>
          <w:tab w:leader="none" w:pos="392" w:val="left"/>
        </w:tabs>
        <w:numPr>
          <w:ilvl w:val="0"/>
          <w:numId w:val="1"/>
        </w:numPr>
        <w:rPr>
          <w:rFonts w:ascii="Arial" w:cs="Arial" w:eastAsia="Arial" w:hAnsi="Arial"/>
          <w:sz w:val="18"/>
          <w:szCs w:val="18"/>
          <w:color w:val="auto"/>
        </w:rPr>
      </w:pPr>
      <w:r>
        <w:rPr>
          <w:rFonts w:ascii="Arial" w:cs="Arial" w:eastAsia="Arial" w:hAnsi="Arial"/>
          <w:sz w:val="18"/>
          <w:szCs w:val="18"/>
          <w:color w:val="auto"/>
        </w:rPr>
        <w:t>Citizenship or Place of Organization State of Delaware</w:t>
      </w:r>
    </w:p>
    <w:p>
      <w:pPr>
        <w:ind w:left="1992" w:right="7860" w:hanging="318"/>
        <w:spacing w:after="0" w:line="277" w:lineRule="auto"/>
        <w:tabs>
          <w:tab w:leader="none" w:pos="1992" w:val="left"/>
        </w:tabs>
        <w:numPr>
          <w:ilvl w:val="2"/>
          <w:numId w:val="1"/>
        </w:numPr>
        <w:rPr>
          <w:rFonts w:ascii="Arial" w:cs="Arial" w:eastAsia="Arial" w:hAnsi="Arial"/>
          <w:sz w:val="18"/>
          <w:szCs w:val="18"/>
          <w:color w:val="auto"/>
        </w:rPr>
      </w:pPr>
      <w:r>
        <w:rPr>
          <w:rFonts w:ascii="Arial" w:cs="Arial" w:eastAsia="Arial" w:hAnsi="Arial"/>
          <w:sz w:val="18"/>
          <w:szCs w:val="18"/>
          <w:color w:val="auto"/>
        </w:rPr>
        <w:t>Sole Voting Power 1,982,000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7132320" cy="1577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77340"/>
                    </a:xfrm>
                    <a:prstGeom prst="rect">
                      <a:avLst/>
                    </a:prstGeom>
                    <a:noFill/>
                  </pic:spPr>
                </pic:pic>
              </a:graphicData>
            </a:graphic>
          </wp:anchor>
        </w:drawing>
      </w:r>
    </w:p>
    <w:p>
      <w:pPr>
        <w:spacing w:after="0" w:line="177" w:lineRule="exact"/>
        <w:rPr>
          <w:sz w:val="20"/>
          <w:szCs w:val="20"/>
          <w:color w:val="auto"/>
        </w:rPr>
      </w:pPr>
    </w:p>
    <w:tbl>
      <w:tblPr>
        <w:tblLayout w:type="fixed"/>
        <w:tblInd w:w="192" w:type="dxa"/>
        <w:tblCellMar>
          <w:top w:w="0" w:type="dxa"/>
          <w:left w:w="0" w:type="dxa"/>
          <w:bottom w:w="0" w:type="dxa"/>
          <w:right w:w="0" w:type="dxa"/>
        </w:tblCellMar>
      </w:tblPr>
      <w:tr>
        <w:trPr>
          <w:trHeight w:val="216"/>
        </w:trPr>
        <w:tc>
          <w:tcPr>
            <w:tcW w:w="1460" w:type="dxa"/>
            <w:vAlign w:val="bottom"/>
          </w:tcPr>
          <w:p>
            <w:pPr>
              <w:jc w:val="center"/>
              <w:ind w:right="70"/>
              <w:spacing w:after="0"/>
              <w:rPr>
                <w:sz w:val="20"/>
                <w:szCs w:val="20"/>
                <w:color w:val="auto"/>
              </w:rPr>
            </w:pPr>
            <w:r>
              <w:rPr>
                <w:rFonts w:ascii="Arial" w:cs="Arial" w:eastAsia="Arial" w:hAnsi="Arial"/>
                <w:sz w:val="18"/>
                <w:szCs w:val="18"/>
                <w:color w:val="auto"/>
                <w:w w:val="88"/>
              </w:rPr>
              <w:t>Number of Shares</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92"/>
              </w:rPr>
              <w:t>8.</w:t>
            </w:r>
          </w:p>
        </w:tc>
        <w:tc>
          <w:tcPr>
            <w:tcW w:w="9320" w:type="dxa"/>
            <w:vAlign w:val="bottom"/>
          </w:tcPr>
          <w:p>
            <w:pPr>
              <w:ind w:left="80"/>
              <w:spacing w:after="0"/>
              <w:rPr>
                <w:sz w:val="20"/>
                <w:szCs w:val="20"/>
                <w:color w:val="auto"/>
              </w:rPr>
            </w:pPr>
            <w:r>
              <w:rPr>
                <w:rFonts w:ascii="Arial" w:cs="Arial" w:eastAsia="Arial" w:hAnsi="Arial"/>
                <w:sz w:val="18"/>
                <w:szCs w:val="18"/>
                <w:color w:val="auto"/>
              </w:rPr>
              <w:t>Shared Voting Power</w:t>
            </w:r>
          </w:p>
        </w:tc>
      </w:tr>
      <w:tr>
        <w:trPr>
          <w:trHeight w:val="237"/>
        </w:trPr>
        <w:tc>
          <w:tcPr>
            <w:tcW w:w="1460" w:type="dxa"/>
            <w:vAlign w:val="bottom"/>
          </w:tcPr>
          <w:p>
            <w:pPr>
              <w:jc w:val="center"/>
              <w:ind w:right="90"/>
              <w:spacing w:after="0"/>
              <w:rPr>
                <w:sz w:val="20"/>
                <w:szCs w:val="20"/>
                <w:color w:val="auto"/>
              </w:rPr>
            </w:pPr>
            <w:r>
              <w:rPr>
                <w:rFonts w:ascii="Arial" w:cs="Arial" w:eastAsia="Arial" w:hAnsi="Arial"/>
                <w:sz w:val="18"/>
                <w:szCs w:val="18"/>
                <w:color w:val="auto"/>
                <w:w w:val="96"/>
              </w:rPr>
              <w:t>Beneficially</w:t>
            </w:r>
          </w:p>
        </w:tc>
        <w:tc>
          <w:tcPr>
            <w:tcW w:w="26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r>
      <w:tr>
        <w:trPr>
          <w:trHeight w:val="188"/>
        </w:trPr>
        <w:tc>
          <w:tcPr>
            <w:tcW w:w="146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91"/>
              </w:rPr>
              <w:t>Owned by</w:t>
            </w:r>
          </w:p>
        </w:tc>
        <w:tc>
          <w:tcPr>
            <w:tcW w:w="260" w:type="dxa"/>
            <w:vAlign w:val="bottom"/>
          </w:tcPr>
          <w:p>
            <w:pPr>
              <w:spacing w:after="0"/>
              <w:rPr>
                <w:sz w:val="16"/>
                <w:szCs w:val="16"/>
                <w:color w:val="auto"/>
              </w:rPr>
            </w:pPr>
          </w:p>
        </w:tc>
        <w:tc>
          <w:tcPr>
            <w:tcW w:w="9320" w:type="dxa"/>
            <w:vAlign w:val="bottom"/>
          </w:tcPr>
          <w:p>
            <w:pPr>
              <w:spacing w:after="0"/>
              <w:rPr>
                <w:sz w:val="16"/>
                <w:szCs w:val="16"/>
                <w:color w:val="auto"/>
              </w:rPr>
            </w:pPr>
          </w:p>
        </w:tc>
      </w:tr>
      <w:tr>
        <w:trPr>
          <w:trHeight w:val="216"/>
        </w:trPr>
        <w:tc>
          <w:tcPr>
            <w:tcW w:w="1460" w:type="dxa"/>
            <w:vAlign w:val="bottom"/>
          </w:tcPr>
          <w:p>
            <w:pPr>
              <w:jc w:val="center"/>
              <w:ind w:right="90"/>
              <w:spacing w:after="0"/>
              <w:rPr>
                <w:sz w:val="20"/>
                <w:szCs w:val="20"/>
                <w:color w:val="auto"/>
              </w:rPr>
            </w:pPr>
            <w:r>
              <w:rPr>
                <w:rFonts w:ascii="Arial" w:cs="Arial" w:eastAsia="Arial" w:hAnsi="Arial"/>
                <w:sz w:val="18"/>
                <w:szCs w:val="18"/>
                <w:color w:val="auto"/>
                <w:w w:val="90"/>
              </w:rPr>
              <w:t>Each Reporting</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92"/>
              </w:rPr>
              <w:t>9.</w:t>
            </w:r>
          </w:p>
        </w:tc>
        <w:tc>
          <w:tcPr>
            <w:tcW w:w="9320" w:type="dxa"/>
            <w:vAlign w:val="bottom"/>
          </w:tcPr>
          <w:p>
            <w:pPr>
              <w:ind w:left="80"/>
              <w:spacing w:after="0"/>
              <w:rPr>
                <w:sz w:val="20"/>
                <w:szCs w:val="20"/>
                <w:color w:val="auto"/>
              </w:rPr>
            </w:pPr>
            <w:r>
              <w:rPr>
                <w:rFonts w:ascii="Arial" w:cs="Arial" w:eastAsia="Arial" w:hAnsi="Arial"/>
                <w:sz w:val="18"/>
                <w:szCs w:val="18"/>
                <w:color w:val="auto"/>
              </w:rPr>
              <w:t>Sole Dispositive Power</w:t>
            </w:r>
          </w:p>
        </w:tc>
      </w:tr>
      <w:tr>
        <w:trPr>
          <w:trHeight w:val="244"/>
        </w:trPr>
        <w:tc>
          <w:tcPr>
            <w:tcW w:w="1460" w:type="dxa"/>
            <w:vAlign w:val="bottom"/>
          </w:tcPr>
          <w:p>
            <w:pPr>
              <w:jc w:val="center"/>
              <w:ind w:right="70"/>
              <w:spacing w:after="0"/>
              <w:rPr>
                <w:sz w:val="20"/>
                <w:szCs w:val="20"/>
                <w:color w:val="auto"/>
              </w:rPr>
            </w:pPr>
            <w:r>
              <w:rPr>
                <w:rFonts w:ascii="Arial" w:cs="Arial" w:eastAsia="Arial" w:hAnsi="Arial"/>
                <w:sz w:val="18"/>
                <w:szCs w:val="18"/>
                <w:color w:val="auto"/>
                <w:w w:val="91"/>
              </w:rPr>
              <w:t>Person With:</w:t>
            </w:r>
          </w:p>
        </w:tc>
        <w:tc>
          <w:tcPr>
            <w:tcW w:w="260" w:type="dxa"/>
            <w:vAlign w:val="bottom"/>
          </w:tcPr>
          <w:p>
            <w:pPr>
              <w:spacing w:after="0"/>
              <w:rPr>
                <w:sz w:val="21"/>
                <w:szCs w:val="21"/>
                <w:color w:val="auto"/>
              </w:rPr>
            </w:pPr>
          </w:p>
        </w:tc>
        <w:tc>
          <w:tcPr>
            <w:tcW w:w="9320" w:type="dxa"/>
            <w:vAlign w:val="bottom"/>
          </w:tcPr>
          <w:p>
            <w:pPr>
              <w:ind w:left="80"/>
              <w:spacing w:after="0"/>
              <w:rPr>
                <w:sz w:val="20"/>
                <w:szCs w:val="20"/>
                <w:color w:val="auto"/>
              </w:rPr>
            </w:pPr>
            <w:r>
              <w:rPr>
                <w:rFonts w:ascii="Arial" w:cs="Arial" w:eastAsia="Arial" w:hAnsi="Arial"/>
                <w:sz w:val="18"/>
                <w:szCs w:val="18"/>
                <w:color w:val="auto"/>
              </w:rPr>
              <w:t>1,982,000</w:t>
            </w:r>
          </w:p>
        </w:tc>
      </w:tr>
    </w:tbl>
    <w:p>
      <w:pPr>
        <w:spacing w:after="0" w:line="229" w:lineRule="exact"/>
        <w:rPr>
          <w:sz w:val="20"/>
          <w:szCs w:val="20"/>
          <w:color w:val="auto"/>
        </w:rPr>
      </w:pPr>
    </w:p>
    <w:p>
      <w:pPr>
        <w:ind w:left="1992" w:right="7380" w:hanging="318"/>
        <w:spacing w:after="0" w:line="273" w:lineRule="auto"/>
        <w:tabs>
          <w:tab w:leader="none" w:pos="1992"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352" w:right="6100" w:hanging="325"/>
        <w:spacing w:after="0" w:line="277" w:lineRule="auto"/>
        <w:tabs>
          <w:tab w:leader="none" w:pos="352"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1,982,000</w:t>
      </w:r>
    </w:p>
    <w:p>
      <w:pPr>
        <w:spacing w:after="0" w:line="164" w:lineRule="exact"/>
        <w:rPr>
          <w:rFonts w:ascii="Arial" w:cs="Arial" w:eastAsia="Arial" w:hAnsi="Arial"/>
          <w:sz w:val="18"/>
          <w:szCs w:val="18"/>
          <w:color w:val="auto"/>
        </w:rPr>
      </w:pPr>
    </w:p>
    <w:p>
      <w:pPr>
        <w:ind w:left="352" w:hanging="325"/>
        <w:spacing w:after="0" w:line="207" w:lineRule="exact"/>
        <w:tabs>
          <w:tab w:leader="none" w:pos="352"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352" w:right="7020" w:hanging="325"/>
        <w:spacing w:after="0" w:line="289" w:lineRule="auto"/>
        <w:tabs>
          <w:tab w:leader="none" w:pos="352"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8.1%</w:t>
      </w:r>
      <w:r>
        <w:rPr>
          <w:rFonts w:ascii="Arial" w:cs="Arial" w:eastAsia="Arial" w:hAnsi="Arial"/>
          <w:sz w:val="29"/>
          <w:szCs w:val="29"/>
          <w:color w:val="auto"/>
          <w:vertAlign w:val="superscript"/>
        </w:rPr>
        <w:t>1</w:t>
      </w:r>
    </w:p>
    <w:p>
      <w:pPr>
        <w:spacing w:after="0" w:line="64" w:lineRule="exact"/>
        <w:rPr>
          <w:rFonts w:ascii="Arial" w:cs="Arial" w:eastAsia="Arial" w:hAnsi="Arial"/>
          <w:sz w:val="18"/>
          <w:szCs w:val="18"/>
          <w:color w:val="auto"/>
        </w:rPr>
      </w:pPr>
    </w:p>
    <w:p>
      <w:pPr>
        <w:ind w:left="352" w:hanging="325"/>
        <w:spacing w:after="0"/>
        <w:tabs>
          <w:tab w:leader="none" w:pos="352"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35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-1596390</wp:posOffset>
            </wp:positionV>
            <wp:extent cx="7132320" cy="1619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19885"/>
                    </a:xfrm>
                    <a:prstGeom prst="rect">
                      <a:avLst/>
                    </a:prstGeom>
                    <a:noFill/>
                  </pic:spPr>
                </pic:pic>
              </a:graphicData>
            </a:graphic>
          </wp:anchor>
        </w:drawing>
      </w:r>
    </w:p>
    <w:p>
      <w:pPr>
        <w:spacing w:after="0" w:line="258" w:lineRule="exact"/>
        <w:rPr>
          <w:sz w:val="20"/>
          <w:szCs w:val="20"/>
          <w:color w:val="auto"/>
        </w:rPr>
      </w:pPr>
    </w:p>
    <w:p>
      <w:pPr>
        <w:jc w:val="both"/>
        <w:ind w:left="-8" w:firstLine="8"/>
        <w:spacing w:after="0" w:line="222" w:lineRule="auto"/>
        <w:tabs>
          <w:tab w:leader="none" w:pos="104"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The percentage was calculated based upon 24,606,175 shares of common stock issued and outstanding on November 10, 2021 as reported by the Issuer on its Quarterly Report on Form 10-Q filed with the Securities and Exchange Commission on November 16, 2021. This calculation does not include the exercise or conversion of outstanding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33" w:right="339" w:bottom="1440" w:gutter="0" w:footer="0" w:header="0"/>
        </w:sectPr>
      </w:pPr>
    </w:p>
    <w:bookmarkStart w:id="2" w:name="page3"/>
    <w:bookmarkEnd w:id="2"/>
    <w:p>
      <w:pPr>
        <w:jc w:val="both"/>
        <w:ind w:firstLine="648"/>
        <w:spacing w:after="0" w:line="311" w:lineRule="auto"/>
        <w:rPr>
          <w:sz w:val="20"/>
          <w:szCs w:val="20"/>
          <w:color w:val="auto"/>
        </w:rPr>
      </w:pPr>
      <w:r>
        <w:rPr>
          <w:rFonts w:ascii="Arial" w:cs="Arial" w:eastAsia="Arial" w:hAnsi="Arial"/>
          <w:sz w:val="16"/>
          <w:szCs w:val="16"/>
          <w:color w:val="auto"/>
        </w:rPr>
        <w:t>This amendment No. 1 (“Amendment No. 1”) amends and supplements the statement on Schedule 13D originally filed with the Securities and Exchange Commission on November 23, 2018 (the “Original Schedule 13D”). Capitalized terms used but not defined in this Amendment No. 1 shall have the meanings set forth in the Original Schedule 13D. Except as specifically amended by this Amendment No. 1, the Original Schedule 13D is unchanged.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2 of the Original Schedule 13D is hereby amended and supplemented by adding the following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This Schedule 13D is being filed by Harrow Health, Inc. (formerly known as Imprimis Pharmaceuticals, Inc.) (the “Reporting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The Reporting Person’s principal business address is 102 Woodmont Blvd., Suite 610, Nashville, Tennessee 37215.”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the Transaction.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Item 4 of the Original Schedule 13D is hereby amended by removing the second paragraph. The Chief Executive Officer of the Reporting Person is no longer a director of the Issuer.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5(a) and Item 5(b) of the Original Schedule 13D are hereby amended and restated in their entirety as follows: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As of November 10, 2021, the Reporting Person beneficially owned 1,982,000 shares of the Issuer’s Common Stock, representing approximately 8.1% of the shares of the Issuer’s Common Stock issued and outstanding as of such date. The percentage is based on 24,606,175 shares issued and outstanding of the Issuer as reported by the Issuer on its Quarterly Report on Form 10-Q filed with the Securities and Exchange Commission on November 16, 2021.”</w:t>
      </w:r>
    </w:p>
    <w:p>
      <w:pPr>
        <w:spacing w:after="0" w:line="149" w:lineRule="exact"/>
        <w:rPr>
          <w:sz w:val="20"/>
          <w:szCs w:val="20"/>
          <w:color w:val="auto"/>
        </w:rPr>
      </w:pPr>
    </w:p>
    <w:p>
      <w:pPr>
        <w:ind w:right="3140" w:firstLine="8"/>
        <w:spacing w:after="0" w:line="563"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Reporting Person has the sole power to vote and to dispose of 1,982,000 shares of Common Stock.” Item 5 of the Original Schedule 13D is hereby amended and supplemented by adding the following information:</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12, 2021, the Reporting Person sold 1,518,000 shares of the Issuer’s Common Stock in an underwritten public offering at a public offering price of $7.00 per share, including 198,000 shares issued pursuant to the full exercise by the underwriter, National Securities Corporation, of its over-allotment 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6 of the Original Schedule 13D is hereby amended and supplemented by adding the following information: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8, 2021, the Reporting Person entered into an underwriting agreement (the “Underwriting Agreement”) with the Issuer and National Securities Corporation, in connection with a public offering of shares of the Issuer’s Common Stock by the Reporting Person as selling stockholder, at a public offering price of $7.00 per share. Pursuant to the Underwriting Agreement, the Reporting Person agreed, for a period of 180 days, not to conduct any further sales of shares of its common stock of the Issuer or otherwise dispose of, directly or indirectly, any common stock of the Issuer (or any securities convertible into, or exercisable or exchangeable for, the common stock of the Issuer). The foregoing description of the Underwriting Agreement does not purport to be complete and is qualified in its entirety by reference to the complete text of the Underwriting Agreement, which is incorporated by reference herein as an exhibit hereto and is incorporated into this Item 6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 w:name="page4"/>
    <w:bookmarkEnd w:id="3"/>
    <w:p>
      <w:pPr>
        <w:jc w:val="both"/>
        <w:spacing w:after="0" w:line="277" w:lineRule="auto"/>
        <w:rPr>
          <w:sz w:val="20"/>
          <w:szCs w:val="20"/>
          <w:color w:val="auto"/>
        </w:rPr>
      </w:pPr>
      <w:r>
        <w:rPr>
          <w:rFonts w:ascii="Arial" w:cs="Arial" w:eastAsia="Arial" w:hAnsi="Arial"/>
          <w:sz w:val="18"/>
          <w:szCs w:val="18"/>
          <w:color w:val="auto"/>
        </w:rPr>
        <w:t>Except as set forth above , there are no contracts, arrangements, understandings or relationships between the Reporting Person and any other person with respect to any securities of the Issuer.”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7 of the Original Schedule 13D is hereby amended and restated in its entirety as follows:</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jc w:val="both"/>
        <w:ind w:left="1480" w:hanging="1470"/>
        <w:spacing w:after="0" w:line="263" w:lineRule="auto"/>
        <w:tabs>
          <w:tab w:leader="none" w:pos="1460" w:val="left"/>
        </w:tabs>
        <w:rPr>
          <w:rFonts w:ascii="Arial" w:cs="Arial" w:eastAsia="Arial" w:hAnsi="Arial"/>
          <w:sz w:val="18"/>
          <w:szCs w:val="18"/>
          <w:u w:val="single" w:color="auto"/>
          <w:color w:val="0000EE"/>
        </w:rPr>
      </w:pPr>
      <w:r>
        <w:rPr>
          <w:rFonts w:ascii="Arial" w:cs="Arial" w:eastAsia="Arial" w:hAnsi="Arial"/>
          <w:sz w:val="18"/>
          <w:szCs w:val="18"/>
          <w:color w:val="auto"/>
        </w:rPr>
        <w:t>Exhibit 1:</w:t>
      </w:r>
      <w:r>
        <w:rPr>
          <w:sz w:val="20"/>
          <w:szCs w:val="20"/>
          <w:color w:val="auto"/>
        </w:rPr>
        <w:tab/>
      </w:r>
      <w:hyperlink r:id="rId22">
        <w:r>
          <w:rPr>
            <w:rFonts w:ascii="Arial" w:cs="Arial" w:eastAsia="Arial" w:hAnsi="Arial"/>
            <w:sz w:val="18"/>
            <w:szCs w:val="18"/>
            <w:u w:val="single" w:color="auto"/>
            <w:color w:val="0000EE"/>
          </w:rPr>
          <w:t>Underwriting Agreement, dated as of April 8, 2021, by and among the Reporting Person, the Issuer and National Securities</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Corporation (incorporated herein by reference to Exhibit 1.1 to the Issuer’s Current Report on Form 8-K (File No. 001-38738), filed</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with the Securities and Exchange Commission on April 8, 2021).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January 28, 2022</w:t>
      </w:r>
      <w:r>
        <w:rPr>
          <w:sz w:val="20"/>
          <w:szCs w:val="20"/>
          <w:color w:val="auto"/>
        </w:rPr>
        <w:tab/>
      </w:r>
      <w:r>
        <w:rPr>
          <w:rFonts w:ascii="Arial" w:cs="Arial" w:eastAsia="Arial" w:hAnsi="Arial"/>
          <w:sz w:val="16"/>
          <w:szCs w:val="16"/>
          <w:color w:val="auto"/>
        </w:rPr>
        <w:t>Harrow Health, Inc.</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
    <w:nsid w:val="2AE8944A"/>
    <w:multiLevelType w:val="hybridMultilevel"/>
    <w:lvl w:ilvl="0">
      <w:lvlJc w:val="left"/>
      <w:lvlText w:val="%1"/>
      <w:numFmt w:val="decimal"/>
      <w:start w:val="1"/>
    </w:lvl>
    <w:lvl w:ilvl="1">
      <w:lvlJc w:val="left"/>
      <w:lvlText w:val="%2."/>
      <w:numFmt w:val="decimal"/>
      <w:start w:val="10"/>
    </w:lvl>
  </w:abstractNum>
  <w:abstractNum w:abstractNumId="2">
    <w:nsid w:val="625558EC"/>
    <w:multiLevelType w:val="hybridMultilevel"/>
    <w:lvl w:ilvl="0">
      <w:lvlJc w:val="left"/>
      <w:lvlText w:val="%1."/>
      <w:numFmt w:val="decimal"/>
      <w:start w:val="11"/>
    </w:lvl>
    <w:lvl w:ilvl="1">
      <w:lvlJc w:val="left"/>
      <w:lvlText w:val="%2"/>
      <w:numFmt w:val="decimal"/>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2" Type="http://schemas.openxmlformats.org/officeDocument/2006/relationships/hyperlink" Target="https://www.sec.gov/Archives/edgar/data/1710340/000149315221008273/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2022-01-28T15:13:25Z</dcterms:created>
  <dcterms:modified xsi:type="dcterms:W3CDTF">2022-01-28T15:13:25Z</dcterms:modified>
</cp:coreProperties>
</file>