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immy_8k.htm"/>
      <w:bookmarkStart w:id="1" w:name="ksimmy_8k"/>
      <w:bookmarkStart w:id="2" w:name="immy_8k.htm"/>
      <w:bookmarkStart w:id="3" w:name="ksimmy_8k"/>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UNITED STATES</w:t>
      </w:r>
    </w:p>
    <w:p>
      <w:pPr>
        <w:pStyle w:val="TextBody"/>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Date of Report (Date of earliest event reported):  August 9, 2013</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IMPRIMIS PHARMACEUTICALS,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242"/>
        <w:gridCol w:w="239"/>
        <w:gridCol w:w="3242"/>
        <w:gridCol w:w="239"/>
        <w:gridCol w:w="3243"/>
      </w:tblGrid>
      <w:tr>
        <w:trPr/>
        <w:tc>
          <w:tcPr>
            <w:tcW w:w="3242"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239" w:type="dxa"/>
            <w:tcBorders/>
            <w:shd w:fill="auto" w:val="clear"/>
          </w:tcPr>
          <w:p>
            <w:pPr>
              <w:pStyle w:val="TableContents"/>
              <w:spacing w:before="0" w:after="283"/>
              <w:rPr/>
            </w:pPr>
            <w:r>
              <w:rPr/>
              <w:t xml:space="preserve">  </w:t>
            </w:r>
          </w:p>
        </w:tc>
        <w:tc>
          <w:tcPr>
            <w:tcW w:w="3242"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001-35814</w:t>
            </w:r>
          </w:p>
        </w:tc>
        <w:tc>
          <w:tcPr>
            <w:tcW w:w="239" w:type="dxa"/>
            <w:tcBorders/>
            <w:shd w:fill="auto" w:val="clear"/>
          </w:tcPr>
          <w:p>
            <w:pPr>
              <w:pStyle w:val="TableContents"/>
              <w:spacing w:before="0" w:after="283"/>
              <w:rPr/>
            </w:pPr>
            <w:r>
              <w:rPr/>
              <w:t xml:space="preserve">  </w:t>
            </w:r>
          </w:p>
        </w:tc>
        <w:tc>
          <w:tcPr>
            <w:tcW w:w="3243"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45-0567010</w:t>
            </w:r>
          </w:p>
        </w:tc>
      </w:tr>
      <w:tr>
        <w:trPr/>
        <w:tc>
          <w:tcPr>
            <w:tcW w:w="324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w:t>
            </w:r>
          </w:p>
          <w:p>
            <w:pPr>
              <w:pStyle w:val="TableContents"/>
              <w:spacing w:before="0" w:after="0"/>
              <w:ind w:left="0" w:right="0" w:hanging="0"/>
              <w:jc w:val="center"/>
              <w:rPr>
                <w:rFonts w:ascii="times new roman" w:hAnsi="times new roman"/>
                <w:sz w:val="20"/>
              </w:rPr>
            </w:pPr>
            <w:r>
              <w:rPr>
                <w:rFonts w:ascii="times new roman" w:hAnsi="times new roman"/>
                <w:sz w:val="20"/>
              </w:rPr>
              <w:t>of incorporation)</w:t>
            </w:r>
          </w:p>
        </w:tc>
        <w:tc>
          <w:tcPr>
            <w:tcW w:w="239" w:type="dxa"/>
            <w:tcBorders/>
            <w:shd w:fill="auto" w:val="clear"/>
          </w:tcPr>
          <w:p>
            <w:pPr>
              <w:pStyle w:val="TableContents"/>
              <w:spacing w:before="0" w:after="283"/>
              <w:rPr/>
            </w:pPr>
            <w:r>
              <w:rPr/>
              <w:t xml:space="preserve">  </w:t>
            </w:r>
          </w:p>
        </w:tc>
        <w:tc>
          <w:tcPr>
            <w:tcW w:w="324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239" w:type="dxa"/>
            <w:tcBorders/>
            <w:shd w:fill="auto" w:val="clear"/>
          </w:tcPr>
          <w:p>
            <w:pPr>
              <w:pStyle w:val="TableContents"/>
              <w:spacing w:before="0" w:after="283"/>
              <w:rPr/>
            </w:pPr>
            <w:r>
              <w:rPr/>
              <w:t xml:space="preserve">  </w:t>
            </w:r>
          </w:p>
        </w:tc>
        <w:tc>
          <w:tcPr>
            <w:tcW w:w="3243"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r>
    </w:p>
    <w:tbl>
      <w:tblPr>
        <w:tblW w:w="2500" w:type="pct"/>
        <w:jc w:val="center"/>
        <w:tblInd w:w="0" w:type="dxa"/>
        <w:tblCellMar>
          <w:top w:w="0" w:type="dxa"/>
          <w:left w:w="0" w:type="dxa"/>
          <w:bottom w:w="0" w:type="dxa"/>
          <w:right w:w="0" w:type="dxa"/>
        </w:tblCellMar>
      </w:tblPr>
      <w:tblGrid>
        <w:gridCol w:w="3733"/>
        <w:gridCol w:w="124"/>
        <w:gridCol w:w="1245"/>
      </w:tblGrid>
      <w:tr>
        <w:trPr/>
        <w:tc>
          <w:tcPr>
            <w:tcW w:w="3733"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12626 High Bluff Drive, Suite 150</w:t>
            </w:r>
          </w:p>
        </w:tc>
        <w:tc>
          <w:tcPr>
            <w:tcW w:w="124" w:type="dxa"/>
            <w:tcBorders/>
            <w:shd w:fill="auto" w:val="clear"/>
          </w:tcPr>
          <w:p>
            <w:pPr>
              <w:pStyle w:val="TableContents"/>
              <w:spacing w:before="0" w:after="283"/>
              <w:rPr/>
            </w:pPr>
            <w:r>
              <w:rPr/>
              <w:t xml:space="preserve">  </w:t>
            </w:r>
          </w:p>
        </w:tc>
        <w:tc>
          <w:tcPr>
            <w:tcW w:w="1245" w:type="dxa"/>
            <w:tcBorders/>
            <w:shd w:fill="auto" w:val="clear"/>
          </w:tcPr>
          <w:p>
            <w:pPr>
              <w:pStyle w:val="TableContents"/>
              <w:spacing w:before="0" w:after="283"/>
              <w:rPr/>
            </w:pPr>
            <w:r>
              <w:rPr/>
              <w:t> </w:t>
            </w:r>
          </w:p>
        </w:tc>
      </w:tr>
      <w:tr>
        <w:trPr/>
        <w:tc>
          <w:tcPr>
            <w:tcW w:w="3733"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San Diego, CA</w:t>
            </w:r>
          </w:p>
        </w:tc>
        <w:tc>
          <w:tcPr>
            <w:tcW w:w="124" w:type="dxa"/>
            <w:tcBorders/>
            <w:shd w:fill="auto" w:val="clear"/>
          </w:tcPr>
          <w:p>
            <w:pPr>
              <w:pStyle w:val="TableContents"/>
              <w:spacing w:before="0" w:after="283"/>
              <w:rPr/>
            </w:pPr>
            <w:r>
              <w:rPr/>
              <w:t xml:space="preserve">  </w:t>
            </w:r>
          </w:p>
        </w:tc>
        <w:tc>
          <w:tcPr>
            <w:tcW w:w="1245"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92130</w:t>
            </w:r>
          </w:p>
        </w:tc>
      </w:tr>
      <w:tr>
        <w:trPr/>
        <w:tc>
          <w:tcPr>
            <w:tcW w:w="3733"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124" w:type="dxa"/>
            <w:tcBorders/>
            <w:shd w:fill="auto" w:val="clear"/>
          </w:tcPr>
          <w:p>
            <w:pPr>
              <w:pStyle w:val="TableContents"/>
              <w:spacing w:before="0" w:after="283"/>
              <w:rPr/>
            </w:pPr>
            <w:r>
              <w:rPr/>
              <w:t xml:space="preserve">  </w:t>
            </w:r>
          </w:p>
        </w:tc>
        <w:tc>
          <w:tcPr>
            <w:tcW w:w="124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Registrant’s telephone number, including area code: </w:t>
      </w:r>
      <w:r>
        <w:rPr>
          <w:rFonts w:ascii="Times New Roman" w:hAnsi="Times New Roman"/>
          <w:b/>
          <w:sz w:val="20"/>
        </w:rPr>
        <w:t>(858) 704-4040</w:t>
      </w:r>
    </w:p>
    <w:p>
      <w:pPr>
        <w:pStyle w:val="TextBody"/>
        <w:spacing w:before="0" w:after="0"/>
        <w:ind w:left="0" w:right="0" w:hanging="0"/>
        <w:rPr/>
      </w:pPr>
      <w:r>
        <w:rPr/>
      </w:r>
    </w:p>
    <w:tbl>
      <w:tblPr>
        <w:tblW w:w="1750" w:type="pct"/>
        <w:jc w:val="center"/>
        <w:tblInd w:w="0" w:type="dxa"/>
        <w:tblCellMar>
          <w:top w:w="0" w:type="dxa"/>
          <w:left w:w="0" w:type="dxa"/>
          <w:bottom w:w="28" w:type="dxa"/>
          <w:right w:w="0" w:type="dxa"/>
        </w:tblCellMar>
      </w:tblPr>
      <w:tblGrid>
        <w:gridCol w:w="3571"/>
      </w:tblGrid>
      <w:tr>
        <w:trPr/>
        <w:tc>
          <w:tcPr>
            <w:tcW w:w="3571" w:type="dxa"/>
            <w:tcBorders>
              <w:bottom w:val="single" w:sz="12" w:space="0" w:color="000000"/>
            </w:tcBorders>
            <w:shd w:fill="auto" w:val="cle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N/A</w:t>
            </w:r>
          </w:p>
        </w:tc>
      </w:tr>
      <w:tr>
        <w:trPr/>
        <w:tc>
          <w:tcPr>
            <w:tcW w:w="3571"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48"/>
        <w:gridCol w:w="125"/>
        <w:gridCol w:w="9832"/>
      </w:tblGrid>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248" w:type="dxa"/>
            <w:tcBorders/>
            <w:shd w:fill="auto" w:val="clear"/>
            <w:vAlign w:val="center"/>
          </w:tcPr>
          <w:p>
            <w:pPr>
              <w:pStyle w:val="TableContents"/>
              <w:spacing w:before="0" w:after="283"/>
              <w:jc w:val="left"/>
              <w:rPr/>
            </w:pPr>
            <w:r>
              <w:rPr/>
              <w:t xml:space="preserve">  </w:t>
            </w:r>
          </w:p>
        </w:tc>
        <w:tc>
          <w:tcPr>
            <w:tcW w:w="125" w:type="dxa"/>
            <w:tcBorders/>
            <w:shd w:fill="auto" w:val="clear"/>
            <w:vAlign w:val="center"/>
          </w:tcPr>
          <w:p>
            <w:pPr>
              <w:pStyle w:val="TableContents"/>
              <w:spacing w:before="0" w:after="283"/>
              <w:rPr/>
            </w:pPr>
            <w:r>
              <w:rPr/>
              <w:t xml:space="preserve">  </w:t>
            </w:r>
          </w:p>
        </w:tc>
        <w:tc>
          <w:tcPr>
            <w:tcW w:w="9832" w:type="dxa"/>
            <w:tcBorders/>
            <w:shd w:fill="auto" w:val="clear"/>
            <w:vAlign w:val="center"/>
          </w:tcPr>
          <w:p>
            <w:pPr>
              <w:pStyle w:val="TableContents"/>
              <w:spacing w:before="0" w:after="283"/>
              <w:rPr/>
            </w:pPr>
            <w:r>
              <w:rPr/>
              <w:t xml:space="preserve">  </w:t>
            </w:r>
          </w:p>
        </w:tc>
      </w:tr>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248" w:type="dxa"/>
            <w:tcBorders/>
            <w:shd w:fill="auto" w:val="clear"/>
            <w:vAlign w:val="center"/>
          </w:tcPr>
          <w:p>
            <w:pPr>
              <w:pStyle w:val="TableContents"/>
              <w:spacing w:before="0" w:after="283"/>
              <w:jc w:val="left"/>
              <w:rPr/>
            </w:pPr>
            <w:r>
              <w:rPr/>
              <w:t xml:space="preserve">  </w:t>
            </w:r>
          </w:p>
        </w:tc>
        <w:tc>
          <w:tcPr>
            <w:tcW w:w="125" w:type="dxa"/>
            <w:tcBorders/>
            <w:shd w:fill="auto" w:val="clear"/>
            <w:vAlign w:val="center"/>
          </w:tcPr>
          <w:p>
            <w:pPr>
              <w:pStyle w:val="TableContents"/>
              <w:spacing w:before="0" w:after="283"/>
              <w:rPr/>
            </w:pPr>
            <w:r>
              <w:rPr/>
              <w:t xml:space="preserve">  </w:t>
            </w:r>
          </w:p>
        </w:tc>
        <w:tc>
          <w:tcPr>
            <w:tcW w:w="9832" w:type="dxa"/>
            <w:tcBorders/>
            <w:shd w:fill="auto" w:val="clear"/>
            <w:vAlign w:val="center"/>
          </w:tcPr>
          <w:p>
            <w:pPr>
              <w:pStyle w:val="TableContents"/>
              <w:spacing w:before="0" w:after="283"/>
              <w:rPr/>
            </w:pPr>
            <w:r>
              <w:rPr/>
              <w:t xml:space="preserve">  </w:t>
            </w:r>
          </w:p>
        </w:tc>
      </w:tr>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248" w:type="dxa"/>
            <w:tcBorders/>
            <w:shd w:fill="auto" w:val="clear"/>
            <w:vAlign w:val="center"/>
          </w:tcPr>
          <w:p>
            <w:pPr>
              <w:pStyle w:val="TableContents"/>
              <w:spacing w:before="0" w:after="283"/>
              <w:jc w:val="left"/>
              <w:rPr/>
            </w:pPr>
            <w:r>
              <w:rPr/>
              <w:t xml:space="preserve">  </w:t>
            </w:r>
          </w:p>
        </w:tc>
        <w:tc>
          <w:tcPr>
            <w:tcW w:w="125" w:type="dxa"/>
            <w:tcBorders/>
            <w:shd w:fill="auto" w:val="clear"/>
            <w:vAlign w:val="center"/>
          </w:tcPr>
          <w:p>
            <w:pPr>
              <w:pStyle w:val="TableContents"/>
              <w:spacing w:before="0" w:after="283"/>
              <w:rPr/>
            </w:pPr>
            <w:r>
              <w:rPr/>
              <w:t xml:space="preserve">  </w:t>
            </w:r>
          </w:p>
        </w:tc>
        <w:tc>
          <w:tcPr>
            <w:tcW w:w="9832" w:type="dxa"/>
            <w:tcBorders/>
            <w:shd w:fill="auto" w:val="clear"/>
            <w:vAlign w:val="center"/>
          </w:tcPr>
          <w:p>
            <w:pPr>
              <w:pStyle w:val="TableContents"/>
              <w:spacing w:before="0" w:after="283"/>
              <w:rPr/>
            </w:pPr>
            <w:r>
              <w:rPr/>
              <w:t xml:space="preserve">  </w:t>
            </w:r>
          </w:p>
        </w:tc>
      </w:tr>
      <w:tr>
        <w:trPr/>
        <w:tc>
          <w:tcPr>
            <w:tcW w:w="248"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125" w:type="dxa"/>
            <w:tcBorders/>
            <w:shd w:fill="auto" w:val="clear"/>
          </w:tcPr>
          <w:p>
            <w:pPr>
              <w:pStyle w:val="TableContents"/>
              <w:spacing w:before="0" w:after="283"/>
              <w:jc w:val="left"/>
              <w:rPr/>
            </w:pPr>
            <w:r>
              <w:rPr/>
              <w:t xml:space="preserve">  </w:t>
            </w:r>
          </w:p>
        </w:tc>
        <w:tc>
          <w:tcPr>
            <w:tcW w:w="983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0" w:after="0"/>
        <w:ind w:left="0" w:right="0" w:hanging="0"/>
        <w:rPr/>
      </w:pPr>
      <w:r>
        <w:rPr/>
      </w:r>
    </w:p>
    <w:p>
      <w:pPr>
        <w:pStyle w:val="HorizontalLine"/>
        <w:pBdr>
          <w:bottom w:val="single" w:sz="6" w:space="0" w:color="808080"/>
        </w:pBdr>
        <w:rPr/>
      </w:pPr>
      <w:r>
        <w:rPr/>
      </w:r>
    </w:p>
    <w:p>
      <w:pPr>
        <w:pStyle w:val="HorizontalLine"/>
        <w:pBdr>
          <w:bottom w:val="single" w:sz="24"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TextBody"/>
        <w:spacing w:before="0" w:after="0"/>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8.01 Other Events.</w:t>
      </w:r>
    </w:p>
    <w:p>
      <w:pPr>
        <w:pStyle w:val="TextBody"/>
        <w:spacing w:before="0" w:after="0"/>
        <w:ind w:left="0" w:right="0" w:hanging="0"/>
        <w:jc w:val="both"/>
        <w:rPr/>
      </w:pPr>
      <w:r>
        <w:rPr/>
        <w:t> </w:t>
      </w:r>
    </w:p>
    <w:p>
      <w:pPr>
        <w:pStyle w:val="TextBody"/>
        <w:spacing w:before="0" w:after="0"/>
        <w:ind w:left="720" w:right="0" w:hanging="0"/>
        <w:jc w:val="left"/>
        <w:rPr>
          <w:rFonts w:ascii="Times New Roman" w:hAnsi="Times New Roman"/>
          <w:sz w:val="20"/>
        </w:rPr>
      </w:pPr>
      <w:bookmarkStart w:id="4" w:name="TAB1"/>
      <w:bookmarkEnd w:id="4"/>
      <w:r>
        <w:rPr>
          <w:rFonts w:ascii="Times New Roman" w:hAnsi="Times New Roman"/>
          <w:sz w:val="20"/>
        </w:rPr>
        <w:t>In August 2013, Imprimis Pharmaceuticals, Inc. (the “Company”) was notified by its manufacturing supplier, DPT Laboratories, LTD. (“DPT”) of preliminary stability test results related to clinical materials of active and placebo bulk batches of the Company’s Impracor drug to be used in planned Phase 3 clinical trials, which were manufactured at DPT’s San Antonio, Texas facility.  The preliminary test results revealed an out of specification result for the placebo formulation and a lower than expected specification result for the active formulation.  Shortly thereafter, a retest was performed, which confirmed the out of specification results for the placebo batch and revealed continued decreasing stability results related to the active batch.  On August 9, 2013, the Company concluded that due to the decreasing stability results for the active batch, packaging of the materials would be put on hold, as further decrease in stability levels was likely and would result in the material being unusable for the upcoming planned Impracor clinical trials.  The Company is evaluating its options regarding these manufacturing issues, which include re-manufacturing the clinical materials at DPT’s facilities, which would result in a delay of the its planned clinical trials by 1 to 2 months, or moving the formulation and manufacturing process to another third party vendor, which could cause a delay of up to 6 months. The Company is working with its vendors to evaluate further options related to the production of clinical materials for the Phase 3 clinical trials and the continuation of the planned Impracor Phase 3 clinical program.</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 w:name="PGBRK"/>
      <w:bookmarkStart w:id="6" w:name="PGBRK"/>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 w:name="FTR"/>
      <w:bookmarkStart w:id="8" w:name="FTR"/>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 w:name="GLFTR"/>
      <w:bookmarkEnd w:id="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 w:name="PN"/>
      <w:bookmarkEnd w:id="10"/>
      <w:r>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HDR"/>
      <w:bookmarkStart w:id="12" w:name="HD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 w:name="GLHDR"/>
      <w:bookmarkEnd w:id="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IMPRIMIS PHARMACEUTICALS, INC.</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Dated: August 9, 2013  </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Mark L. Baum</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Name: Mark L. Baum </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Title: Chief Executive Officer </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TextBody"/>
        <w:spacing w:before="0" w:after="0"/>
        <w:rPr/>
      </w:pPr>
      <w:r>
        <w:rPr/>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pPr>
      <w:r>
        <w:rPr/>
        <w:t xml:space="preserve">3 </w:t>
      </w:r>
    </w:p>
    <w:p>
      <w:pPr>
        <w:pStyle w:val="HorizontalLine"/>
        <w:pBdr>
          <w:bottom w:val="single" w:sz="12" w:space="0" w:color="808080"/>
        </w:pBdr>
        <w:spacing w:before="0" w:after="283"/>
        <w:jc w:val="center"/>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493</Words>
  <CharactersWithSpaces>3277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