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38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right="8640" w:firstLine="8"/>
        <w:spacing w:after="0" w:line="530"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Definitive Proxy Statement [X] Definitive Additional Materials</w:t>
      </w: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14c-5(g) and 0-11.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is calculated and state how it was determined):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hanging="652"/>
        <w:spacing w:after="0" w:line="308" w:lineRule="auto"/>
        <w:tabs>
          <w:tab w:leader="none" w:pos="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431800</wp:posOffset>
            </wp:positionV>
            <wp:extent cx="177419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 TO PROXY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 JUNE 3,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19,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Harrow Health Stockholder:</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proxy statement supplement, dated May 19, 2021, supplements the definitive proxy statement on Schedule 14A (together with subsequent supplements,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of Harrow Health, Inc. (the “</w:t>
      </w:r>
      <w:r>
        <w:rPr>
          <w:rFonts w:ascii="Arial" w:cs="Arial" w:eastAsia="Arial" w:hAnsi="Arial"/>
          <w:sz w:val="18"/>
          <w:szCs w:val="18"/>
          <w:u w:val="single" w:color="auto"/>
          <w:color w:val="auto"/>
        </w:rPr>
        <w:t>Company</w:t>
      </w:r>
      <w:r>
        <w:rPr>
          <w:rFonts w:ascii="Arial" w:cs="Arial" w:eastAsia="Arial" w:hAnsi="Arial"/>
          <w:sz w:val="18"/>
          <w:szCs w:val="18"/>
          <w:color w:val="auto"/>
        </w:rPr>
        <w:t>”) that was filed with the Securities and Exchange Commission on April 23, 2021, relating to the Company’s 2021 annual meeting of stockholders to be held on June 3, 2021 (the “</w:t>
      </w:r>
      <w:r>
        <w:rPr>
          <w:rFonts w:ascii="Arial" w:cs="Arial" w:eastAsia="Arial" w:hAnsi="Arial"/>
          <w:sz w:val="18"/>
          <w:szCs w:val="18"/>
          <w:u w:val="single" w:color="auto"/>
          <w:color w:val="auto"/>
        </w:rPr>
        <w:t>2021 Annual Meeting</w:t>
      </w:r>
      <w:r>
        <w:rPr>
          <w:rFonts w:ascii="Arial" w:cs="Arial" w:eastAsia="Arial" w:hAnsi="Arial"/>
          <w:sz w:val="18"/>
          <w:szCs w:val="18"/>
          <w:color w:val="auto"/>
        </w:rPr>
        <w:t>”). Except as specifically supplemented by the information contained in this proxy statement supplement, all information set forth in the Proxy Statement continues to apply and should be considered in voting your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 Solicitor</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have engaged D.F. King &amp; Co., Inc. (“</w:t>
      </w:r>
      <w:r>
        <w:rPr>
          <w:rFonts w:ascii="Arial" w:cs="Arial" w:eastAsia="Arial" w:hAnsi="Arial"/>
          <w:sz w:val="18"/>
          <w:szCs w:val="18"/>
          <w:u w:val="single" w:color="auto"/>
          <w:color w:val="auto"/>
        </w:rPr>
        <w:t>D.F. King</w:t>
      </w:r>
      <w:r>
        <w:rPr>
          <w:rFonts w:ascii="Arial" w:cs="Arial" w:eastAsia="Arial" w:hAnsi="Arial"/>
          <w:sz w:val="18"/>
          <w:szCs w:val="18"/>
          <w:color w:val="auto"/>
        </w:rPr>
        <w:t>”) to assist us with the solicitation of proxies in connection with the 2021 Annual Meeting. We expect to pay D.F. King a fee of $10,000, plus reimbursement for certain expenses related to its services.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STOCKHOLDER MEETING TO BE HELD ON JUNE 3, 2021: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Copies of this supplement, the Proxy Statement, the Notice and the Annual Report can be accessed electronically at </w:t>
      </w:r>
      <w:r>
        <w:rPr>
          <w:rFonts w:ascii="Arial" w:cs="Arial" w:eastAsia="Arial" w:hAnsi="Arial"/>
          <w:sz w:val="17"/>
          <w:szCs w:val="17"/>
          <w:u w:val="single" w:color="auto"/>
          <w:color w:val="auto"/>
        </w:rPr>
        <w:t>www.voteproxy.com.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2021-05-19T16:03:34Z</dcterms:created>
  <dcterms:modified xsi:type="dcterms:W3CDTF">2021-05-19T16:03:34Z</dcterms:modified>
</cp:coreProperties>
</file>