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743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74345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LINDSTROM RICHARD L MD</w:t>
              </w:r>
            </w:hyperlink>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Imprimis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IMMY</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80" w:type="dxa"/>
            <w:vAlign w:val="bottom"/>
            <w:gridSpan w:val="6"/>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gridSpan w:val="6"/>
            <w:vMerge w:val="continue"/>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80" w:type="dxa"/>
            <w:vAlign w:val="bottom"/>
            <w:gridSpan w:val="6"/>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12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C/O IMPRIMIS PHARMACEUTICALS, INC.</w:t>
            </w: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06/10/2016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12264 EL CAMINO REAL, SUITE 350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SAN DIEGO</w:t>
            </w:r>
          </w:p>
        </w:tc>
        <w:tc>
          <w:tcPr>
            <w:tcW w:w="1260" w:type="dxa"/>
            <w:vAlign w:val="bottom"/>
            <w:gridSpan w:val="2"/>
          </w:tcPr>
          <w:p>
            <w:pPr>
              <w:spacing w:after="0"/>
              <w:rPr>
                <w:sz w:val="20"/>
                <w:szCs w:val="20"/>
                <w:color w:val="auto"/>
              </w:rPr>
            </w:pPr>
            <w:r>
              <w:rPr>
                <w:rFonts w:ascii="Arial" w:cs="Arial" w:eastAsia="Arial" w:hAnsi="Arial"/>
                <w:sz w:val="17"/>
                <w:szCs w:val="17"/>
                <w:color w:val="0000FF"/>
              </w:rPr>
              <w:t>CA</w:t>
            </w:r>
          </w:p>
        </w:tc>
        <w:tc>
          <w:tcPr>
            <w:tcW w:w="1140" w:type="dxa"/>
            <w:vAlign w:val="bottom"/>
            <w:gridSpan w:val="2"/>
          </w:tcPr>
          <w:p>
            <w:pPr>
              <w:ind w:left="20"/>
              <w:spacing w:after="0"/>
              <w:rPr>
                <w:sz w:val="20"/>
                <w:szCs w:val="20"/>
                <w:color w:val="auto"/>
              </w:rPr>
            </w:pPr>
            <w:r>
              <w:rPr>
                <w:rFonts w:ascii="Arial" w:cs="Arial" w:eastAsia="Arial" w:hAnsi="Arial"/>
                <w:sz w:val="17"/>
                <w:szCs w:val="17"/>
                <w:color w:val="0000FF"/>
              </w:rPr>
              <w:t>92130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20"/>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320" w:type="dxa"/>
            <w:vAlign w:val="bottom"/>
          </w:tcPr>
          <w:p>
            <w:pPr>
              <w:spacing w:after="0"/>
              <w:rPr>
                <w:sz w:val="15"/>
                <w:szCs w:val="15"/>
                <w:color w:val="auto"/>
              </w:rPr>
            </w:pPr>
          </w:p>
        </w:tc>
        <w:tc>
          <w:tcPr>
            <w:tcW w:w="1580" w:type="dxa"/>
            <w:vAlign w:val="bottom"/>
            <w:gridSpan w:val="5"/>
          </w:tcPr>
          <w:p>
            <w:pPr>
              <w:ind w:left="4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48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gridSpan w:val="5"/>
          </w:tcPr>
          <w:p>
            <w:pPr>
              <w:ind w:left="48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3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1100" w:type="dxa"/>
            <w:vAlign w:val="bottom"/>
            <w:tcBorders>
              <w:bottom w:val="single" w:sz="8" w:color="2C2C2C"/>
            </w:tcBorders>
            <w:gridSpan w:val="4"/>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1120" w:type="dxa"/>
            <w:vAlign w:val="bottom"/>
            <w:tcBorders>
              <w:bottom w:val="single" w:sz="8" w:color="2C2C2C"/>
            </w:tcBorders>
            <w:gridSpan w:val="3"/>
          </w:tcPr>
          <w:p>
            <w:pPr>
              <w:spacing w:after="0"/>
              <w:rPr>
                <w:sz w:val="7"/>
                <w:szCs w:val="7"/>
                <w:color w:val="auto"/>
              </w:rPr>
            </w:pPr>
          </w:p>
        </w:tc>
        <w:tc>
          <w:tcPr>
            <w:tcW w:w="154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20"/>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0" w:type="dxa"/>
            <w:vAlign w:val="bottom"/>
            <w:gridSpan w:val="2"/>
          </w:tcPr>
          <w:p>
            <w:pPr>
              <w:ind w:left="60"/>
              <w:spacing w:after="0" w:line="241" w:lineRule="exact"/>
              <w:rPr>
                <w:sz w:val="20"/>
                <w:szCs w:val="20"/>
                <w:color w:val="auto"/>
              </w:rPr>
            </w:pPr>
            <w:r>
              <w:rPr>
                <w:rFonts w:ascii="Arial" w:cs="Arial" w:eastAsia="Arial" w:hAnsi="Arial"/>
                <w:sz w:val="26"/>
                <w:szCs w:val="26"/>
                <w:color w:val="0000FF"/>
                <w:vertAlign w:val="subscript"/>
              </w:rPr>
              <w:t>RSU</w:t>
            </w:r>
            <w:r>
              <w:rPr>
                <w:rFonts w:ascii="Arial" w:cs="Arial" w:eastAsia="Arial" w:hAnsi="Arial"/>
                <w:sz w:val="11"/>
                <w:szCs w:val="11"/>
                <w:color w:val="008000"/>
              </w:rPr>
              <w:t>(1)(2)</w:t>
            </w:r>
          </w:p>
        </w:tc>
        <w:tc>
          <w:tcPr>
            <w:tcW w:w="66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40" w:type="dxa"/>
            <w:vAlign w:val="bottom"/>
          </w:tcPr>
          <w:p>
            <w:pPr>
              <w:spacing w:after="0"/>
              <w:rPr>
                <w:sz w:val="20"/>
                <w:szCs w:val="20"/>
                <w:color w:val="auto"/>
              </w:rPr>
            </w:pPr>
          </w:p>
        </w:tc>
        <w:tc>
          <w:tcPr>
            <w:tcW w:w="1120" w:type="dxa"/>
            <w:vAlign w:val="bottom"/>
          </w:tcPr>
          <w:p>
            <w:pPr>
              <w:ind w:left="260"/>
              <w:spacing w:after="0"/>
              <w:rPr>
                <w:sz w:val="20"/>
                <w:szCs w:val="20"/>
                <w:color w:val="auto"/>
              </w:rPr>
            </w:pPr>
            <w:r>
              <w:rPr>
                <w:rFonts w:ascii="Arial" w:cs="Arial" w:eastAsia="Arial" w:hAnsi="Arial"/>
                <w:sz w:val="13"/>
                <w:szCs w:val="13"/>
                <w:color w:val="0000FF"/>
              </w:rPr>
              <w:t>06/10/2016</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12,690</w:t>
            </w:r>
          </w:p>
        </w:tc>
        <w:tc>
          <w:tcPr>
            <w:tcW w:w="340" w:type="dxa"/>
            <w:vAlign w:val="bottom"/>
          </w:tcPr>
          <w:p>
            <w:pPr>
              <w:spacing w:after="0"/>
              <w:rPr>
                <w:sz w:val="20"/>
                <w:szCs w:val="20"/>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06/10/2016</w:t>
            </w: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06/10/2017</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12,690</w:t>
            </w:r>
          </w:p>
        </w:tc>
        <w:tc>
          <w:tcPr>
            <w:tcW w:w="60" w:type="dxa"/>
            <w:vAlign w:val="bottom"/>
          </w:tcPr>
          <w:p>
            <w:pPr>
              <w:spacing w:after="0"/>
              <w:rPr>
                <w:sz w:val="20"/>
                <w:szCs w:val="20"/>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12,690</w:t>
            </w:r>
          </w:p>
        </w:tc>
        <w:tc>
          <w:tcPr>
            <w:tcW w:w="28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6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Award of Restricted Stock Units vests quarterly in equal installments over a one year period following the date of grant. The shares underlying such Restricted Stock Units will not be delivered to the Reporting Person and may not be transferred or sold until the termination of service.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were received as a compensatory award for no consideration.</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Richard Lindstrom</w:t>
            </w:r>
          </w:p>
        </w:tc>
        <w:tc>
          <w:tcPr>
            <w:tcW w:w="7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06/14/2016</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177"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2020-01-19T08:01:25Z</dcterms:created>
  <dcterms:modified xsi:type="dcterms:W3CDTF">2020-01-19T08:01:25Z</dcterms:modified>
</cp:coreProperties>
</file>