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September 10, 2014</w:t>
      </w:r>
    </w:p>
    <w:p>
      <w:pPr>
        <w:spacing w:after="0" w:line="27" w:lineRule="exact"/>
        <w:rPr>
          <w:sz w:val="24"/>
          <w:szCs w:val="24"/>
          <w:color w:val="auto"/>
        </w:rPr>
      </w:pPr>
    </w:p>
    <w:p>
      <w:pPr>
        <w:ind w:left="898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5" w:right="239" w:bottom="1440" w:gutter="0" w:footer="0" w:header="0"/>
        </w:sectPr>
      </w:pP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6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300" w:space="720"/>
            <w:col w:w="3400"/>
          </w:cols>
          <w:pgMar w:left="240" w:top="445" w:right="2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ectPr>
          <w:pgSz w:w="11900" w:h="16838" w:orient="portrait"/>
          <w:cols w:equalWidth="0" w:num="1">
            <w:col w:w="11420"/>
          </w:cols>
          <w:pgMar w:left="240" w:top="445" w:right="2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Incentive Stock and Awards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Large accelerated filer [ ]</w:t>
            </w:r>
          </w:p>
        </w:tc>
        <w:tc>
          <w:tcPr>
            <w:tcW w:w="2300" w:type="dxa"/>
            <w:vAlign w:val="bottom"/>
            <w:gridSpan w:val="3"/>
          </w:tcPr>
          <w:p>
            <w:pPr>
              <w:ind w:left="20"/>
              <w:spacing w:after="0"/>
              <w:rPr>
                <w:sz w:val="20"/>
                <w:szCs w:val="20"/>
                <w:color w:val="auto"/>
              </w:rPr>
            </w:pPr>
            <w:r>
              <w:rPr>
                <w:rFonts w:ascii="Arial" w:cs="Arial" w:eastAsia="Arial" w:hAnsi="Arial"/>
                <w:sz w:val="18"/>
                <w:szCs w:val="18"/>
                <w:color w:val="auto"/>
              </w:rPr>
              <w:t>Accelerated filer [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4"/>
          </w:tcPr>
          <w:p>
            <w:pPr>
              <w:jc w:val="right"/>
              <w:ind w:right="80"/>
              <w:spacing w:after="0"/>
              <w:rPr>
                <w:sz w:val="20"/>
                <w:szCs w:val="20"/>
                <w:color w:val="auto"/>
              </w:rPr>
            </w:pPr>
            <w:r>
              <w:rPr>
                <w:rFonts w:ascii="Arial" w:cs="Arial" w:eastAsia="Arial" w:hAnsi="Arial"/>
                <w:sz w:val="18"/>
                <w:szCs w:val="18"/>
                <w:color w:val="auto"/>
              </w:rPr>
              <w:t>Non-accelerated filer [</w:t>
            </w:r>
          </w:p>
        </w:tc>
        <w:tc>
          <w:tcPr>
            <w:tcW w:w="8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880" w:type="dxa"/>
            <w:vAlign w:val="bottom"/>
            <w:gridSpan w:val="6"/>
          </w:tcPr>
          <w:p>
            <w:pPr>
              <w:ind w:left="126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520" w:type="dxa"/>
            <w:vAlign w:val="bottom"/>
            <w:gridSpan w:val="9"/>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60" w:type="dxa"/>
            <w:vAlign w:val="bottom"/>
            <w:tcBorders>
              <w:bottom w:val="single" w:sz="8" w:color="auto"/>
            </w:tcBorders>
            <w:gridSpan w:val="2"/>
          </w:tcPr>
          <w:p>
            <w:pPr>
              <w:spacing w:after="0"/>
              <w:rPr>
                <w:sz w:val="19"/>
                <w:szCs w:val="19"/>
                <w:color w:val="auto"/>
              </w:rPr>
            </w:pPr>
          </w:p>
        </w:tc>
        <w:tc>
          <w:tcPr>
            <w:tcW w:w="1960" w:type="dxa"/>
            <w:vAlign w:val="bottom"/>
            <w:tcBorders>
              <w:bottom w:val="single" w:sz="8" w:color="auto"/>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6"/>
        </w:trPr>
        <w:tc>
          <w:tcPr>
            <w:tcW w:w="2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CALCULATION OF REGISTRATION FEE</w:t>
            </w:r>
          </w:p>
        </w:tc>
        <w:tc>
          <w:tcPr>
            <w:tcW w:w="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Proposed maximum</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Proposed maximum</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Securities to be</w:t>
            </w:r>
          </w:p>
        </w:tc>
        <w:tc>
          <w:tcPr>
            <w:tcW w:w="220" w:type="dxa"/>
            <w:vAlign w:val="bottom"/>
          </w:tcPr>
          <w:p>
            <w:pPr>
              <w:spacing w:after="0"/>
              <w:rPr>
                <w:sz w:val="18"/>
                <w:szCs w:val="18"/>
                <w:color w:val="auto"/>
              </w:rPr>
            </w:pPr>
          </w:p>
        </w:tc>
        <w:tc>
          <w:tcPr>
            <w:tcW w:w="20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Amount to</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offering price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aggregate offering</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20" w:type="dxa"/>
            <w:vAlign w:val="bottom"/>
          </w:tcPr>
          <w:p>
            <w:pPr>
              <w:spacing w:after="0"/>
              <w:rPr>
                <w:sz w:val="20"/>
                <w:szCs w:val="20"/>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be registered (1)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 (3)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price (3)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registration fee</w:t>
            </w:r>
          </w:p>
        </w:tc>
      </w:tr>
      <w:tr>
        <w:trPr>
          <w:trHeight w:val="202"/>
        </w:trPr>
        <w:tc>
          <w:tcPr>
            <w:tcW w:w="25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w:t>
            </w:r>
          </w:p>
        </w:tc>
        <w:tc>
          <w:tcPr>
            <w:tcW w:w="2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760" w:type="dxa"/>
            <w:vAlign w:val="bottom"/>
            <w:gridSpan w:val="2"/>
            <w:shd w:val="clear" w:color="auto" w:fill="CCEEFF"/>
          </w:tcPr>
          <w:p>
            <w:pPr>
              <w:jc w:val="center"/>
              <w:ind w:left="690"/>
              <w:spacing w:after="0"/>
              <w:rPr>
                <w:sz w:val="20"/>
                <w:szCs w:val="20"/>
                <w:color w:val="auto"/>
              </w:rPr>
            </w:pPr>
            <w:r>
              <w:rPr>
                <w:rFonts w:ascii="Arial" w:cs="Arial" w:eastAsia="Arial" w:hAnsi="Arial"/>
                <w:sz w:val="18"/>
                <w:szCs w:val="18"/>
                <w:color w:val="auto"/>
                <w:w w:val="91"/>
              </w:rPr>
              <w:t>2,600,000 (2)</w:t>
            </w:r>
          </w:p>
        </w:tc>
        <w:tc>
          <w:tcPr>
            <w:tcW w:w="5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20,150,000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2,595.32</w:t>
            </w:r>
          </w:p>
        </w:tc>
      </w:tr>
    </w:tbl>
    <w:p>
      <w:pPr>
        <w:spacing w:after="0" w:line="229" w:lineRule="exact"/>
        <w:rPr>
          <w:sz w:val="24"/>
          <w:szCs w:val="24"/>
          <w:color w:val="auto"/>
        </w:rPr>
      </w:pPr>
    </w:p>
    <w:p>
      <w:pPr>
        <w:ind w:left="360" w:hanging="352"/>
        <w:spacing w:after="0" w:line="308" w:lineRule="auto"/>
        <w:tabs>
          <w:tab w:leader="none" w:pos="3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shall also cover any additional securities that may be offered or issued in connection with any stock dividend, stock split, recapitalization or other similar transaction.</w:t>
      </w:r>
    </w:p>
    <w:p>
      <w:pPr>
        <w:spacing w:after="0" w:line="146" w:lineRule="exact"/>
        <w:rPr>
          <w:rFonts w:ascii="Arial" w:cs="Arial" w:eastAsia="Arial" w:hAnsi="Arial"/>
          <w:sz w:val="17"/>
          <w:szCs w:val="17"/>
          <w:color w:val="auto"/>
        </w:rPr>
      </w:pPr>
    </w:p>
    <w:p>
      <w:pPr>
        <w:jc w:val="both"/>
        <w:ind w:left="360" w:hanging="352"/>
        <w:spacing w:after="0" w:line="259"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available for grant, but not yet granted as of the date of this Registration Statement under the Imprimis Pharmaceuticals, Inc. Amended and Restated 2007 Incentive Stock and Awards Plan (the “Plan”). Shares available for issuance under the Plan were previously registered on Registration Statements on Form S-8 filed with the Securities and Exchange Commission on May 12, 2009 (File No. 333-159159) and August 22, 2012 (File No. 333-183488).</w:t>
      </w:r>
    </w:p>
    <w:p>
      <w:pPr>
        <w:spacing w:after="0" w:line="186"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Rules 457(h) and 457(c) under the Securities Act, based on the average of the high and low sales prices of the Company’s Common Stock on the Nasdaq Capital Market on September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registration statement on Form S-8 is filed pursuant to General Instruction E. to Form S-8 to register an additional 2,600,000 shares of common stock, par value $0.001 per share, of Imprimis Pharmaceuticals, Inc. (the “Company”) that may be offered and sold under the Imprimis Pharmaceuticals, Inc. Amended and Restated 2007 Incentive Stock and Awards Plan, pursuant to Amendment No. 1 to the Plan approved by the stockholders of the Company on September 27, 2013 (as amended, the “Plan”). This registration statement registers additional securities of the same class as other securities for which another registration statement filed on this form relating to the same employee benefit plan is effective. Pursuant to General Instruction E. to Form S-8, the contents of the Company’s two previously filed registration statements on Form S-8 relating to the Plan, (i) Registration No. 333-159159 filed with the Securities and Exchange Commission (the “Commission”) on May 12, 2009 and (ii) Registration No. 333-183488 filed with the Commission on August 22, 2012, are hereby incorporated by reference herein to the extent not otherwise amended or superseded by the contents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September 10, 2014.</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Mark L. Baum and Andrew R. Boll,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such attorneys-in-fact and agents or any of them, or his or her or their substitute or substitutes, may lawfully do or cause to be done by virtue hereof.</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2"/>
                <w:szCs w:val="22"/>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5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Mark L. Baum</w:t>
            </w:r>
          </w:p>
        </w:tc>
        <w:tc>
          <w:tcPr>
            <w:tcW w:w="220" w:type="dxa"/>
            <w:vAlign w:val="bottom"/>
          </w:tcPr>
          <w:p>
            <w:pPr>
              <w:spacing w:after="0"/>
              <w:rPr>
                <w:sz w:val="20"/>
                <w:szCs w:val="20"/>
                <w:color w:val="auto"/>
              </w:rPr>
            </w:pPr>
          </w:p>
        </w:tc>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82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Vice President of Accounting and Public Reporting</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Andrew R. Boll</w:t>
            </w:r>
          </w:p>
        </w:tc>
        <w:tc>
          <w:tcPr>
            <w:tcW w:w="220" w:type="dxa"/>
            <w:vAlign w:val="bottom"/>
          </w:tcPr>
          <w:p>
            <w:pPr>
              <w:spacing w:after="0"/>
              <w:rPr>
                <w:sz w:val="20"/>
                <w:szCs w:val="20"/>
                <w:color w:val="auto"/>
              </w:rPr>
            </w:pPr>
          </w:p>
        </w:tc>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&amp; Financial Officer</w:t>
            </w:r>
            <w:r>
              <w:rPr>
                <w:rFonts w:ascii="Arial" w:cs="Arial" w:eastAsia="Arial" w:hAnsi="Arial"/>
                <w:sz w:val="18"/>
                <w:szCs w:val="18"/>
                <w:color w:val="auto"/>
              </w:rPr>
              <w:t>)</w:t>
            </w:r>
          </w:p>
        </w:tc>
        <w:tc>
          <w:tcPr>
            <w:tcW w:w="182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Stephen G. Austin</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 S. Bassani</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August S. Bassani</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Chairman of the Board of Directors and Director</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Robert J. Kammer</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8"/>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H. Nelson</w:t>
            </w:r>
          </w:p>
        </w:tc>
        <w:tc>
          <w:tcPr>
            <w:tcW w:w="22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20" w:type="dxa"/>
            <w:vAlign w:val="bottom"/>
          </w:tcPr>
          <w:p>
            <w:pPr>
              <w:spacing w:after="0"/>
              <w:rPr>
                <w:sz w:val="20"/>
                <w:szCs w:val="20"/>
                <w:color w:val="auto"/>
              </w:rPr>
            </w:pPr>
            <w:r>
              <w:rPr>
                <w:rFonts w:ascii="Arial" w:cs="Arial" w:eastAsia="Arial" w:hAnsi="Arial"/>
                <w:sz w:val="18"/>
                <w:szCs w:val="18"/>
                <w:color w:val="auto"/>
              </w:rPr>
              <w:t>September 10, 2014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William H. Nelson</w:t>
            </w:r>
          </w:p>
        </w:tc>
        <w:tc>
          <w:tcPr>
            <w:tcW w:w="2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52"/>
        </w:trPr>
        <w:tc>
          <w:tcPr>
            <w:tcW w:w="4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241"/>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Opinion of Morrison &amp; Foerster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Morrison &amp; Foerster LLP (contained in Exhibit 5.1)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KMJ Corbin &amp; Company LLP</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 (contained on signature page)</w:t>
            </w:r>
          </w:p>
        </w:tc>
      </w:tr>
      <w:tr>
        <w:trPr>
          <w:trHeight w:val="466"/>
        </w:trPr>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3340"/>
        <w:spacing w:after="0"/>
        <w:rPr>
          <w:sz w:val="20"/>
          <w:szCs w:val="20"/>
          <w:color w:val="auto"/>
        </w:rPr>
      </w:pPr>
      <w:r>
        <w:rPr>
          <w:rFonts w:ascii="Arial" w:cs="Arial" w:eastAsia="Arial" w:hAnsi="Arial"/>
          <w:sz w:val="17"/>
          <w:szCs w:val="17"/>
          <w:color w:val="auto"/>
        </w:rPr>
        <w:t>12531 HIGH BLUFF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6944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257175"/>
                    </a:xfrm>
                    <a:prstGeom prst="rect">
                      <a:avLst/>
                    </a:prstGeom>
                    <a:noFill/>
                  </pic:spPr>
                </pic:pic>
              </a:graphicData>
            </a:graphic>
          </wp:anchor>
        </w:drawing>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SAN DIEGO, CALIFORNIA</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92130-2040</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TELEPHONE: 858.720.5100</w:t>
      </w:r>
    </w:p>
    <w:p>
      <w:pPr>
        <w:spacing w:after="0" w:line="46"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FACSIMILE: 858.720.5125</w:t>
      </w:r>
    </w:p>
    <w:p>
      <w:pPr>
        <w:spacing w:after="0" w:line="22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WWW.MOFO.COM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25"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BEIJING, BERLIN, BRUSSELS, DENVER, HONG KONG, LONDON, LOS ANGELES, NEW YORK, NORTHERN VIRGINIA, PALO ALTO, SACRAMENTO, SAN DIEGO, SAN FRANCISCO, SHANGHAI, SINGAPORE, TOKYO, WASHINGTON, D.C.</w:t>
      </w:r>
    </w:p>
    <w:p>
      <w:pPr>
        <w:spacing w:after="0" w:line="1478" w:lineRule="exact"/>
        <w:rPr>
          <w:sz w:val="20"/>
          <w:szCs w:val="20"/>
          <w:color w:val="auto"/>
        </w:rPr>
      </w:pPr>
    </w:p>
    <w:p>
      <w:pPr>
        <w:sectPr>
          <w:pgSz w:w="11900" w:h="16838" w:orient="portrait"/>
          <w:cols w:equalWidth="0" w:num="2">
            <w:col w:w="6600" w:space="720"/>
            <w:col w:w="4100"/>
          </w:cols>
          <w:pgMar w:left="240" w:top="341" w:right="239" w:bottom="1440" w:gutter="0" w:footer="0" w:header="0"/>
        </w:sectPr>
      </w:pPr>
    </w:p>
    <w:p>
      <w:pPr>
        <w:spacing w:after="0" w:line="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Imprimis Pharmaceuticals, Inc. Amended and Restated 2007 Incentive Stock and Awards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your request, we have examined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Imprimis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to be filed with the Securities and Exchange Commission in connection with the registration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an aggregate of 2,600,000 shares of your common stock (the “</w:t>
      </w:r>
      <w:r>
        <w:rPr>
          <w:rFonts w:ascii="Arial" w:cs="Arial" w:eastAsia="Arial" w:hAnsi="Arial"/>
          <w:sz w:val="18"/>
          <w:szCs w:val="18"/>
          <w:u w:val="single" w:color="auto"/>
          <w:color w:val="auto"/>
        </w:rPr>
        <w:t>Plan Shares</w:t>
      </w:r>
      <w:r>
        <w:rPr>
          <w:rFonts w:ascii="Arial" w:cs="Arial" w:eastAsia="Arial" w:hAnsi="Arial"/>
          <w:sz w:val="18"/>
          <w:szCs w:val="18"/>
          <w:color w:val="auto"/>
        </w:rPr>
        <w:t>”) which will be issuable under the Imprimis Pharmaceuticals, Inc. Amended and Restated 2007 Incentive Stock and Awards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examined the originals, or photostatic or certified copies, of such records of the Company and certificates of officers of the Company and of public officials and such other documents as we have deemed relevant and necessary as the basis for the opinion set forth below. In our examination, we have assumed the genuineness of all signatures, the legal capacity and competency of all natural persons, the authenticity of all documents submitted to us as originals and the conformity to original documents of all documents submitted to us as copies. For the purpose of the opinion rendered below, we have assumed that in connection with the issuance of the Plan Shares, the Company will receive the consideration for such shares required by the terms of the Plan.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the foregoing examination and in reliance thereon, and subject to the qualifications, assumptions and limitations stated herein and in reliance on the statements of fact contained in the documents that we have examined, we are of the opinion that the Plan Shares, when issued and sold in accordance with the terms set forth in the Plan, will be legally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217805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78050" cy="300355"/>
                    </a:xfrm>
                    <a:prstGeom prst="rect">
                      <a:avLst/>
                    </a:prstGeom>
                    <a:noFill/>
                  </pic:spPr>
                </pic:pic>
              </a:graphicData>
            </a:graphic>
          </wp:anchor>
        </w:drawing>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In giving such consent, we do not thereby admit that we are in the category of persons whose consent is required under Section 7 of the Securities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4" w:right="239" w:bottom="1440" w:gutter="0" w:footer="0" w:header="0"/>
        </w:sectPr>
      </w:pPr>
    </w:p>
    <w:bookmarkStart w:id="7" w:name="page8"/>
    <w:bookmarkEnd w:id="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March 28, 2014, relating to the consolidated financial statements of Imprimis Pharmaceuticals, Inc. and subsidiary, appearing in the Annual Report on Form 10-K of Imprimis Pharmaceuticals, Inc. for the year ended December 31, 2013.</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2020-01-28T12:44:09Z</dcterms:created>
  <dcterms:modified xsi:type="dcterms:W3CDTF">2020-01-28T12:44:09Z</dcterms:modified>
</cp:coreProperties>
</file>