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266065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2, 2026</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HARROW,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48"/>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700" w:type="dxa"/>
            <w:vAlign w:val="bottom"/>
            <w:gridSpan w:val="3"/>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w w:val="99"/>
              </w:rPr>
              <w:t>001-35814</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45-0567010</w:t>
            </w:r>
          </w:p>
        </w:tc>
      </w:tr>
      <w:tr>
        <w:trPr>
          <w:trHeight w:val="144"/>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gridSpan w:val="3"/>
          </w:tcPr>
          <w:p>
            <w:pPr>
              <w:jc w:val="center"/>
              <w:ind w:right="900"/>
              <w:spacing w:after="0"/>
              <w:rPr>
                <w:sz w:val="20"/>
                <w:szCs w:val="20"/>
                <w:color w:val="auto"/>
              </w:rPr>
            </w:pPr>
            <w:r>
              <w:rPr>
                <w:rFonts w:ascii="Times New Roman" w:cs="Times New Roman" w:eastAsia="Times New Roman" w:hAnsi="Times New Roman"/>
                <w:sz w:val="12"/>
                <w:szCs w:val="12"/>
                <w:color w:val="auto"/>
              </w:rPr>
              <w:t>(Commission</w:t>
            </w:r>
          </w:p>
        </w:tc>
        <w:tc>
          <w:tcPr>
            <w:tcW w:w="1360" w:type="dxa"/>
            <w:vAlign w:val="bottom"/>
          </w:tcPr>
          <w:p>
            <w:pPr>
              <w:spacing w:after="0"/>
              <w:rPr>
                <w:sz w:val="12"/>
                <w:szCs w:val="12"/>
                <w:color w:val="auto"/>
              </w:rPr>
            </w:pPr>
          </w:p>
        </w:tc>
        <w:tc>
          <w:tcPr>
            <w:tcW w:w="226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gridSpan w:val="3"/>
          </w:tcPr>
          <w:p>
            <w:pPr>
              <w:jc w:val="center"/>
              <w:ind w:right="900"/>
              <w:spacing w:after="0"/>
              <w:rPr>
                <w:sz w:val="20"/>
                <w:szCs w:val="20"/>
                <w:color w:val="auto"/>
              </w:rPr>
            </w:pPr>
            <w:r>
              <w:rPr>
                <w:rFonts w:ascii="Times New Roman" w:cs="Times New Roman" w:eastAsia="Times New Roman" w:hAnsi="Times New Roman"/>
                <w:sz w:val="12"/>
                <w:szCs w:val="12"/>
                <w:color w:val="auto"/>
              </w:rPr>
              <w:t>File Number)</w:t>
            </w:r>
          </w:p>
        </w:tc>
        <w:tc>
          <w:tcPr>
            <w:tcW w:w="1360" w:type="dxa"/>
            <w:vAlign w:val="bottom"/>
          </w:tcPr>
          <w:p>
            <w:pPr>
              <w:spacing w:after="0"/>
              <w:rPr>
                <w:sz w:val="13"/>
                <w:szCs w:val="13"/>
                <w:color w:val="auto"/>
              </w:rPr>
            </w:pPr>
          </w:p>
        </w:tc>
        <w:tc>
          <w:tcPr>
            <w:tcW w:w="226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6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9"/>
              </w:rPr>
              <w:t>1A Burton Hills Blvd., Suite 200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48"/>
        </w:trPr>
        <w:tc>
          <w:tcPr>
            <w:tcW w:w="386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8"/>
              </w:rPr>
              <w:t>Nashville, Tennessee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37215</w:t>
            </w:r>
          </w:p>
        </w:tc>
        <w:tc>
          <w:tcPr>
            <w:tcW w:w="2260" w:type="dxa"/>
            <w:vAlign w:val="bottom"/>
          </w:tcPr>
          <w:p>
            <w:pPr>
              <w:spacing w:after="0"/>
              <w:rPr>
                <w:sz w:val="12"/>
                <w:szCs w:val="12"/>
                <w:color w:val="auto"/>
              </w:rPr>
            </w:pPr>
          </w:p>
        </w:tc>
      </w:tr>
      <w:tr>
        <w:trPr>
          <w:trHeight w:val="155"/>
        </w:trPr>
        <w:tc>
          <w:tcPr>
            <w:tcW w:w="3860" w:type="dxa"/>
            <w:vAlign w:val="bottom"/>
            <w:gridSpan w:val="2"/>
          </w:tcPr>
          <w:p>
            <w:pPr>
              <w:jc w:val="center"/>
              <w:ind w:left="1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2"/>
          </w:tcPr>
          <w:p>
            <w:pPr>
              <w:jc w:val="center"/>
              <w:ind w:right="18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2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(615) 733-4730</w:t>
            </w: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8"/>
        </w:trPr>
        <w:tc>
          <w:tcPr>
            <w:tcW w:w="22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13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144"/>
        </w:trPr>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2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36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77"/>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8"/>
        </w:trPr>
        <w:tc>
          <w:tcPr>
            <w:tcW w:w="386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3"/>
          </w:tcPr>
          <w:p>
            <w:pPr>
              <w:jc w:val="center"/>
              <w:ind w:right="114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620" w:type="dxa"/>
            <w:vAlign w:val="bottom"/>
            <w:gridSpan w:val="2"/>
          </w:tcPr>
          <w:p>
            <w:pPr>
              <w:jc w:val="center"/>
              <w:ind w:right="860"/>
              <w:spacing w:after="0"/>
              <w:rPr>
                <w:sz w:val="20"/>
                <w:szCs w:val="20"/>
                <w:color w:val="auto"/>
              </w:rPr>
            </w:pPr>
            <w:r>
              <w:rPr>
                <w:rFonts w:ascii="Times New Roman" w:cs="Times New Roman" w:eastAsia="Times New Roman" w:hAnsi="Times New Roman"/>
                <w:sz w:val="12"/>
                <w:szCs w:val="12"/>
                <w:color w:val="auto"/>
              </w:rPr>
              <w:t>Name on exchange on which registered</w:t>
            </w:r>
          </w:p>
        </w:tc>
      </w:tr>
      <w:tr>
        <w:trPr>
          <w:trHeight w:val="153"/>
        </w:trPr>
        <w:tc>
          <w:tcPr>
            <w:tcW w:w="3860" w:type="dxa"/>
            <w:vAlign w:val="bottom"/>
            <w:tcBorders>
              <w:top w:val="single" w:sz="8" w:color="auto"/>
            </w:tcBorders>
            <w:gridSpan w:val="2"/>
          </w:tcPr>
          <w:p>
            <w:pPr>
              <w:jc w:val="center"/>
              <w:ind w:left="360"/>
              <w:spacing w:after="0"/>
              <w:rPr>
                <w:sz w:val="20"/>
                <w:szCs w:val="20"/>
                <w:color w:val="auto"/>
              </w:rPr>
            </w:pPr>
            <w:r>
              <w:rPr>
                <w:rFonts w:ascii="Times New Roman" w:cs="Times New Roman" w:eastAsia="Times New Roman" w:hAnsi="Times New Roman"/>
                <w:sz w:val="12"/>
                <w:szCs w:val="12"/>
                <w:color w:val="auto"/>
                <w:w w:val="99"/>
              </w:rPr>
              <w:t>Common Stock, $0.001 par value per share</w:t>
            </w: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HROW</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20" w:type="dxa"/>
            <w:vAlign w:val="bottom"/>
            <w:tcBorders>
              <w:top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2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0" w:right="299" w:bottom="1440"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On March 2, 2026, Harrow, Inc. (the “Company”) issued a press release and a letter to stockholders announcing its financial results for the year and quarter ended December 31, 2025 and providing an update on recent corporate developments. The press release and letter to stockholders are furnished as Exhibits 99.1 and 99.2, respectively, to this Current Report on Form 8-K.</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Attached as Exhibit 99.3 to this Current Report on Form 8-K is a presentation of the Company that may be used by the management of the Company at investor conferences and at meetings describing the Company.</w:t>
      </w:r>
    </w:p>
    <w:p>
      <w:pPr>
        <w:spacing w:after="0" w:line="150"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The information furnished under Items 2.02 and 7.01 of this Current Report on Form 8-K, including Exhibits 99.1, 99.2 and 99.3, shall not be deemed to be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filing.</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ind w:left="508" w:hanging="508"/>
        <w:spacing w:after="0"/>
        <w:tabs>
          <w:tab w:leader="none" w:pos="50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Exhibits</w:t>
      </w:r>
    </w:p>
    <w:p>
      <w:pPr>
        <w:spacing w:after="0" w:line="154" w:lineRule="exact"/>
        <w:rPr>
          <w:sz w:val="20"/>
          <w:szCs w:val="20"/>
          <w:color w:val="auto"/>
        </w:rPr>
      </w:pPr>
    </w:p>
    <w:p>
      <w:pPr>
        <w:ind w:left="8"/>
        <w:spacing w:after="0"/>
        <w:tabs>
          <w:tab w:leader="none" w:pos="488"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issued by Harrow, Inc. on March 2, 2026</w:t>
      </w:r>
    </w:p>
    <w:p>
      <w:pPr>
        <w:spacing w:after="0" w:line="150" w:lineRule="exact"/>
        <w:rPr>
          <w:sz w:val="20"/>
          <w:szCs w:val="20"/>
          <w:color w:val="auto"/>
        </w:rPr>
      </w:pPr>
    </w:p>
    <w:p>
      <w:pPr>
        <w:ind w:left="8"/>
        <w:spacing w:after="0"/>
        <w:tabs>
          <w:tab w:leader="none" w:pos="488"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2"/>
          <w:szCs w:val="12"/>
          <w:u w:val="single" w:color="auto"/>
          <w:color w:val="0000EE"/>
        </w:rPr>
        <w:t>Letter to Stockholders by Harrow, Inc. dated March 2, 2026</w:t>
      </w:r>
    </w:p>
    <w:p>
      <w:pPr>
        <w:spacing w:after="0" w:line="150" w:lineRule="exact"/>
        <w:rPr>
          <w:sz w:val="20"/>
          <w:szCs w:val="20"/>
          <w:color w:val="auto"/>
        </w:rPr>
      </w:pPr>
    </w:p>
    <w:p>
      <w:pPr>
        <w:ind w:left="8"/>
        <w:spacing w:after="0"/>
        <w:tabs>
          <w:tab w:leader="none" w:pos="488" w:val="left"/>
        </w:tabs>
        <w:rPr>
          <w:sz w:val="20"/>
          <w:szCs w:val="20"/>
          <w:color w:val="auto"/>
        </w:rPr>
      </w:pPr>
      <w:r>
        <w:rPr>
          <w:rFonts w:ascii="Times New Roman" w:cs="Times New Roman" w:eastAsia="Times New Roman" w:hAnsi="Times New Roman"/>
          <w:sz w:val="12"/>
          <w:szCs w:val="12"/>
          <w:color w:val="auto"/>
        </w:rPr>
        <w:t>99.3</w:t>
      </w:r>
      <w:r>
        <w:rPr>
          <w:sz w:val="20"/>
          <w:szCs w:val="20"/>
          <w:color w:val="auto"/>
        </w:rPr>
        <w:tab/>
      </w:r>
      <w:r>
        <w:rPr>
          <w:rFonts w:ascii="Times New Roman" w:cs="Times New Roman" w:eastAsia="Times New Roman" w:hAnsi="Times New Roman"/>
          <w:sz w:val="11"/>
          <w:szCs w:val="11"/>
          <w:u w:val="single" w:color="auto"/>
          <w:color w:val="0000EE"/>
        </w:rPr>
        <w:t>Harrow Corporate Presentation dated March 2026</w:t>
      </w:r>
    </w:p>
    <w:p>
      <w:pPr>
        <w:spacing w:after="0" w:line="150" w:lineRule="exact"/>
        <w:rPr>
          <w:sz w:val="20"/>
          <w:szCs w:val="20"/>
          <w:color w:val="auto"/>
        </w:rPr>
      </w:pPr>
    </w:p>
    <w:p>
      <w:pPr>
        <w:ind w:left="8"/>
        <w:spacing w:after="0"/>
        <w:tabs>
          <w:tab w:leader="none" w:pos="48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HARROW, INC.</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2, 2026</w:t>
            </w:r>
          </w:p>
        </w:tc>
        <w:tc>
          <w:tcPr>
            <w:tcW w:w="28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Andrew R. Boll</w:t>
            </w:r>
          </w:p>
        </w:tc>
      </w:tr>
      <w:tr>
        <w:trPr>
          <w:trHeight w:val="122"/>
        </w:trPr>
        <w:tc>
          <w:tcPr>
            <w:tcW w:w="3340" w:type="dxa"/>
            <w:vAlign w:val="bottom"/>
          </w:tcPr>
          <w:p>
            <w:pPr>
              <w:spacing w:after="0"/>
              <w:rPr>
                <w:sz w:val="10"/>
                <w:szCs w:val="10"/>
                <w:color w:val="auto"/>
              </w:rPr>
            </w:pPr>
          </w:p>
        </w:tc>
        <w:tc>
          <w:tcPr>
            <w:tcW w:w="2880" w:type="dxa"/>
            <w:vAlign w:val="bottom"/>
          </w:tcPr>
          <w:p>
            <w:pPr>
              <w:ind w:left="232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Andrew R. Boll</w:t>
            </w:r>
          </w:p>
        </w:tc>
      </w:tr>
      <w:tr>
        <w:trPr>
          <w:trHeight w:val="155"/>
        </w:trPr>
        <w:tc>
          <w:tcPr>
            <w:tcW w:w="3340" w:type="dxa"/>
            <w:vAlign w:val="bottom"/>
          </w:tcPr>
          <w:p>
            <w:pPr>
              <w:spacing w:after="0"/>
              <w:rPr>
                <w:sz w:val="13"/>
                <w:szCs w:val="13"/>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&amp; Chief Financial Officer</w:t>
            </w:r>
          </w:p>
        </w:tc>
      </w:tr>
      <w:tr>
        <w:trPr>
          <w:trHeight w:val="288"/>
        </w:trPr>
        <w:tc>
          <w:tcPr>
            <w:tcW w:w="3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23444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Harrow Announces Q4 and Full-Year 2025 Financial Results and 2026 Financial Guidance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Full-Year 2025 and Selected Highlights:</w:t>
      </w:r>
    </w:p>
    <w:p>
      <w:pPr>
        <w:spacing w:after="0" w:line="154" w:lineRule="exact"/>
        <w:rPr>
          <w:sz w:val="20"/>
          <w:szCs w:val="20"/>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quarterly revenue of $89.1 million, a 33% increase over $66.8 million recorded in the prior-year period</w:t>
      </w:r>
    </w:p>
    <w:p>
      <w:pPr>
        <w:spacing w:after="0" w:line="1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Full-Year revenue of $272.3 million, a 36% increase over $199.6 million recorded in 2024</w:t>
      </w:r>
    </w:p>
    <w:p>
      <w:pPr>
        <w:spacing w:after="0" w:line="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income of $6.6 million in Q4 2025, and net loss $5.1 million for 2025</w:t>
      </w:r>
    </w:p>
    <w:p>
      <w:pPr>
        <w:spacing w:after="0" w:line="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$24.2 million in Q4 2025, and $61.9 million for 2025</w:t>
      </w:r>
    </w:p>
    <w:p>
      <w:pPr>
        <w:spacing w:after="0" w:line="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Generated $43.9 million of operating cash flow in 2025, versus $(22.2) million used in operations in 2024</w:t>
      </w:r>
    </w:p>
    <w:p>
      <w:pPr>
        <w:spacing w:after="0" w:line="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of $72.9 million as of December 31, 2025</w:t>
      </w:r>
    </w:p>
    <w:p>
      <w:pPr>
        <w:spacing w:after="0" w:line="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Full-year 2026 revenue guidance of $350 million to $365 million, including $133 million to $153 million in the first half of 2026 and $203 million to $226 million in the second half of 2026</w:t>
      </w:r>
    </w:p>
    <w:p>
      <w:pPr>
        <w:spacing w:after="0" w:line="6" w:lineRule="exact"/>
        <w:rPr>
          <w:rFonts w:ascii="Times New Roman" w:cs="Times New Roman" w:eastAsia="Times New Roman" w:hAnsi="Times New Roman"/>
          <w:sz w:val="12"/>
          <w:szCs w:val="12"/>
          <w:color w:val="auto"/>
        </w:rPr>
      </w:pPr>
    </w:p>
    <w:p>
      <w:pPr>
        <w:ind w:left="420" w:hanging="248"/>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Full-year 2026 Adjusted EBITDA guidance of $80 million to $100 million</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NASHVILLE, Tenn., March 2, 2026 – Harrow (Nasdaq: HROW), a leading provider of ophthalmic disease management solutions in North America, announced results for the fourth quarter and full-year ended December 31, 2025. The Company also posted its fourth quarter </w:t>
      </w:r>
      <w:r>
        <w:rPr>
          <w:rFonts w:ascii="Times New Roman" w:cs="Times New Roman" w:eastAsia="Times New Roman" w:hAnsi="Times New Roman"/>
          <w:sz w:val="12"/>
          <w:szCs w:val="12"/>
          <w:u w:val="single" w:color="auto"/>
          <w:color w:val="auto"/>
        </w:rPr>
        <w:t>Letter to Stockholders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corporate presentation</w:t>
      </w:r>
      <w:r>
        <w:rPr>
          <w:rFonts w:ascii="Times New Roman" w:cs="Times New Roman" w:eastAsia="Times New Roman" w:hAnsi="Times New Roman"/>
          <w:sz w:val="12"/>
          <w:szCs w:val="12"/>
          <w:color w:val="auto"/>
        </w:rPr>
        <w:t xml:space="preserve"> to the “Investors” section of its website, </w:t>
      </w:r>
      <w:r>
        <w:rPr>
          <w:rFonts w:ascii="Times New Roman" w:cs="Times New Roman" w:eastAsia="Times New Roman" w:hAnsi="Times New Roman"/>
          <w:sz w:val="12"/>
          <w:szCs w:val="12"/>
          <w:u w:val="single" w:color="auto"/>
          <w:color w:val="auto"/>
        </w:rPr>
        <w:t>harrow.com</w:t>
      </w:r>
      <w:r>
        <w:rPr>
          <w:rFonts w:ascii="Times New Roman" w:cs="Times New Roman" w:eastAsia="Times New Roman" w:hAnsi="Times New Roman"/>
          <w:sz w:val="12"/>
          <w:szCs w:val="12"/>
          <w:color w:val="auto"/>
        </w:rPr>
        <w:t>. The Company encourages Harrow stockholders to review these documents, which provide additional details concerning the historical results and future expectations for the business.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“Last year was a defining year for Harrow, with revenue up 36% for the year and a record fourth quarter that reflected both accelerating demand and improving operating leverage, especially in terms of generating operating cash flow. Our key products are still in the early stages of launch, and each is gaining significant commercial traction. Seeing VEVYE®, IHEEZO®, and TRIESENCE® all show solid signs of growth at the same time underscores the strength of our strategy and the tenacity of our commercial leadership,” said Mark L. Baum, Chief Executive Officer of Harrow. “As we enter 2026, we are building on that momentum across the business: doubling the VEVYE and TRIESENCE sales teams, expanding IHEEZO into the office-based setting, advancing our development pipeline, and operating with greater alignment as One Harrow. I also believe we are going to provide positive surprises this year (and next) with a few products in our portfolio that haven’t received much attention. With multiple growth drivers gaining traction and a larger commercial footprint coming online, I have increasing confidence in our ability to accelerate performance through 2026, to remain on track toward our goal of over $250 million in quarterly revenue by the end of 2027. And that won’t be the end of the story because beginning in 2028, we intend to further leverage our commercial platform by launching late-stage, large market assets in development, like G-MELT™ (formerly MELT-300), YOCHIL™ (formerly MELT-210), a next generation TRIESENCE pre-filled syringe, and other high impact product candidates in other phases of review. We have a tremendous amount of work ahead of us, but I believe we are making great progress as we transition from an early-stage growth company to a long-term cash-generating commercial powerhouse.”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Baum added, “Greater clarity in our financial guidance is an area where we owe it to Harrow stockholders to make improvements. Our new approach, while perhaps more conservative, will focus on greater transparency and structure. Our objective going forward is clear: </w:t>
      </w:r>
      <w:r>
        <w:rPr>
          <w:rFonts w:ascii="Times New Roman" w:cs="Times New Roman" w:eastAsia="Times New Roman" w:hAnsi="Times New Roman"/>
          <w:sz w:val="12"/>
          <w:szCs w:val="12"/>
          <w:i w:val="1"/>
          <w:iCs w:val="1"/>
          <w:color w:val="auto"/>
        </w:rPr>
        <w:t>to meet and beat expectations</w:t>
      </w:r>
      <w:r>
        <w:rPr>
          <w:rFonts w:ascii="Times New Roman" w:cs="Times New Roman" w:eastAsia="Times New Roman" w:hAnsi="Times New Roman"/>
          <w:sz w:val="12"/>
          <w:szCs w:val="12"/>
          <w:color w:val="auto"/>
        </w:rPr>
        <w:t>. Establishing and updating financial guidance around our new framework should help narrow the range of expectations and better align them around levels we are confident we can deliver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color w:val="auto"/>
        </w:rPr>
        <w:t>Harrow Announces Q4 and Full-Year 2025 Financial Results and 2026 Financial Guidance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Page 2</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March 2, 2026</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Fourth Quarter and Full-Year 2025 Financial Results: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Three Months Ended</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3"/>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7"/>
              </w:rPr>
              <w:t>For the Year Ended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43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8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4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89,092,000</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66,831,000</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272,303,000</w:t>
            </w: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199,614,000</w:t>
            </w:r>
          </w:p>
        </w:tc>
        <w:tc>
          <w:tcPr>
            <w:tcW w:w="120" w:type="dxa"/>
            <w:vAlign w:val="bottom"/>
            <w:shd w:val="clear" w:color="auto" w:fill="CCEEFF"/>
          </w:tcPr>
          <w:p>
            <w:pPr>
              <w:spacing w:after="0"/>
              <w:rPr>
                <w:sz w:val="11"/>
                <w:szCs w:val="1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8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79%</w:t>
            </w:r>
          </w:p>
        </w:tc>
        <w:tc>
          <w:tcPr>
            <w:tcW w:w="60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79%</w:t>
            </w:r>
          </w:p>
        </w:tc>
        <w:tc>
          <w:tcPr>
            <w:tcW w:w="34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w:t>
            </w:r>
          </w:p>
        </w:tc>
        <w:tc>
          <w:tcPr>
            <w:tcW w:w="48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8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6,626,000</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6,777,000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(5,139,000)</w:t>
            </w:r>
          </w:p>
        </w:tc>
        <w:tc>
          <w:tcPr>
            <w:tcW w:w="4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(17,481,000)</w:t>
            </w:r>
          </w:p>
        </w:tc>
      </w:tr>
      <w:tr>
        <w:trPr>
          <w:trHeight w:val="171"/>
        </w:trPr>
        <w:tc>
          <w:tcPr>
            <w:tcW w:w="430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(1)</w:t>
            </w:r>
          </w:p>
        </w:tc>
        <w:tc>
          <w:tcPr>
            <w:tcW w:w="8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24,170,000</w:t>
            </w:r>
          </w:p>
        </w:tc>
        <w:tc>
          <w:tcPr>
            <w:tcW w:w="6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22,489,000</w:t>
            </w: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61,923,000</w:t>
            </w:r>
          </w:p>
        </w:tc>
        <w:tc>
          <w:tcPr>
            <w:tcW w:w="4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40,327,000</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per share:</w:t>
            </w:r>
          </w:p>
        </w:tc>
        <w:tc>
          <w:tcPr>
            <w:tcW w:w="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Basic</w:t>
            </w:r>
          </w:p>
        </w:tc>
        <w:tc>
          <w:tcPr>
            <w:tcW w:w="88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0.18</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0.19</w:t>
            </w:r>
          </w:p>
        </w:tc>
        <w:tc>
          <w:tcPr>
            <w:tcW w:w="34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(0.14)</w:t>
            </w:r>
          </w:p>
        </w:tc>
        <w:tc>
          <w:tcPr>
            <w:tcW w:w="48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(0.49)</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w:t>
            </w:r>
          </w:p>
        </w:tc>
        <w:tc>
          <w:tcPr>
            <w:tcW w:w="8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0.17</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0.24</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(0.14)</w:t>
            </w:r>
          </w:p>
        </w:tc>
        <w:tc>
          <w:tcPr>
            <w:tcW w:w="4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(0.49)</w:t>
            </w:r>
          </w:p>
        </w:tc>
      </w:tr>
    </w:tbl>
    <w:p>
      <w:pPr>
        <w:spacing w:after="0" w:line="133" w:lineRule="exact"/>
        <w:rPr>
          <w:sz w:val="20"/>
          <w:szCs w:val="20"/>
          <w:color w:val="auto"/>
        </w:rPr>
      </w:pPr>
    </w:p>
    <w:p>
      <w:pPr>
        <w:ind w:left="208" w:hanging="208"/>
        <w:spacing w:after="0" w:line="194" w:lineRule="auto"/>
        <w:tabs>
          <w:tab w:leader="none" w:pos="20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Adjusted EBITDA is a non-GAAP measure. For additional information, including a reconciliation of Adjusted EBITDA to the most directly comparable measure presented in accordance with GAAP, see the explanation of non-GAAP measures and reconciliation tables at the end of this release.</w:t>
      </w:r>
    </w:p>
    <w:p>
      <w:pPr>
        <w:spacing w:after="0" w:line="135"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During the fourth quarter and year ended December 31, 2025, we recorded $8.5 million of acquired in-process research and development expense associated with upfront payments and related acquisition expenses from our acquisition of Melt Pharmaceuticals. This amount is included in GAAP operating expenses and net income figures and is not added back to our Adjusted EBITDA, consistent with our approach to non-GAAP measures.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 xml:space="preserve">Harrow will host a conference call to discuss the results at 8:00 a.m. ET on Tuesday, March 3, 2026. Participants can access the </w:t>
      </w:r>
      <w:r>
        <w:rPr>
          <w:rFonts w:ascii="Times New Roman" w:cs="Times New Roman" w:eastAsia="Times New Roman" w:hAnsi="Times New Roman"/>
          <w:sz w:val="12"/>
          <w:szCs w:val="12"/>
          <w:u w:val="single" w:color="auto"/>
          <w:color w:val="auto"/>
        </w:rPr>
        <w:t>live webcast</w:t>
      </w:r>
      <w:r>
        <w:rPr>
          <w:rFonts w:ascii="Times New Roman" w:cs="Times New Roman" w:eastAsia="Times New Roman" w:hAnsi="Times New Roman"/>
          <w:sz w:val="12"/>
          <w:szCs w:val="12"/>
          <w:color w:val="auto"/>
        </w:rPr>
        <w:t xml:space="preserve"> of Harrow’s presentation on the “Investors” page of Harrow’s website. A replay of the webcast will be available on the Company’s website for one year.</w:t>
      </w:r>
    </w:p>
    <w:p>
      <w:pPr>
        <w:spacing w:after="0" w:line="111"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 xml:space="preserve">To participate via telephone, please register in advance using this </w:t>
      </w:r>
      <w:r>
        <w:rPr>
          <w:rFonts w:ascii="Times New Roman" w:cs="Times New Roman" w:eastAsia="Times New Roman" w:hAnsi="Times New Roman"/>
          <w:sz w:val="12"/>
          <w:szCs w:val="12"/>
          <w:u w:val="single" w:color="auto"/>
          <w:color w:val="auto"/>
        </w:rPr>
        <w:t>link</w:t>
      </w:r>
      <w:r>
        <w:rPr>
          <w:rFonts w:ascii="Times New Roman" w:cs="Times New Roman" w:eastAsia="Times New Roman" w:hAnsi="Times New Roman"/>
          <w:sz w:val="12"/>
          <w:szCs w:val="12"/>
          <w:color w:val="auto"/>
        </w:rPr>
        <w:t>. Upon registration, all telephone participants will receive a confirmation email with detailed instructions, including a unique dial-in number and PIN, for accessing the call.</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Harrow</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 w:cs="Times New Roman" w:eastAsia="Times New Roman" w:hAnsi="Times New Roman"/>
          <w:sz w:val="12"/>
          <w:szCs w:val="12"/>
          <w:u w:val="single" w:color="auto"/>
          <w:color w:val="auto"/>
        </w:rPr>
        <w:t>harrow.com</w:t>
      </w:r>
      <w:r>
        <w:rPr>
          <w:rFonts w:ascii="Times New Roman" w:cs="Times New Roman" w:eastAsia="Times New Roman" w:hAnsi="Times New Roman"/>
          <w:sz w:val="12"/>
          <w:szCs w:val="12"/>
          <w:color w:val="auto"/>
        </w:rPr>
        <w:t xml:space="preserve"> and connect with us on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8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Harrow Announces Q4 and Full-Year 2025 Financial Results and 2026 Financial Guidance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2025, and other filings with the SEC. Such documents may be read free of charge on the SEC’s web site at </w:t>
      </w:r>
      <w:r>
        <w:rPr>
          <w:rFonts w:ascii="Times New Roman" w:cs="Times New Roman" w:eastAsia="Times New Roman" w:hAnsi="Times New Roman"/>
          <w:sz w:val="12"/>
          <w:szCs w:val="12"/>
          <w:u w:val="single" w:color="auto"/>
          <w:color w:val="auto"/>
        </w:rPr>
        <w:t>sec.gov</w:t>
      </w:r>
      <w:r>
        <w:rPr>
          <w:rFonts w:ascii="Times New Roman" w:cs="Times New Roman" w:eastAsia="Times New Roman" w:hAnsi="Times New Roman"/>
          <w:sz w:val="12"/>
          <w:szCs w:val="12"/>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Mike Biega, VP of Investor Relations and Communications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mbiega@harrowinc.com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617-913-8890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Harrow Announces Q4 and Full-Year 2025 Financial Results and 2026 Financial Guidance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HARROW,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right"/>
              <w:ind w:right="714"/>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3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Pr>
          <w:p>
            <w:pPr>
              <w:spacing w:after="0"/>
              <w:rPr>
                <w:sz w:val="13"/>
                <w:szCs w:val="13"/>
                <w:color w:val="auto"/>
              </w:rPr>
            </w:pPr>
          </w:p>
        </w:tc>
      </w:tr>
      <w:tr>
        <w:trPr>
          <w:trHeight w:val="133"/>
        </w:trPr>
        <w:tc>
          <w:tcPr>
            <w:tcW w:w="3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1524"/>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466"/>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72,927,000</w:t>
            </w:r>
          </w:p>
        </w:tc>
        <w:tc>
          <w:tcPr>
            <w:tcW w:w="4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47,247,000</w:t>
            </w:r>
          </w:p>
        </w:tc>
        <w:tc>
          <w:tcPr>
            <w:tcW w:w="100" w:type="dxa"/>
            <w:vAlign w:val="bottom"/>
          </w:tcPr>
          <w:p>
            <w:pPr>
              <w:spacing w:after="0"/>
              <w:rPr>
                <w:sz w:val="12"/>
                <w:szCs w:val="12"/>
                <w:color w:val="auto"/>
              </w:rPr>
            </w:pPr>
          </w:p>
        </w:tc>
      </w:tr>
      <w:tr>
        <w:trPr>
          <w:trHeight w:val="1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other current assets</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138,823,000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142,404,000</w:t>
            </w:r>
          </w:p>
        </w:tc>
        <w:tc>
          <w:tcPr>
            <w:tcW w:w="100" w:type="dxa"/>
            <w:vAlign w:val="bottom"/>
            <w:shd w:val="clear" w:color="auto" w:fill="CCEEFF"/>
          </w:tcPr>
          <w:p>
            <w:pPr>
              <w:spacing w:after="0"/>
              <w:rPr>
                <w:sz w:val="13"/>
                <w:szCs w:val="13"/>
                <w:color w:val="auto"/>
              </w:rPr>
            </w:pPr>
          </w:p>
        </w:tc>
      </w:tr>
      <w:tr>
        <w:trPr>
          <w:trHeight w:val="133"/>
        </w:trPr>
        <w:tc>
          <w:tcPr>
            <w:tcW w:w="31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6"/>
              </w:rPr>
              <w:t>211,750,000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189,651,000</w:t>
            </w:r>
          </w:p>
        </w:tc>
        <w:tc>
          <w:tcPr>
            <w:tcW w:w="100" w:type="dxa"/>
            <w:vAlign w:val="bottom"/>
          </w:tcPr>
          <w:p>
            <w:pPr>
              <w:spacing w:after="0"/>
              <w:rPr>
                <w:sz w:val="11"/>
                <w:szCs w:val="11"/>
                <w:color w:val="auto"/>
              </w:rPr>
            </w:pPr>
          </w:p>
        </w:tc>
      </w:tr>
      <w:tr>
        <w:trPr>
          <w:trHeight w:val="1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other assets</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187,732,000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199,320,000</w:t>
            </w:r>
          </w:p>
        </w:tc>
        <w:tc>
          <w:tcPr>
            <w:tcW w:w="100" w:type="dxa"/>
            <w:vAlign w:val="bottom"/>
            <w:shd w:val="clear" w:color="auto" w:fill="CCEEFF"/>
          </w:tcPr>
          <w:p>
            <w:pPr>
              <w:spacing w:after="0"/>
              <w:rPr>
                <w:sz w:val="13"/>
                <w:szCs w:val="13"/>
                <w:color w:val="auto"/>
              </w:rPr>
            </w:pPr>
          </w:p>
        </w:tc>
      </w:tr>
      <w:tr>
        <w:trPr>
          <w:trHeight w:val="149"/>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399,482,000</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388,971,000</w:t>
            </w:r>
          </w:p>
        </w:tc>
        <w:tc>
          <w:tcPr>
            <w:tcW w:w="100" w:type="dxa"/>
            <w:vAlign w:val="bottom"/>
            <w:tcBorders>
              <w:bottom w:val="single" w:sz="8" w:color="CCEEFF"/>
            </w:tcBorders>
          </w:tcPr>
          <w:p>
            <w:pPr>
              <w:spacing w:after="0"/>
              <w:rPr>
                <w:sz w:val="12"/>
                <w:szCs w:val="12"/>
                <w:color w:val="auto"/>
              </w:rPr>
            </w:pPr>
          </w:p>
        </w:tc>
      </w:tr>
      <w:tr>
        <w:trPr>
          <w:trHeight w:val="144"/>
        </w:trPr>
        <w:tc>
          <w:tcPr>
            <w:tcW w:w="3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5180" w:type="dxa"/>
            <w:vAlign w:val="bottom"/>
            <w:gridSpan w:val="3"/>
          </w:tcPr>
          <w:p>
            <w:pPr>
              <w:ind w:left="208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6"/>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96,302,000</w:t>
            </w:r>
          </w:p>
        </w:tc>
        <w:tc>
          <w:tcPr>
            <w:tcW w:w="4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91,343,000</w:t>
            </w:r>
          </w:p>
        </w:tc>
        <w:tc>
          <w:tcPr>
            <w:tcW w:w="100" w:type="dxa"/>
            <w:vAlign w:val="bottom"/>
            <w:shd w:val="clear" w:color="auto" w:fill="CCEEFF"/>
          </w:tcPr>
          <w:p>
            <w:pPr>
              <w:spacing w:after="0"/>
              <w:rPr>
                <w:sz w:val="12"/>
                <w:szCs w:val="12"/>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Loans payable, net of unamortized debt discount</w:t>
            </w: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6"/>
              </w:rPr>
              <w:t>243,184,000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219,539,000</w:t>
            </w:r>
          </w:p>
        </w:tc>
        <w:tc>
          <w:tcPr>
            <w:tcW w:w="100" w:type="dxa"/>
            <w:vAlign w:val="bottom"/>
          </w:tcPr>
          <w:p>
            <w:pPr>
              <w:spacing w:after="0"/>
              <w:rPr>
                <w:sz w:val="12"/>
                <w:szCs w:val="12"/>
                <w:color w:val="auto"/>
              </w:rPr>
            </w:pPr>
          </w:p>
        </w:tc>
      </w:tr>
      <w:tr>
        <w:trPr>
          <w:trHeight w:val="1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other liabilities</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7,905,000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8,792,000</w:t>
            </w:r>
          </w:p>
        </w:tc>
        <w:tc>
          <w:tcPr>
            <w:tcW w:w="100" w:type="dxa"/>
            <w:vAlign w:val="bottom"/>
            <w:shd w:val="clear" w:color="auto" w:fill="CCEEFF"/>
          </w:tcPr>
          <w:p>
            <w:pPr>
              <w:spacing w:after="0"/>
              <w:rPr>
                <w:sz w:val="13"/>
                <w:szCs w:val="13"/>
                <w:color w:val="auto"/>
              </w:rPr>
            </w:pPr>
          </w:p>
        </w:tc>
      </w:tr>
      <w:tr>
        <w:trPr>
          <w:trHeight w:val="133"/>
        </w:trPr>
        <w:tc>
          <w:tcPr>
            <w:tcW w:w="31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6"/>
              </w:rPr>
              <w:t>347,391,000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319,674,000</w:t>
            </w:r>
          </w:p>
        </w:tc>
        <w:tc>
          <w:tcPr>
            <w:tcW w:w="100" w:type="dxa"/>
            <w:vAlign w:val="bottom"/>
          </w:tcPr>
          <w:p>
            <w:pPr>
              <w:spacing w:after="0"/>
              <w:rPr>
                <w:sz w:val="11"/>
                <w:szCs w:val="11"/>
                <w:color w:val="auto"/>
              </w:rPr>
            </w:pPr>
          </w:p>
        </w:tc>
      </w:tr>
      <w:tr>
        <w:trPr>
          <w:trHeight w:val="15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52,091,000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69,297,000</w:t>
            </w:r>
          </w:p>
        </w:tc>
        <w:tc>
          <w:tcPr>
            <w:tcW w:w="100" w:type="dxa"/>
            <w:vAlign w:val="bottom"/>
            <w:shd w:val="clear" w:color="auto" w:fill="CCEEFF"/>
          </w:tcPr>
          <w:p>
            <w:pPr>
              <w:spacing w:after="0"/>
              <w:rPr>
                <w:sz w:val="13"/>
                <w:szCs w:val="13"/>
                <w:color w:val="auto"/>
              </w:rPr>
            </w:pPr>
          </w:p>
        </w:tc>
      </w:tr>
      <w:tr>
        <w:trPr>
          <w:trHeight w:val="149"/>
        </w:trPr>
        <w:tc>
          <w:tcPr>
            <w:tcW w:w="31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w w:val="98"/>
              </w:rPr>
              <w:t>TOTAL LIABILITIES AND STOCKHOLDERS’ EQUITY</w:t>
            </w: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399,482,000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388,971,000</w:t>
            </w:r>
          </w:p>
        </w:tc>
        <w:tc>
          <w:tcPr>
            <w:tcW w:w="100" w:type="dxa"/>
            <w:vAlign w:val="bottom"/>
          </w:tcPr>
          <w:p>
            <w:pPr>
              <w:spacing w:after="0"/>
              <w:rPr>
                <w:sz w:val="12"/>
                <w:szCs w:val="12"/>
                <w:color w:val="auto"/>
              </w:rPr>
            </w:pPr>
          </w:p>
        </w:tc>
      </w:tr>
      <w:tr>
        <w:trPr>
          <w:trHeight w:val="273"/>
        </w:trPr>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HARROW, INC.</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9"/>
        </w:trPr>
        <w:tc>
          <w:tcPr>
            <w:tcW w:w="3160" w:type="dxa"/>
            <w:vAlign w:val="bottom"/>
          </w:tcPr>
          <w:p>
            <w:pPr>
              <w:spacing w:after="0"/>
              <w:rPr>
                <w:sz w:val="13"/>
                <w:szCs w:val="13"/>
                <w:color w:val="auto"/>
              </w:rPr>
            </w:pPr>
          </w:p>
        </w:tc>
        <w:tc>
          <w:tcPr>
            <w:tcW w:w="4680" w:type="dxa"/>
            <w:vAlign w:val="bottom"/>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OPERATIONS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9"/>
        </w:trPr>
        <w:tc>
          <w:tcPr>
            <w:tcW w:w="3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gridSpan w:val="7"/>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133"/>
        </w:trPr>
        <w:tc>
          <w:tcPr>
            <w:tcW w:w="3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11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89,092,000</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66,831,000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center"/>
              <w:ind w:right="2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272,303,000</w:t>
            </w: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199,614,000</w:t>
            </w:r>
          </w:p>
        </w:tc>
        <w:tc>
          <w:tcPr>
            <w:tcW w:w="100" w:type="dxa"/>
            <w:vAlign w:val="bottom"/>
            <w:shd w:val="clear" w:color="auto" w:fill="CCEEFF"/>
          </w:tcPr>
          <w:p>
            <w:pPr>
              <w:spacing w:after="0"/>
              <w:rPr>
                <w:sz w:val="11"/>
                <w:szCs w:val="11"/>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9"/>
              </w:rPr>
              <w:t>(18,468,000)</w:t>
            </w:r>
          </w:p>
        </w:tc>
        <w:tc>
          <w:tcPr>
            <w:tcW w:w="340" w:type="dxa"/>
            <w:vAlign w:val="bottom"/>
          </w:tcPr>
          <w:p>
            <w:pPr>
              <w:spacing w:after="0"/>
              <w:rPr>
                <w:sz w:val="13"/>
                <w:szCs w:val="13"/>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(14,135,000)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5"/>
          </w:tcPr>
          <w:p>
            <w:pPr>
              <w:jc w:val="right"/>
              <w:ind w:right="238"/>
              <w:spacing w:after="0"/>
              <w:rPr>
                <w:sz w:val="20"/>
                <w:szCs w:val="20"/>
                <w:color w:val="auto"/>
              </w:rPr>
            </w:pPr>
            <w:r>
              <w:rPr>
                <w:rFonts w:ascii="Times New Roman" w:cs="Times New Roman" w:eastAsia="Times New Roman" w:hAnsi="Times New Roman"/>
                <w:sz w:val="12"/>
                <w:szCs w:val="12"/>
                <w:color w:val="auto"/>
              </w:rPr>
              <w:t>(67,934,000)</w:t>
            </w:r>
          </w:p>
        </w:tc>
        <w:tc>
          <w:tcPr>
            <w:tcW w:w="380" w:type="dxa"/>
            <w:vAlign w:val="bottom"/>
          </w:tcPr>
          <w:p>
            <w:pPr>
              <w:spacing w:after="0"/>
              <w:rPr>
                <w:sz w:val="13"/>
                <w:szCs w:val="13"/>
                <w:color w:val="auto"/>
              </w:rPr>
            </w:pP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(49,245,000)</w:t>
            </w:r>
          </w:p>
        </w:tc>
      </w:tr>
      <w:tr>
        <w:trPr>
          <w:trHeight w:val="133"/>
        </w:trPr>
        <w:tc>
          <w:tcPr>
            <w:tcW w:w="316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1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70,624,000</w:t>
            </w: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52,696,000</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204,369,000</w:t>
            </w:r>
          </w:p>
        </w:tc>
        <w:tc>
          <w:tcPr>
            <w:tcW w:w="3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150,369,000</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3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43,310,000</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34,789,000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jc w:val="right"/>
              <w:spacing w:after="0" w:line="133" w:lineRule="exact"/>
              <w:rPr>
                <w:sz w:val="20"/>
                <w:szCs w:val="20"/>
                <w:color w:val="auto"/>
              </w:rPr>
            </w:pPr>
            <w:r>
              <w:rPr>
                <w:rFonts w:ascii="Times New Roman" w:cs="Times New Roman" w:eastAsia="Times New Roman" w:hAnsi="Times New Roman"/>
                <w:sz w:val="12"/>
                <w:szCs w:val="12"/>
                <w:color w:val="auto"/>
              </w:rPr>
              <w:t>152,914,000</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129,064,000</w:t>
            </w: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11,723,000</w:t>
            </w:r>
          </w:p>
        </w:tc>
        <w:tc>
          <w:tcPr>
            <w:tcW w:w="3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4,755,000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gridSpan w:val="5"/>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20,940,000</w:t>
            </w:r>
          </w:p>
        </w:tc>
        <w:tc>
          <w:tcPr>
            <w:tcW w:w="3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12,230,000</w:t>
            </w:r>
          </w:p>
        </w:tc>
        <w:tc>
          <w:tcPr>
            <w:tcW w:w="100" w:type="dxa"/>
            <w:vAlign w:val="bottom"/>
            <w:shd w:val="clear" w:color="auto" w:fill="CCEEFF"/>
          </w:tcPr>
          <w:p>
            <w:pPr>
              <w:spacing w:after="0"/>
              <w:rPr>
                <w:sz w:val="12"/>
                <w:szCs w:val="12"/>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253,000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253,000</w:t>
            </w:r>
          </w:p>
        </w:tc>
        <w:tc>
          <w:tcPr>
            <w:tcW w:w="100" w:type="dxa"/>
            <w:vAlign w:val="bottom"/>
          </w:tcPr>
          <w:p>
            <w:pPr>
              <w:spacing w:after="0"/>
              <w:rPr>
                <w:sz w:val="13"/>
                <w:szCs w:val="13"/>
                <w:color w:val="auto"/>
              </w:rPr>
            </w:pPr>
          </w:p>
        </w:tc>
      </w:tr>
      <w:tr>
        <w:trPr>
          <w:trHeight w:val="133"/>
        </w:trPr>
        <w:tc>
          <w:tcPr>
            <w:tcW w:w="316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55,033,000</w:t>
            </w: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39,797,000</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173,854,000</w:t>
            </w:r>
          </w:p>
        </w:tc>
        <w:tc>
          <w:tcPr>
            <w:tcW w:w="3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141,547,000</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31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Income from operations</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15,591,000</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12,899,000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30,515,000</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8,822,000</w:t>
            </w: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expense, net</w:t>
            </w: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(5,194,000)</w:t>
            </w:r>
          </w:p>
        </w:tc>
        <w:tc>
          <w:tcPr>
            <w:tcW w:w="3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(6,636,000)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gridSpan w:val="5"/>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(31,883,000)</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(26,142,000)</w:t>
            </w:r>
          </w:p>
        </w:tc>
      </w:tr>
      <w:tr>
        <w:trPr>
          <w:trHeight w:val="153"/>
        </w:trPr>
        <w:tc>
          <w:tcPr>
            <w:tcW w:w="3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(3,771,000)</w:t>
            </w:r>
          </w:p>
        </w:tc>
        <w:tc>
          <w:tcPr>
            <w:tcW w:w="340" w:type="dxa"/>
            <w:vAlign w:val="bottom"/>
          </w:tcPr>
          <w:p>
            <w:pPr>
              <w:spacing w:after="0"/>
              <w:rPr>
                <w:sz w:val="13"/>
                <w:szCs w:val="13"/>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514,000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5"/>
          </w:tcPr>
          <w:p>
            <w:pPr>
              <w:jc w:val="right"/>
              <w:ind w:right="238"/>
              <w:spacing w:after="0"/>
              <w:rPr>
                <w:sz w:val="20"/>
                <w:szCs w:val="20"/>
                <w:color w:val="auto"/>
              </w:rPr>
            </w:pPr>
            <w:r>
              <w:rPr>
                <w:rFonts w:ascii="Times New Roman" w:cs="Times New Roman" w:eastAsia="Times New Roman" w:hAnsi="Times New Roman"/>
                <w:sz w:val="12"/>
                <w:szCs w:val="12"/>
                <w:color w:val="auto"/>
              </w:rPr>
              <w:t>(3,771,000)</w:t>
            </w:r>
          </w:p>
        </w:tc>
        <w:tc>
          <w:tcPr>
            <w:tcW w:w="380" w:type="dxa"/>
            <w:vAlign w:val="bottom"/>
          </w:tcPr>
          <w:p>
            <w:pPr>
              <w:spacing w:after="0"/>
              <w:rPr>
                <w:sz w:val="13"/>
                <w:szCs w:val="13"/>
                <w:color w:val="auto"/>
              </w:rPr>
            </w:pP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(161,000)</w:t>
            </w:r>
          </w:p>
        </w:tc>
      </w:tr>
      <w:tr>
        <w:trPr>
          <w:trHeight w:val="162"/>
        </w:trPr>
        <w:tc>
          <w:tcPr>
            <w:tcW w:w="3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6,626,000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6,777,000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(5,139,000</w:t>
            </w:r>
          </w:p>
        </w:tc>
        <w:tc>
          <w:tcPr>
            <w:tcW w:w="320" w:type="dxa"/>
            <w:vAlign w:val="bottom"/>
            <w:tcBorders>
              <w:top w:val="single" w:sz="8" w:color="CCEEFF"/>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(17,481,000</w:t>
            </w:r>
          </w:p>
        </w:tc>
        <w:tc>
          <w:tcPr>
            <w:tcW w:w="100" w:type="dxa"/>
            <w:vAlign w:val="bottom"/>
            <w:tcBorders>
              <w:top w:val="single" w:sz="8" w:color="CCEEFF"/>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r>
        <w:trPr>
          <w:trHeight w:val="131"/>
        </w:trPr>
        <w:tc>
          <w:tcPr>
            <w:tcW w:w="316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Net income (loss) per share:</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Basic</w:t>
            </w:r>
          </w:p>
        </w:tc>
        <w:tc>
          <w:tcPr>
            <w:tcW w:w="2020" w:type="dxa"/>
            <w:vAlign w:val="bottom"/>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0.18</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0.19</w:t>
            </w:r>
          </w:p>
        </w:tc>
        <w:tc>
          <w:tcPr>
            <w:tcW w:w="5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(0.14)</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(0.49)</w:t>
            </w:r>
          </w:p>
        </w:tc>
      </w:tr>
      <w:tr>
        <w:trPr>
          <w:trHeight w:val="131"/>
        </w:trPr>
        <w:tc>
          <w:tcPr>
            <w:tcW w:w="3160" w:type="dxa"/>
            <w:vAlign w:val="bottom"/>
            <w:tcBorders>
              <w:top w:val="single" w:sz="8" w:color="CCEEFF"/>
            </w:tcBorders>
          </w:tcPr>
          <w:p>
            <w:pPr>
              <w:ind w:left="120"/>
              <w:spacing w:after="0" w:line="131" w:lineRule="exact"/>
              <w:rPr>
                <w:sz w:val="20"/>
                <w:szCs w:val="20"/>
                <w:color w:val="auto"/>
              </w:rPr>
            </w:pPr>
            <w:r>
              <w:rPr>
                <w:rFonts w:ascii="Times New Roman" w:cs="Times New Roman" w:eastAsia="Times New Roman" w:hAnsi="Times New Roman"/>
                <w:sz w:val="12"/>
                <w:szCs w:val="12"/>
                <w:b w:val="1"/>
                <w:bCs w:val="1"/>
                <w:color w:val="auto"/>
              </w:rPr>
              <w:t>Diluted</w:t>
            </w:r>
          </w:p>
        </w:tc>
        <w:tc>
          <w:tcPr>
            <w:tcW w:w="1140" w:type="dxa"/>
            <w:vAlign w:val="bottom"/>
            <w:tcBorders>
              <w:top w:val="single" w:sz="8" w:color="CCEEFF"/>
            </w:tcBorders>
          </w:tcPr>
          <w:p>
            <w:pPr>
              <w:spacing w:after="0"/>
              <w:rPr>
                <w:sz w:val="11"/>
                <w:szCs w:val="11"/>
                <w:color w:val="auto"/>
              </w:rPr>
            </w:pPr>
          </w:p>
        </w:tc>
        <w:tc>
          <w:tcPr>
            <w:tcW w:w="880" w:type="dxa"/>
            <w:vAlign w:val="bottom"/>
            <w:tcBorders>
              <w:top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0.17</w:t>
            </w:r>
          </w:p>
        </w:tc>
        <w:tc>
          <w:tcPr>
            <w:tcW w:w="34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jc w:val="right"/>
              <w:ind w:right="2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0.24</w:t>
            </w: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jc w:val="center"/>
              <w:ind w:right="280"/>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(0.14</w:t>
            </w:r>
          </w:p>
        </w:tc>
        <w:tc>
          <w:tcPr>
            <w:tcW w:w="320" w:type="dxa"/>
            <w:vAlign w:val="bottom"/>
            <w:tcBorders>
              <w:top w:val="single" w:sz="8" w:color="CCEEFF"/>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80" w:type="dxa"/>
            <w:vAlign w:val="bottom"/>
            <w:tcBorders>
              <w:top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(0.49</w:t>
            </w:r>
          </w:p>
        </w:tc>
        <w:tc>
          <w:tcPr>
            <w:tcW w:w="100" w:type="dxa"/>
            <w:vAlign w:val="bottom"/>
            <w:tcBorders>
              <w:top w:val="single" w:sz="8" w:color="CCEEFF"/>
            </w:tcBorders>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r>
        <w:trPr>
          <w:trHeight w:val="27"/>
        </w:trPr>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Harrow Announces Q4 and Full-Year 2025 Financial Results and 2026 Financial Guidance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HARROW,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2025</w:t>
            </w:r>
          </w:p>
        </w:tc>
        <w:tc>
          <w:tcPr>
            <w:tcW w:w="7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(used in):</w:t>
            </w:r>
          </w:p>
        </w:tc>
        <w:tc>
          <w:tcPr>
            <w:tcW w:w="1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activities</w:t>
            </w:r>
          </w:p>
        </w:tc>
        <w:tc>
          <w:tcPr>
            <w:tcW w:w="1140" w:type="dxa"/>
            <w:vAlign w:val="bottom"/>
          </w:tcPr>
          <w:p>
            <w:pPr>
              <w:jc w:val="right"/>
              <w:ind w:right="10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43,864,000</w:t>
            </w: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(22,202,000)</w:t>
            </w:r>
          </w:p>
        </w:tc>
      </w:tr>
      <w:tr>
        <w:trPr>
          <w:trHeight w:val="14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Investing activities</w:t>
            </w:r>
          </w:p>
        </w:tc>
        <w:tc>
          <w:tcPr>
            <w:tcW w:w="1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(5,460,000)</w:t>
            </w:r>
          </w:p>
        </w:tc>
        <w:tc>
          <w:tcPr>
            <w:tcW w:w="7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(33,164,000)</w:t>
            </w:r>
          </w:p>
        </w:tc>
      </w:tr>
      <w:tr>
        <w:trPr>
          <w:trHeight w:val="153"/>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Financing activities</w:t>
            </w:r>
          </w:p>
        </w:tc>
        <w:tc>
          <w:tcPr>
            <w:tcW w:w="114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(12,724,000)</w:t>
            </w:r>
          </w:p>
        </w:tc>
        <w:tc>
          <w:tcPr>
            <w:tcW w:w="7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28,528,000</w:t>
            </w:r>
          </w:p>
        </w:tc>
      </w:tr>
      <w:tr>
        <w:trPr>
          <w:trHeight w:val="133"/>
        </w:trPr>
        <w:tc>
          <w:tcPr>
            <w:tcW w:w="7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change in cash and cash equivalents</w:t>
            </w:r>
          </w:p>
        </w:tc>
        <w:tc>
          <w:tcPr>
            <w:tcW w:w="1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25,680,000</w:t>
            </w:r>
          </w:p>
        </w:tc>
        <w:tc>
          <w:tcPr>
            <w:tcW w:w="3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(26,838,000)</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the period</w:t>
            </w:r>
          </w:p>
        </w:tc>
        <w:tc>
          <w:tcPr>
            <w:tcW w:w="114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47,247,000</w:t>
            </w:r>
          </w:p>
        </w:tc>
        <w:tc>
          <w:tcPr>
            <w:tcW w:w="7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74,085,000</w:t>
            </w:r>
          </w:p>
        </w:tc>
      </w:tr>
      <w:tr>
        <w:trPr>
          <w:trHeight w:val="149"/>
        </w:trPr>
        <w:tc>
          <w:tcPr>
            <w:tcW w:w="70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the period</w:t>
            </w:r>
          </w:p>
        </w:tc>
        <w:tc>
          <w:tcPr>
            <w:tcW w:w="1140" w:type="dxa"/>
            <w:vAlign w:val="bottom"/>
            <w:tcBorders>
              <w:top w:val="single" w:sz="8" w:color="auto"/>
              <w:bottom w:val="single" w:sz="8" w:color="auto"/>
            </w:tcBorders>
            <w:shd w:val="clear" w:color="auto" w:fill="CCEEFF"/>
          </w:tcPr>
          <w:p>
            <w:pPr>
              <w:jc w:val="right"/>
              <w:ind w:right="10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72,927,000</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47,247,000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defines Adjusted EBITDA as net income (loss),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spacing w:after="0" w:line="1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1"/>
          <w:szCs w:val="11"/>
          <w:color w:val="auto"/>
        </w:rPr>
        <w:t>The following is a reconciliation of Adjusted EBITDA, a non-GAAP measure, to the most comparable GAAP measure, net income (loss), for the three months and year ended December 31, 2025 and for the same periods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Harrow Announces Q4 and Full-Year 2025 Financial Results and 2026 Financial Guidance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HARROW,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NET LOSS TO ADJUSTED EBITDA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4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4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net income (loss)</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6,626,000</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6,777,000</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(5,139,000)</w:t>
            </w: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(17,481,000)</w:t>
            </w:r>
          </w:p>
        </w:tc>
        <w:tc>
          <w:tcPr>
            <w:tcW w:w="120" w:type="dxa"/>
            <w:vAlign w:val="bottom"/>
            <w:gridSpan w:val="2"/>
            <w:shd w:val="clear" w:color="auto" w:fill="CCEEFF"/>
          </w:tcPr>
          <w:p>
            <w:pPr>
              <w:spacing w:after="0"/>
              <w:rPr>
                <w:sz w:val="11"/>
                <w:szCs w:val="1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and expenses</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3,800,000</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4,794,000</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12,502,000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17,619,000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253,000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253,000</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5,186,000</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6,375,000</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24,180,000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22,786,000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3,771,000</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(514,000)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3,771,000</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161,000</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464,000</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468,000</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1,915,000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1,850,000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4,315,000</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4,075,000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16,991,000</w:t>
            </w: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11,783,000</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Investment loss, net</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3,171,000</w:t>
            </w:r>
          </w:p>
        </w:tc>
        <w:tc>
          <w:tcPr>
            <w:tcW w:w="100" w:type="dxa"/>
            <w:vAlign w:val="bottom"/>
          </w:tcPr>
          <w:p>
            <w:pPr>
              <w:spacing w:after="0"/>
              <w:rPr>
                <w:sz w:val="12"/>
                <w:szCs w:val="12"/>
                <w:color w:val="auto"/>
              </w:rPr>
            </w:pPr>
          </w:p>
        </w:tc>
      </w:tr>
      <w:tr>
        <w:trPr>
          <w:trHeight w:val="15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3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261,000</w:t>
            </w: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7,703,000</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185,000</w:t>
            </w:r>
          </w:p>
        </w:tc>
        <w:tc>
          <w:tcPr>
            <w:tcW w:w="100" w:type="dxa"/>
            <w:vAlign w:val="bottom"/>
            <w:shd w:val="clear" w:color="auto" w:fill="CCEEFF"/>
          </w:tcPr>
          <w:p>
            <w:pPr>
              <w:spacing w:after="0"/>
              <w:rPr>
                <w:sz w:val="13"/>
                <w:szCs w:val="13"/>
                <w:color w:val="auto"/>
              </w:rPr>
            </w:pPr>
          </w:p>
        </w:tc>
      </w:tr>
      <w:tr>
        <w:trPr>
          <w:trHeight w:val="149"/>
        </w:trPr>
        <w:tc>
          <w:tcPr>
            <w:tcW w:w="4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24,170,000</w:t>
            </w:r>
          </w:p>
        </w:tc>
        <w:tc>
          <w:tcPr>
            <w:tcW w:w="3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22,489,000</w:t>
            </w: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61,923,000</w:t>
            </w:r>
          </w:p>
        </w:tc>
        <w:tc>
          <w:tcPr>
            <w:tcW w:w="3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40,327,000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104775</wp:posOffset>
            </wp:positionV>
            <wp:extent cx="11430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26</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2"/>
          <w:szCs w:val="12"/>
          <w:b w:val="1"/>
          <w:bCs w:val="1"/>
          <w:color w:val="auto"/>
        </w:rPr>
        <w:t xml:space="preserve"> Quarterly Letter to Stockholders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Harrow Stockholders: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Today, Harrow reported record fourth quarter revenues of $89.1 million, a 33% increase over the prior year’s fourth quarter revenues of $66.8 million, and a sequential increase of 24% from the third quarter 2025 revenues. For the full year 2025, we reported $272.3 million in revenues, a 36% increase over the prior year. In addition, during the fourth quarter of 2025, we continued to demonstrate operating leverage, reporting $6.6 million in net income and $24.2 million in Adjusted EBITDA (a non-GAAP measure), with a full-year 2025 net loss of $5.1 million and Adjusted EBITDA of $61.9 million. We had an extraordinary improvement in operating cash flows, generating $43.9 million of operating cash flow in 2025, versus $(22.2) million used in operations in 2024. We also recorded $8.5 million in acquired in-process research and development costs (IPR&amp;D) during the fourth quarter of 2025, which is included in our GAAP operating expenses and net income figures and was not added back to Adjusted EBITDA.</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 am pleased with the financial performance and growth we delivered last year, especially given that we have historically had a much smaller commercial footprint relative to many of our competitors. That is changing. While our intentionally conservative approach to expenses has allowed us to grow in a financially sound way, given what we are seeing in the key markets for our products, including reimbursement for our buy and bill products, refill and re-order rates, and the effectiveness of our sales representatives, we are convinced that the time to invest is now! Even with a very modest increase in sales personnel in the fourth quarter, we saw all our key products grow simultaneously for the first time. And, in the first quarter, as we continue adding to the VEVYE team, we are seeing daily new prescription rates consistently improve. Therefore, throughout this Letter to Stockholders, you will read a repeated refrain: we are expanding our commercial footprint to maximize our growth potential. We believe these targeted and strategic investments will lead to a much more valuable Harrow.</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As we moved into a new filer status this year (now a large, accelerated filer), some readers may be aware that the U.S. Securities and Exchange Commission requires us to include a five-year stock performance graph of our cumulative total stockholder return (TSR) in our annual report. I view the graph below as a powerful reminder of how far Harrow has come in a relatively short period, with Harrow’s stock price increasing by more than 700% over the past five years. As we enter the final phase of our current five-year plan, while my timing may occasionally be off by a quarter or even two, our long-term execution track record speaks for itself. If you are considering investing in Harrow today, my view is simple: </w:t>
      </w:r>
      <w:r>
        <w:rPr>
          <w:rFonts w:ascii="Times New Roman" w:cs="Times New Roman" w:eastAsia="Times New Roman" w:hAnsi="Times New Roman"/>
          <w:sz w:val="12"/>
          <w:szCs w:val="12"/>
          <w:i w:val="1"/>
          <w:iCs w:val="1"/>
          <w:color w:val="auto"/>
        </w:rPr>
        <w:t>take a long-term perspective</w:t>
      </w:r>
      <w:r>
        <w:rPr>
          <w:rFonts w:ascii="Times New Roman" w:cs="Times New Roman" w:eastAsia="Times New Roman" w:hAnsi="Times New Roman"/>
          <w:sz w:val="12"/>
          <w:szCs w:val="12"/>
          <w:color w:val="auto"/>
        </w:rPr>
        <w:t>. Our history suggests that patient stockholders who give us time to execute, measured in years, not months or quarters, have been richly rewarded. Importantly, because I am under the hood and am blessed with the opportunity to help shape the future of our company, speaking for Andrew as well, we are both amazed at how much opportunity and growth still lies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2245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4599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0" w:name="page11"/>
    <w:bookmarkEnd w:id="10"/>
    <w:p>
      <w:pPr>
        <w:jc w:val="both"/>
        <w:spacing w:after="0" w:line="265" w:lineRule="auto"/>
        <w:rPr>
          <w:sz w:val="20"/>
          <w:szCs w:val="20"/>
          <w:color w:val="auto"/>
        </w:rPr>
      </w:pPr>
      <w:r>
        <w:rPr>
          <w:rFonts w:ascii="Times New Roman" w:cs="Times New Roman" w:eastAsia="Times New Roman" w:hAnsi="Times New Roman"/>
          <w:sz w:val="12"/>
          <w:szCs w:val="12"/>
          <w:color w:val="auto"/>
        </w:rPr>
        <w:t>Over the past five years, Harrow has assembled a diversified, cash-generating asset base and a robust development pipeline, resulting in substantial long-term value creation. Along the way, we built a first-rate commercial organization to support our expansion. Today, I am proud that our teams are organized under One Harrow — aligned under a single brand, united by a shared mission, and focused on the same goals: expanding patient access, improving affordability, and delivering better clinical outcomes across ophthalmology through our comprehensive portfolio of disease management solutions.</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From continued growth in VEVYE®, IHEEZO®, and TRIESENCE®, to several new product launches, including BYOOVIZ® and OPUVIZ™ in some of the largest U.S. ophthalmic markets, to how we plan to better leverage underappreciated assets we own, and then what we expect from the Melt programs, I remain confident in our strategy as we move toward our end-of-2027 goal of over $250 million in quarterly revenue.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VEVYE: The Foundation Is Set—Now We Scale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VEVYE built momentum throughout 2025, especially in the fourth quarter, delivering a strong finish to the year and reinforcing its position as a cornerstone product within our portfolio. Fourth quarter revenue for VEVYE was $25.9 million, bringing full-year revenue to $88.7 million, an increase of 62% from the prior year’s fourth quarter and an increase of 216% from the prior year, respectively. We continue to see clear signs that VEVYE is entering a new phase of growth across prescription demand, payer access, and physician confidence. </w:t>
      </w:r>
      <w:r>
        <w:rPr>
          <w:rFonts w:ascii="Times New Roman" w:cs="Times New Roman" w:eastAsia="Times New Roman" w:hAnsi="Times New Roman"/>
          <w:sz w:val="12"/>
          <w:szCs w:val="12"/>
          <w:i w:val="1"/>
          <w:iCs w:val="1"/>
          <w:color w:val="auto"/>
        </w:rPr>
        <w:t>Keep in mind – these results were generated with a relatively small sales force.</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 xml:space="preserve">VEVYE growth should accelerate throughout 2026, driven by improved coverage, new prescription rates, and ongoing strong refill rates, as well as our intent to </w:t>
      </w:r>
      <w:r>
        <w:rPr>
          <w:rFonts w:ascii="Times New Roman" w:cs="Times New Roman" w:eastAsia="Times New Roman" w:hAnsi="Times New Roman"/>
          <w:sz w:val="12"/>
          <w:szCs w:val="12"/>
          <w:b w:val="1"/>
          <w:bCs w:val="1"/>
          <w:color w:val="auto"/>
        </w:rPr>
        <w:t>double the VEVYE salesforce by Memorial Day</w:t>
      </w:r>
      <w:r>
        <w:rPr>
          <w:rFonts w:ascii="Times New Roman" w:cs="Times New Roman" w:eastAsia="Times New Roman" w:hAnsi="Times New Roman"/>
          <w:sz w:val="12"/>
          <w:szCs w:val="12"/>
          <w:color w:val="auto"/>
        </w:rPr>
        <w:t>. With a beefier VEVYE team, we intend to re-engage with patients who were previously denied coverage, transition patients who are currently paying cash for VEVYE to obtain coverage, expand adoption among new-to-brand prescribers, increase call density and intensity with existing prescribers, and ensure that more eye care professionals are exposed to and take advantage of VEVYE’s unique clinical benefits and its increasingly favorable access profile.</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During the fourth quarter, VEVYE’s net price modestly improved, beginning to settle into a tighter range relative to the prior two quarters, which is exactly what we wanted to see as our access strategy matures. While I may have been a bit early on the timing of that reversal, internally, the eventual direction of travel was clear, and I am pleased we have now seen greater stability in net pricing.</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days of VEVYE being shackled by a dearth of coverage are ending. This began with the major coverage win we announced in the third quarter, which officially took effect on January 1. While we continue to expand our coverage network and more cash-pay patients transition to covered prescriptions, the shift toward commercially covered prescriptions strengthens the quality, durability, and long-term earnings power of VEVYE. More coverage equals more new prescriptions, and patients that our data shows continue on therapy. Throughout this year, the financial impact of improved coverage will build, especially as our expanded sales force becomes fully deployed and productive, and we get past the first quarter, which is seasonally more challenging for branded pharmaceuticals more broadly, due to insurance benefit resets and a higher concentration of high-deductible plans.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In 2025, according to our pharmacy partner PhilRx, the average refill rate for a covered VEVYE patient was approximately </w:t>
      </w:r>
      <w:r>
        <w:rPr>
          <w:rFonts w:ascii="Times New Roman" w:cs="Times New Roman" w:eastAsia="Times New Roman" w:hAnsi="Times New Roman"/>
          <w:sz w:val="12"/>
          <w:szCs w:val="12"/>
          <w:b w:val="1"/>
          <w:bCs w:val="1"/>
          <w:color w:val="auto"/>
        </w:rPr>
        <w:t>9 refills per year</w:t>
      </w:r>
      <w:r>
        <w:rPr>
          <w:rFonts w:ascii="Times New Roman" w:cs="Times New Roman" w:eastAsia="Times New Roman" w:hAnsi="Times New Roman"/>
          <w:sz w:val="12"/>
          <w:szCs w:val="12"/>
          <w:color w:val="auto"/>
        </w:rPr>
        <w:t xml:space="preserve">. Due to the slight overfill in each VEVYE bottle, </w:t>
      </w:r>
      <w:r>
        <w:rPr>
          <w:rFonts w:ascii="Times New Roman" w:cs="Times New Roman" w:eastAsia="Times New Roman" w:hAnsi="Times New Roman"/>
          <w:sz w:val="12"/>
          <w:szCs w:val="12"/>
          <w:b w:val="1"/>
          <w:bCs w:val="1"/>
          <w:color w:val="auto"/>
        </w:rPr>
        <w:t>this effectively equates to a full year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therapy</w:t>
      </w:r>
      <w:r>
        <w:rPr>
          <w:rFonts w:ascii="Times New Roman" w:cs="Times New Roman" w:eastAsia="Times New Roman" w:hAnsi="Times New Roman"/>
          <w:sz w:val="12"/>
          <w:szCs w:val="12"/>
          <w:color w:val="auto"/>
        </w:rPr>
        <w:t>. This includes patients prescribed VEVYE for chronic dry eye symptoms as well as those using it for acute needs (i.e., not requiring multiple refills). Equally important is the durability of patient year-over-year persistence,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data aligns with the refill rate data we shared in 2024. I believe that level of refill persistence is best-in-class in the dry eye disease market and is a direct reflection of VEVYE’s differentiated clinical attributes: </w:t>
      </w:r>
      <w:r>
        <w:rPr>
          <w:rFonts w:ascii="Times New Roman" w:cs="Times New Roman" w:eastAsia="Times New Roman" w:hAnsi="Times New Roman"/>
          <w:sz w:val="12"/>
          <w:szCs w:val="12"/>
          <w:i w:val="1"/>
          <w:iCs w:val="1"/>
          <w:color w:val="auto"/>
        </w:rPr>
        <w:t>it feels great on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eye, works quickly, and delivers durable efficacy that keeps patients on treatment</w:t>
      </w:r>
      <w:r>
        <w:rPr>
          <w:rFonts w:ascii="Times New Roman" w:cs="Times New Roman" w:eastAsia="Times New Roman" w:hAnsi="Times New Roman"/>
          <w:sz w:val="12"/>
          <w:szCs w:val="12"/>
          <w:color w:val="auto"/>
        </w:rPr>
        <w:t>.</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Looking ahead, VEVYE enters 2026 with multiple tailwinds: expanded coverage, strong refill persistence, growing prescription volume, and a rapidly scaling commercial footprint. Given the large and growing U.S. dry eye market, these dynamics give me a high level of confidence that VEVYE will remain in growth mode for years to come, is well positioned to exceed 2026 expectations, and, of course, will be a major contributor to achieving our longer-term 2027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IHEEZO: Record Year and More Growth Ahead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IHEEZO delivered a record fourth quarter and a record full year in 2025, significantly exceeding our expectations and reinforcing the franchise’s strength. Revenue increased to $35.9 million in the fourth quarter, with full-year revenue of $81.3 million, representing a 57% increase versus the fourth quarter of 2024 and a 65% increase year over year, respectively. Fourth quarter unit demand of 62,945 was a 28% increase over the fourth quarter of 2024 and a 24% sequential increase from the third quarter of 2025.</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growth in 2025 was driven by two factors: (1) continued adoption among U.S. retina practices (accounting for 70% of unit demand in 2025) and (2) increased utilization within existing accounts. Notably, the number of accounts ordering IHEEZO grew 49% year over year, underscoring the product’s expanding footprint. Together, these dynamics are increasing awareness, deepening customer engagement, and further validating IHEEZO’s differentiated value proposition in the market. Our team has done a wonderful job, but we have only scratched the surface of this opportunity to improve the ophthalmic anesthesia experience for Americans.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IHEEZO is the only FDA-approved ocular anesthetic in the U.S. with an FDA-approval supported by ophthalmic surgical clinical data. IHEEZO’s product-specific J-Code reflects the strength of its clinical profile, patient experience, and reimbursement support. Clinical studies in cataract surgery have shown that physicians can perform procedures with IHEEZO without the need for opioids. IHEEZO provides rapid, predictable anesthesia onset, is well-tolerated in part because it contains an excipient known to hydrate the corneal surface, and offers a best-in-class reimbursement profile.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you may remember, in the Fall of 2024, we implemented the Retina Pivot, focusing almost exclusively on providing a premium anesthesia experience for patients undergoing intravitreal injections (IVIs). To fully unlock IHEEZO’s potential in this massive 10 million annual unit market, we are generating retina-specific data demonstrating that IHEEZO can deliver a superior, differentiated patient experience during IVIs compared with legacy anesthesia modalities. Last year, we began investing in building this data. During our conference call, our Chief Scientific Officer, Amir Shojaei, will discuss the studies and data we expect to be announced this year. Here is a bit of color on two studies I am particularly excited about:</w:t>
      </w:r>
    </w:p>
    <w:p>
      <w:pPr>
        <w:spacing w:after="0" w:line="122" w:lineRule="exact"/>
        <w:rPr>
          <w:sz w:val="20"/>
          <w:szCs w:val="20"/>
          <w:color w:val="auto"/>
        </w:rPr>
      </w:pPr>
    </w:p>
    <w:p>
      <w:pPr>
        <w:jc w:val="both"/>
        <w:ind w:left="420" w:hanging="248"/>
        <w:spacing w:after="0" w:line="257"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IHEEZO’s performance in an IVI protocol is being studied by Dr. Sabin Dang from The Retina Institute in St. Louis, which is a part of Retina Consultants of America (RCA). Dr. Dang’s abstract on this study was accepted as a “late breaker” at the upcoming American Society of Retinal Specialists (ASRS) meeting in July. He provided us with this quote: “</w:t>
      </w:r>
      <w:r>
        <w:rPr>
          <w:rFonts w:ascii="Times New Roman" w:cs="Times New Roman" w:eastAsia="Times New Roman" w:hAnsi="Times New Roman"/>
          <w:sz w:val="12"/>
          <w:szCs w:val="12"/>
          <w:i w:val="1"/>
          <w:iCs w:val="1"/>
          <w:color w:val="auto"/>
        </w:rPr>
        <w:t>At The Retina Institute, we are committed to reducing the burden of vision-saving therapy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our patients. Our group is conducting the first prospective, randomized trial evaluating IHEEZO against traditional subconjunctival lidocaine for intravitreal injections. We have been encouraged by what we’ve observed, and our patients on IHEEZO have reported meaningful improvements in their treatment experience. We look forward to sharing our data this summer with the global retina community at the ASRS meeting in Montréal</w:t>
      </w:r>
      <w:r>
        <w:rPr>
          <w:rFonts w:ascii="Times New Roman" w:cs="Times New Roman" w:eastAsia="Times New Roman" w:hAnsi="Times New Roman"/>
          <w:sz w:val="12"/>
          <w:szCs w:val="12"/>
          <w:color w:val="auto"/>
        </w:rPr>
        <w:t>.” We too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look forward to seeing the results of this groundbreaking study!</w:t>
      </w:r>
    </w:p>
    <w:p>
      <w:pPr>
        <w:spacing w:after="0" w:line="125" w:lineRule="exact"/>
        <w:rPr>
          <w:rFonts w:ascii="Times New Roman" w:cs="Times New Roman" w:eastAsia="Times New Roman" w:hAnsi="Times New Roman"/>
          <w:sz w:val="12"/>
          <w:szCs w:val="12"/>
          <w:color w:val="auto"/>
        </w:rPr>
      </w:pPr>
    </w:p>
    <w:p>
      <w:pPr>
        <w:jc w:val="both"/>
        <w:ind w:left="420" w:hanging="248"/>
        <w:spacing w:after="0" w:line="255"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Another study, called QUELL, is being executed under an Investigational New Drug (IND) application. This study is a prospective, Phase 4, multisite, randomized, double-masked, well-controlled study evaluating the anesthetic effect of IHEEZO (chloroprocaine ophthalmic gel 3%) compared to routine anesthesia (topical proparacaine ophthalmic solution 0.5% combined with subconjunctival lidocaine 2%) for ocular surface anesthesia during intravitreal injection procedures as a non-inferiority comparison. The study will recruit approximately 240 patients across 8 clinical sites. The primary endpoint is the proportion of patients achieving successful ocular surface anesthesia immediately before and after intravitreal injection; success is defined as a patient-reported pain score of 0 or 1 on a validated 5-point Verbal Descriptor Scale - Pain score defined as: 0 (no pain/discomfort) or 1 (pressure only, no pain). The study also includes key secondary endpoints to assess procedural and cumulative pain scores, patient-reported ocular dryness symptoms (SPEED questionnaire at 24 hours), and ocular safety and tolerability (as measured by corneal staining post-procedure). The study is underway, and we expect data in the fourth quarter of 2026. Once data is available, the study design and evaluation would allow us to submit the study as a supplemental new drug application (NDA) to the FDA for review to augment the IHEEZO label with the new data, should we decide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12" w:name="page13"/>
    <w:bookmarkEnd w:id="1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Project IHEEZO Ark</w:t>
      </w:r>
    </w:p>
    <w:p>
      <w:pPr>
        <w:spacing w:after="0" w:line="154"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2"/>
          <w:szCs w:val="12"/>
          <w:color w:val="auto"/>
        </w:rPr>
        <w:t>Last year, we began proactively planning for the conclusion of IHEEZO’s pass-through payment status in the ASC setting, a one-time event on April 1, 2026. Building on the Retina Pivot, last year we implemented Project IHEEZO Ark. Our objective with IHEEZO Ark is to fully offset (and even hopefully exceed) the expected revenue loss from IHEEZO units used in the ASC setting, with (1) gains in the office-based setting for other reimbursed procedures, and</w:t>
      </w:r>
    </w:p>
    <w:p>
      <w:pPr>
        <w:spacing w:after="0" w:line="1" w:lineRule="exact"/>
        <w:rPr>
          <w:sz w:val="20"/>
          <w:szCs w:val="20"/>
          <w:color w:val="auto"/>
        </w:rPr>
      </w:pPr>
    </w:p>
    <w:p>
      <w:pPr>
        <w:ind w:left="8" w:right="20" w:hanging="8"/>
        <w:spacing w:after="0" w:line="260"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improvement in net price that we expect to realize during the second half of 2026 connected to the introduction of new IHEEZO packaging designed for retina offices. Collectively, the Project IHEEZO Ark initiatives, coupled with continued growth in retina position IHEEZO for durable, long-term expansion, particularly as we begin launching our first anti-VEGF, BYOOVIZ, in the coming months.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Importantly, our in-office expansion serves as a counterbalance to the loss of pass-through in the ASC. This broader “in-office procedures market” is large and untapped, with more than 2.5 million annual procedures that would benefit from IHEEZO’s clinical and reimbursement profile. Thus far, I am greatly encouraged by the progress our sales team is making, and candidly, it would take only a modest incremental increase in office procedure units to offset (and eventually exceed) the ASC-related impact.</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To set expectations appropriately, the fourth quarter is typically a period of elevated customer stocking, and that pattern was observed in the fourth quarter of 2025. While demand and revenue are expected to build throughout the year, we estimate that approximately 1.5 quarters’ worth of additional inventory, in the current packaging format, was built across the channel. We expect this inventory to be drawn down during the first half of 2026. As a result, as we experienced in the first quarter of 2025, you should expect softer IHEEZO revenue in the first quarter of 2026 and in part of the second quarter.</w:t>
      </w:r>
    </w:p>
    <w:p>
      <w:pPr>
        <w:spacing w:after="0" w:line="117"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 xml:space="preserve">I hope you see the IHEEZO forest through the trees. We are now laser-focused on the </w:t>
      </w:r>
      <w:r>
        <w:rPr>
          <w:rFonts w:ascii="Times New Roman" w:cs="Times New Roman" w:eastAsia="Times New Roman" w:hAnsi="Times New Roman"/>
          <w:sz w:val="12"/>
          <w:szCs w:val="12"/>
          <w:i w:val="1"/>
          <w:iCs w:val="1"/>
          <w:color w:val="auto"/>
        </w:rPr>
        <w:t>entire</w:t>
      </w:r>
      <w:r>
        <w:rPr>
          <w:rFonts w:ascii="Times New Roman" w:cs="Times New Roman" w:eastAsia="Times New Roman" w:hAnsi="Times New Roman"/>
          <w:sz w:val="12"/>
          <w:szCs w:val="12"/>
          <w:color w:val="auto"/>
        </w:rPr>
        <w:t xml:space="preserve"> in-office market (across retina and other office-based procedural settings), which, in the aggregate, represents over 12 million annual use cases. This is a long-term opportunity for IHEEZO, supported by a well-tested reimbursement framework and a differentiated clinical profile. Also, beginning in the second half of this year, we expect to see a significant improvement in revenue per IHEEZO unit. IHEEZO adoption trends and re-order activity remain strong, and we expect this to accelerate further as retina-specific data become available and as our upcoming biosimilar launches approach. IHEEZO, especially if it is powered by retina-specific data (which is coming soon), a 2.5 million increase in the number of new annual use cases, and a robust reimbursement environment, is uniquely positioned to drive tremendous value for patients and Harrow stockholders alike – this year and for many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85"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TRIESENCE: Improving the Ophthalmic Surgical Standard of Care</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For the first time since its relaunch, TRIESENCE is showing good directional growth, delivering a record quarter in terms of demand and revenue. Early indicators suggest that our expansion into ocular inflammation is gaining traction and increasingly resonating with ophthalmologists. In fact, the fourth quarter marked the </w:t>
      </w:r>
      <w:r>
        <w:rPr>
          <w:rFonts w:ascii="Times New Roman" w:cs="Times New Roman" w:eastAsia="Times New Roman" w:hAnsi="Times New Roman"/>
          <w:sz w:val="12"/>
          <w:szCs w:val="12"/>
          <w:b w:val="1"/>
          <w:bCs w:val="1"/>
          <w:color w:val="auto"/>
        </w:rPr>
        <w:t>highest quarterly revenue for TRIESENCE ($5.1M) since the relaunch</w:t>
      </w:r>
      <w:r>
        <w:rPr>
          <w:rFonts w:ascii="Times New Roman" w:cs="Times New Roman" w:eastAsia="Times New Roman" w:hAnsi="Times New Roman"/>
          <w:sz w:val="12"/>
          <w:szCs w:val="12"/>
          <w:color w:val="auto"/>
        </w:rPr>
        <w:t>, and importantly, nearly half of the fourth quarter unit volume (~47%) was generated from new accounts. We are on our way, but we remain extremely early in what I expect from TRIESENCE in the years to come.</w:t>
      </w:r>
    </w:p>
    <w:p>
      <w:pPr>
        <w:spacing w:after="0" w:line="11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Our recent progress, including continued acceleration in the first quarter, is being driven by a clear articulation of TRIESENCE’s best-in-class clinical benefits and broad coverage profile. In addition to its traditional place in the hands of retina specialists for vitrectomy and uveitis, we believed TRIESENCE is particularly well-suited for the anterior surgical setting, including cataract surgery, where post-operative eye-drop compliance can be challenging — whether due to dexterity limitations, cognitive considerations, or other comorbidities common in the cataract surgery-aged population. In these situations, TRIESENCE enables physicians to maintain greater control over both the surgical intervention and the recovery process, while significantly reducing patients’ reliance on managing complex drop regimens at home.</w:t>
      </w:r>
    </w:p>
    <w:p>
      <w:pPr>
        <w:spacing w:after="0" w:line="118" w:lineRule="exact"/>
        <w:rPr>
          <w:sz w:val="20"/>
          <w:szCs w:val="20"/>
          <w:color w:val="auto"/>
        </w:rPr>
      </w:pPr>
    </w:p>
    <w:p>
      <w:pPr>
        <w:jc w:val="both"/>
        <w:ind w:left="8"/>
        <w:spacing w:after="0" w:line="230" w:lineRule="auto"/>
        <w:rPr>
          <w:sz w:val="20"/>
          <w:szCs w:val="20"/>
          <w:color w:val="auto"/>
        </w:rPr>
      </w:pPr>
      <w:r>
        <w:rPr>
          <w:rFonts w:ascii="Times New Roman" w:cs="Times New Roman" w:eastAsia="Times New Roman" w:hAnsi="Times New Roman"/>
          <w:sz w:val="12"/>
          <w:szCs w:val="12"/>
          <w:color w:val="auto"/>
        </w:rPr>
        <w:t xml:space="preserve">Our perspective on the breadth of where TRIESENCE may be used was validated by a recent Market Scope survey indicating that </w:t>
      </w:r>
      <w:r>
        <w:rPr>
          <w:rFonts w:ascii="Times New Roman" w:cs="Times New Roman" w:eastAsia="Times New Roman" w:hAnsi="Times New Roman"/>
          <w:sz w:val="12"/>
          <w:szCs w:val="12"/>
          <w:b w:val="1"/>
          <w:bCs w:val="1"/>
          <w:color w:val="auto"/>
        </w:rPr>
        <w:t>nearly 90% of U.S. cataract surgeons expressed interest in dropless cataract surgery,</w:t>
      </w:r>
      <w:r>
        <w:rPr>
          <w:rFonts w:ascii="Times New Roman" w:cs="Times New Roman" w:eastAsia="Times New Roman" w:hAnsi="Times New Roman"/>
          <w:sz w:val="12"/>
          <w:szCs w:val="12"/>
          <w:color w:val="auto"/>
        </w:rPr>
        <w:t xml:space="preserve"> with approximately half reporting they are “very interested</w:t>
      </w:r>
      <w:r>
        <w:rPr>
          <w:rFonts w:ascii="Times New Roman" w:cs="Times New Roman" w:eastAsia="Times New Roman" w:hAnsi="Times New Roman"/>
          <w:sz w:val="19"/>
          <w:szCs w:val="19"/>
          <w:color w:val="auto"/>
          <w:vertAlign w:val="superscript"/>
        </w:rPr>
        <w:t>i</w:t>
      </w:r>
      <w:r>
        <w:rPr>
          <w:rFonts w:ascii="Times New Roman" w:cs="Times New Roman" w:eastAsia="Times New Roman" w:hAnsi="Times New Roman"/>
          <w:sz w:val="12"/>
          <w:szCs w:val="12"/>
          <w:color w:val="auto"/>
        </w:rPr>
        <w:t>.” The same report highlighted strong patient preference for a dropless approach. Our experience is that ophthalmic surgeons are increasingly receptive to solutions that simplify perioperative care and minimize post-operative burden. TRIESENCE plays a key role in that evolution and positions us well as we continue advancing toward a more streamlined, patient-centric surgical model.</w:t>
      </w:r>
    </w:p>
    <w:p>
      <w:pPr>
        <w:spacing w:after="0" w:line="133"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broader anti-inflammation market for ophthalmic surgery is a massive opportunity, with more than 7 million annual procedures in the U.S. each year. The competition in this market is non-optimal, with patient-administered eye drop regimens or other “less-than-great” alternatives. From our perspective, TRIESENCE should be the premier anti-inflammatory option in ocular surgery, but it also represents another step toward our vision of opioid-free, IV-free, and eye-drop–free ophthalmic surgery – or what I have referred to as “</w:t>
      </w:r>
      <w:r>
        <w:rPr>
          <w:rFonts w:ascii="Times New Roman" w:cs="Times New Roman" w:eastAsia="Times New Roman" w:hAnsi="Times New Roman"/>
          <w:sz w:val="12"/>
          <w:szCs w:val="12"/>
          <w:i w:val="1"/>
          <w:iCs w:val="1"/>
          <w:color w:val="auto"/>
        </w:rPr>
        <w:t>amazing cataract surgery</w:t>
      </w:r>
      <w:r>
        <w:rPr>
          <w:rFonts w:ascii="Times New Roman" w:cs="Times New Roman" w:eastAsia="Times New Roman" w:hAnsi="Times New Roman"/>
          <w:sz w:val="12"/>
          <w:szCs w:val="12"/>
          <w:color w:val="auto"/>
        </w:rPr>
        <w:t>.”. Physicians who have begun incorporating TRIESENCE into their surgical procedures have shared overwhelmingly positive feedback. In many cases, ophthalmologists tell us TRIESENCE has eliminated the need for additional post-operative clinic visits, lowering consumer costs, and improving practice efficiency.</w:t>
      </w:r>
    </w:p>
    <w:p>
      <w:pPr>
        <w:spacing w:after="0" w:line="120"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2"/>
          <w:szCs w:val="12"/>
          <w:color w:val="auto"/>
        </w:rPr>
        <w:t>The reimbursement experience for TRIESENCE has been very positive, with a reimbursement rate of better than 90% - essentially “</w:t>
      </w:r>
      <w:r>
        <w:rPr>
          <w:rFonts w:ascii="Times New Roman" w:cs="Times New Roman" w:eastAsia="Times New Roman" w:hAnsi="Times New Roman"/>
          <w:sz w:val="12"/>
          <w:szCs w:val="12"/>
          <w:i w:val="1"/>
          <w:iCs w:val="1"/>
          <w:color w:val="auto"/>
        </w:rPr>
        <w:t>pervasive coverage</w:t>
      </w:r>
      <w:r>
        <w:rPr>
          <w:rFonts w:ascii="Times New Roman" w:cs="Times New Roman" w:eastAsia="Times New Roman" w:hAnsi="Times New Roman"/>
          <w:sz w:val="12"/>
          <w:szCs w:val="12"/>
          <w:color w:val="auto"/>
        </w:rPr>
        <w:t>.” Additionally, patient out-of-pocket expenses for TRIESENCE are reported to be the lowest among ophthalmic injectable steroids. With a broad label, an established safety profile, favorable reimbursement dynamics, and a compelling procedural use case, TRIESENCE has the foundational characteristics of a durable, scalable franchise. Taken together, these factors reinforce my belief that TRIESENCE remains significantly underpenetrated relative to its potential.</w:t>
      </w:r>
    </w:p>
    <w:p>
      <w:pPr>
        <w:spacing w:after="0" w:line="11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 xml:space="preserve">Today, TRIESENCE is being sold by a powerful field force, but one that is far too few in number. If we are going to achieve what I believe we will over the coming years, we need to more than double the TRIESENCE salesforce, amplify our great clinical message, and exponentially grow our user base. This process is now underway. These additional sales professionals will accelerate near-term adoption and expand reach across key surgical and inflammatory settings, but as important, they give us the opportunity to gain tremendous leverage from this franchise for years to come as we strategically position for (1) the anticipated TRIESENCE pre-filled syringe, which we are targeting in the 2028 timeframe, and (2), in due course, the launch in the U.S. ophthalmic market of the G-MELT™ (formerly MELT-300 – </w:t>
      </w:r>
      <w:r>
        <w:rPr>
          <w:rFonts w:ascii="Times New Roman" w:cs="Times New Roman" w:eastAsia="Times New Roman" w:hAnsi="Times New Roman"/>
          <w:sz w:val="12"/>
          <w:szCs w:val="12"/>
          <w:i w:val="1"/>
          <w:iCs w:val="1"/>
          <w:color w:val="auto"/>
        </w:rPr>
        <w:t>see below</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179451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72" w:lineRule="exact"/>
        <w:rPr>
          <w:sz w:val="20"/>
          <w:szCs w:val="20"/>
          <w:color w:val="auto"/>
        </w:rPr>
      </w:pPr>
    </w:p>
    <w:p>
      <w:pPr>
        <w:ind w:left="48" w:hanging="48"/>
        <w:spacing w:after="0"/>
        <w:tabs>
          <w:tab w:leader="none" w:pos="4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Market Scope, Ophthalmic Market Perspectives, Volume 30, Issue 2,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85" w:right="299" w:bottom="1440" w:gutter="0" w:footer="0" w:header="0"/>
        </w:sectPr>
      </w:pPr>
    </w:p>
    <w:bookmarkStart w:id="14" w:name="page15"/>
    <w:bookmarkEnd w:id="14"/>
    <w:p>
      <w:pPr>
        <w:jc w:val="both"/>
        <w:spacing w:after="0" w:line="260" w:lineRule="auto"/>
        <w:rPr>
          <w:sz w:val="20"/>
          <w:szCs w:val="20"/>
          <w:color w:val="auto"/>
        </w:rPr>
      </w:pPr>
      <w:r>
        <w:rPr>
          <w:rFonts w:ascii="Times New Roman" w:cs="Times New Roman" w:eastAsia="Times New Roman" w:hAnsi="Times New Roman"/>
          <w:sz w:val="12"/>
          <w:szCs w:val="12"/>
          <w:color w:val="auto"/>
        </w:rPr>
        <w:t>In summary, while still early, we believe TRIESENCE is at the beginning of a multi-year growth trajectory. My intent over the next 24 months is to ensure that as many of the millions of Americans who undergo cataract surgery each year as possible have access to TRIESENCE at an affordable price. This market, coupled with the traditional legacy use cases for TRIESENCE, presents a massive opportunity for Harrow and will dramatically improve patients’ surgical experiences. With renewed commercial focus, investment in expanding the TRIESENCE sales team, improving execution, strong physician feedback, and clear procedural benefits, the long-term outlook for this product is increasingly compelling.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Biosimilars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As many of you have likely seen, Samsung Bioepis recently announced a </w:t>
      </w:r>
      <w:r>
        <w:rPr>
          <w:rFonts w:ascii="Times New Roman" w:cs="Times New Roman" w:eastAsia="Times New Roman" w:hAnsi="Times New Roman"/>
          <w:sz w:val="12"/>
          <w:szCs w:val="12"/>
          <w:u w:val="single" w:color="auto"/>
          <w:color w:val="auto"/>
        </w:rPr>
        <w:t>settlement agreement with Regeneron</w:t>
      </w:r>
      <w:r>
        <w:rPr>
          <w:rFonts w:ascii="Times New Roman" w:cs="Times New Roman" w:eastAsia="Times New Roman" w:hAnsi="Times New Roman"/>
          <w:sz w:val="12"/>
          <w:szCs w:val="12"/>
          <w:color w:val="auto"/>
        </w:rPr>
        <w:t xml:space="preserve"> regarding the U.S. commercialization of OPUVIZ, a biosimilar to EYLEA® 2mg. We are excited about this development, as it provides a clear pathway to launch OPUVIZ in January 2027 and to participate in one of the largest markets in retina and in the U.S. ophthalmic market, period.</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remain on track to launch BYOOVIZ, a LUCENTIS® referenced biosimilar, midyear 2026, further strengthening our retina platform. Our retina strategy is unique and differentiated, particularly around BYOOVIZ. Harrow will be positioned as the only company offering physicians a comprehensive solution that includes both an anesthetic (IHEEZO) and a therapeutic anti-VEGF biosimilar. This integrated approach enables us to support physicians throughout the full injection workflow—from anesthesia to therapy—providing a streamlined, efficient, and cost-effective solution for retina practices.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Specialty Product Portfolio: Hidden Gems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Specialty Product portfolio includes well-known brands, including ILEVRO®, NEVANAC®, VIGAMOX®, MAXITROL®, MAXIDEX®, IOPIDINE®, NATACYN™, FLAREX®, TOBRADEX® ST, VERKAZIA®, FRESHKOTE®, and ZERVIATE®. New to this portfolio is BYQLOVI™, which will become available in the second quarter.</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portfolio of products + TRIESENCE rebounded in the fourth quarter, generating $12.3 million in revenue, up 93% sequentially from the third quarter. While there is still work to do, we are encouraged by the early progress we see as new leadership takes hold, and our go-to-market execution is reinitiated.</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Regarding the Specialty Product portfolio, I want to add color to what I wrote in the fifth paragraph of this Letter to Stockholders by referring to “leveraging under-appreciated assets we own.” Without going into detail because we still have some work to do, including a seminal supportive study we expect to read out in the fourth quarter, I can confirm that these initiatives originate from three products within this portfolio. These potentially significant revenue-generating opportunities are at an advanced stage: one is connected to a new reimbursement coding application we’ve submitted, and the other two are relaunches into novel on-label markets. If we are successful, and we should begin to know this in a matter of a few months, I suspect this may be a wonderful surprise for our stockholders this year. Stay tuned!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Advancing the G-MELT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someone committed to improving the standard of care in critical areas with unmet needs, there hasn’t been a single Harrow product that I’ve been this excited about. We are talking about reducing or eliminating opioid exposures in tens of millions of procedures that too often use opioids for sedation and anxiety management. Once approved, I believe G-MELT will eventually be our largest product by revenue, and Andrew and many others on our team share the same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In terms of commercial potential, we have several distinct advantages when we launch that should lead to rapid market uptake, not the least of which is that a similar compounded version of the G-MELT has been used in more than 1 million U.S. cataract surgeries. But there are three additional observations </w:t>
      </w:r>
      <w:r>
        <w:rPr>
          <w:rFonts w:ascii="Times New Roman" w:cs="Times New Roman" w:eastAsia="Times New Roman" w:hAnsi="Times New Roman"/>
          <w:sz w:val="12"/>
          <w:szCs w:val="12"/>
          <w:i w:val="1"/>
          <w:iCs w:val="1"/>
          <w:color w:val="auto"/>
        </w:rPr>
        <w:t>from the compounded experience</w:t>
      </w:r>
      <w:r>
        <w:rPr>
          <w:rFonts w:ascii="Times New Roman" w:cs="Times New Roman" w:eastAsia="Times New Roman" w:hAnsi="Times New Roman"/>
          <w:sz w:val="12"/>
          <w:szCs w:val="12"/>
          <w:color w:val="auto"/>
        </w:rPr>
        <w:t xml:space="preserve"> that support my G-MELT commercial confidence: (1) over the years, despite having to pay cash from a capitated fee and without any meaningful marketing spend, ophthalmologists who’ve used the compounded version have consistently told their colleagues about their experiences, leading to sustained increased adoption within ophthalmology, now totaling over 800 U.S. surgeons; (2) the ophthalmic surgical experience has naturally spread, once again – </w:t>
      </w:r>
      <w:r>
        <w:rPr>
          <w:rFonts w:ascii="Times New Roman" w:cs="Times New Roman" w:eastAsia="Times New Roman" w:hAnsi="Times New Roman"/>
          <w:sz w:val="12"/>
          <w:szCs w:val="12"/>
          <w:i w:val="1"/>
          <w:iCs w:val="1"/>
          <w:color w:val="auto"/>
        </w:rPr>
        <w:t>without any marketing</w:t>
      </w:r>
      <w:r>
        <w:rPr>
          <w:rFonts w:ascii="Times New Roman" w:cs="Times New Roman" w:eastAsia="Times New Roman" w:hAnsi="Times New Roman"/>
          <w:sz w:val="12"/>
          <w:szCs w:val="12"/>
          <w:color w:val="auto"/>
        </w:rPr>
        <w:t xml:space="preserve"> – into other specialties and subspecialties (otolaryngology, gastrointestinal, reproductive endocrinology, dermatology, orthopedics, dental, and others) where, in the future, there are about 100 million total potential procedures in the U.S. that might benefit from G-MELT; and (3) these treating professionals have managed to overcome the consternation of anesthesia professionals as they’ve adopted a sublingual non-opioid approach to giving their patients’ procedural comfort.</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Regarding the G-MELT NDA, we have initiated the remaining ancillary studies required to support FDA submission and anticipate completing them later this year. In parallel, our team is working diligently to prepare the various modules of the NDA so that we are positioned to file as soon as practicable.</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 xml:space="preserve">From a strategic perspective, G-MELT is the final piece of a vision I have been pursuing for over 10 years, which I referenced in the TRIESENCE section above: </w:t>
      </w:r>
      <w:r>
        <w:rPr>
          <w:rFonts w:ascii="Times New Roman" w:cs="Times New Roman" w:eastAsia="Times New Roman" w:hAnsi="Times New Roman"/>
          <w:sz w:val="12"/>
          <w:szCs w:val="12"/>
          <w:i w:val="1"/>
          <w:iCs w:val="1"/>
          <w:color w:val="auto"/>
        </w:rPr>
        <w:t>IV-free, opioid-free, eye-drop-free cataract surgery</w:t>
      </w:r>
      <w:r>
        <w:rPr>
          <w:rFonts w:ascii="Times New Roman" w:cs="Times New Roman" w:eastAsia="Times New Roman" w:hAnsi="Times New Roman"/>
          <w:sz w:val="12"/>
          <w:szCs w:val="12"/>
          <w:color w:val="auto"/>
        </w:rPr>
        <w:t>. I believe this approach can meaningfully simplify procedures, improve the patient experience, and reduce complexity for providers, while maintaining the level of comfort and control physicians expect in the surgical setting.</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While there is still work to do, we believe G-MELT, which is the subject of a robust domestic and international patent estate, is progressing as intended. Amir and his team are doing a fabulous job. With the remaining studies underway, a clear path to NDA submission, and increasingly compelling clinician feedback, we are more confident than ever in this program’s ability to make a sizable initial financial impact (when approved and coded), and of course in its long-term potential. We look forward to updating stockholders as we progress G-MELT toward NDA submission and, ultimately, toward commercialization.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Progress with the YOCHIL™ – </w:t>
      </w:r>
      <w:r>
        <w:rPr>
          <w:rFonts w:ascii="Times New Roman" w:cs="Times New Roman" w:eastAsia="Times New Roman" w:hAnsi="Times New Roman"/>
          <w:sz w:val="12"/>
          <w:szCs w:val="12"/>
          <w:b w:val="1"/>
          <w:bCs w:val="1"/>
          <w:i w:val="1"/>
          <w:iCs w:val="1"/>
          <w:color w:val="auto"/>
        </w:rPr>
        <w:t>Formerly MELT-210</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parallel with the development of the G-MELT program, we are developing a midazolam-only product candidate that will eventually be offered as a family of products with commercially and clinically relevant active drug concentrations. The initial product candidate, currently called YOCHIL, also uses Catalent’s Zydis® drug-delivery technology. While we’re in the process of finalizing the last elements of our clinical development plan for this program with the FDA, which we expect to have completed before the end of the third quarter, our present expectation is that we should be able to file an NDA for this program at or around the same time as the G-MELT NDA. Once again, we have extremely high commercial expectations for YOCHIL, which, based on our current labeling expectations, should provide unique and consequential benefits to patients that no other product in the U.S. market can.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Access+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One of the key elements of the One Harrow initiative was standing up the new Access+ commercial team. Access+ focuses on providing eye care professionals with an affordable set of therapeutic options through curated offerings such as PharmaPack Max, which includes MAXITROL® and NEVANAC®, and PharmaPack Prime, which includes TOBRADEX® ST and NEVANAC®, along with other select products, including our compounded products. The goal of this initiative is to provide physicians and patients with affordable, accessible, FDA-approved branded ophthalmic therapies, reducing reliance on off-label compounded alternatives that are often priced similarly but lack the same regulatory designation. This strategy aligns squarely with our commitment to access and affordability.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12"/>
          <w:szCs w:val="12"/>
          <w:color w:val="auto"/>
        </w:rPr>
        <w:t>From a financial standpoint, expanding the branded portion of our portfolio strengthens margins, reduces regulatory complexity, and supports our objective of growing branded share in the large and durable post-cataract surgery market across the United States. Currently, our proprietary triple-drop compounded formulation mainly serves the post-cataract market. We believe there is a meaningful opportunity for our FDA-approved branded combinations — including PharmaPack Max and PharmaPack Prime — to take over that share. By leveraging our established commercial relationships and delivering strong value through affordable pricing and streamlined access, we aim to provide eye care professionals with reliable, FDA-approved options for patients who require infection control and pain and inflammation management associated with cataract surgery. Over time, we believe this approach can expand our branded footprint while reinforcing our position as a trusted partner to cataract surgeons nationwide.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Access+ commercial team, which is now led by Cindi White, is committed to addressing everyday unmet needs for providers and patients nationwide. This focused approach prioritizes reliability, consistency, and clinical relevance, ensuring that we remain a trusted partner to eye care professionals and deliver steady, predictable performance. By bringing together select branded and compounded solutions under a single, integrated commercial team, Access+ is designed to make it easier for eye care professionals to prescribe the medications their patients rely on most, improving access, affordability, and continuity of care while reducing friction for both providers and patients.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 am particularly pleased with and grateful for Frank Mullery’s leadership within our compounding operations. He has jumped in and set a clear standard. As we noted in the third quarter, a one-time inventory shortage of compounded products impacted overall compounded performance last year, resulting in $15.0 million in fourth quarter revenue. Importantly, that issue has been fully resolved, and we are steadily working through our backlog. We expect inventory levels to normalize by the end of this quarter and we do not expect these issues to recur.</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Looking to 2026, we are working to shift compounding revenues – to the greatest extent possible – to FDA-approved branded products. PharmaPack Max and PharmaPack Prime are examples of this shift. As this occurs, we expect compounded revenue to decline by approximately 10-20% for the full year 2026, with that reduction occurring relatively evenly across each quarter. As those losses occur, we should see corresponding gains and even slight improvements in our branded revenues. This strategy supports our broader objective of expanding our branded portfolio, improving our margin profile, and reducing regulatory complexity.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Outlook and Guidance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Over the past several years, our financial guidance framework has not always aligned as well as it should. As we have rapidly grown over the last 5 years with multiple product launches and re-launches, layered on top of inherent seasonality, forecasting has become more nuanced. Instead of our guidance “meeting and beating,” we have too often been in the “stress and miss” camp. This has not served our stockholders or us well. Therefore, we are providing guidance differently than in the past, perhaps with a more conservative approach (because several elements of our 2026 strategy are highly discounted in this model), but in any case, certainly with greater transparency and structure.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also committed to providing greater insight into the seasonality of our business and how we expect performance to build throughout the year. As you know, our business is meaningfully second-half weighted, with the first quarter typically the lowest and the fourth quarter the strongest. A plot of our quarterly revenue data over the past few years validates these trends. Therefore, in addition to a full-year revenue outlook, we are providing visibility into expected results for the first and second halves of the year to help investors understand our quarterly performance cadence and how we manage it. Establishing this clearer framework should help narrow the range of expectations and better align them around levels we are confident we can deliver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For 2026, we expect to generate:</w:t>
      </w:r>
    </w:p>
    <w:p>
      <w:pPr>
        <w:spacing w:after="0" w:line="150" w:lineRule="exact"/>
        <w:rPr>
          <w:sz w:val="20"/>
          <w:szCs w:val="20"/>
          <w:color w:val="auto"/>
        </w:rPr>
      </w:pPr>
    </w:p>
    <w:p>
      <w:pPr>
        <w:ind w:left="420" w:hanging="248"/>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$350 million to $365 million in revenue, with approximately $133 million to $153 million in the first half and $203 million to $226 million in the second half; and</w:t>
      </w:r>
    </w:p>
    <w:p>
      <w:pPr>
        <w:spacing w:after="0" w:line="16" w:lineRule="exact"/>
        <w:rPr>
          <w:rFonts w:ascii="Times New Roman" w:cs="Times New Roman" w:eastAsia="Times New Roman" w:hAnsi="Times New Roman"/>
          <w:sz w:val="12"/>
          <w:szCs w:val="12"/>
          <w:color w:val="auto"/>
        </w:rPr>
      </w:pPr>
    </w:p>
    <w:p>
      <w:pPr>
        <w:ind w:left="420" w:hanging="248"/>
        <w:spacing w:after="0" w:line="26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$80 million to $100 million in adjusted EBITDA, with the majority of adjusted EBITDA expected to be generated in the second half of the year, reflecting the increasing operating leverage inherent in the business as we continue to scale.</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These ranges reflect expectations we believe are achievable given current visibility, while still allowing for potentially meaningful upside as our team executes our strategy. As the year progresses, we will evaluate our revenue outlook quarterly and provide updates, as appropriate, to ensure our stockholders have the most current view of the business.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Looking at 2026, we expect a softer first half as we work through IHEEZO stocking from the fourth quarter of last year, address the impact of ASC dynamics on IHEEZO, and navigate the traditionally higher mix of high-deductible plans early in the year. Expect a more pronounced acceleration in the second half of the year as we benefit from a larger and fully deployed VEVYE salesforce; the launch of BYOOVIZ; account expansion and growing new user traction resulting from an expanded TRIESENCE salesforce; the initial phase of the BYQLOVI launch; improving IHEEZO pricing dynamics; increased IHEEZO adoption in retina practices and the in-office setting; and finally, growth from select products within our Rare and Specialty Portfolio. Collectively, these factors position us well for a stronger back half and reinforce our confidence in Harrow’s longer-term growth trajectory.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Closing</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closing, I remain enthusiastic about where Harrow is and where we are headed in 2026 and beyond. While I am never fully satisfied knowing we can always do better, sustainable progress takes time. Our reality is that momentum is being built behind all our key products. This year, we should see VEVYE soundly exceed $100 million in annual revenue, and I believe I will be vindicated by my past bullish TRIESENCE prognostications. IHEEZO is positioned to meet or exceed our expectations yet again. Taken together, these drivers, along with a few additional unannounced initiatives, give me confidence in our ability to exceed 2026 expectations, as we build toward our end-of-2027 objective of over $250 million in quarterly revenue. But that won’t be the end of the story. In 2028, we should enter a new period of growth fueled by the launch of G-MELT and YOCHIL. And of course, Andrew and I continue to work on a few potential deals we’re pretty pumped about. In sum, we have a strong foundation, multiple levers to pull over the next several years, and a fantastic and growing team that is fully aligned and energized.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behalf of the entire Harrow Family, thank you for your continued support; we are just getting started!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 L. Baum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Founder, Chairman of the Board, and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Nashville, Tennessee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Index to Previous Letters to Stockholders</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95"/>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14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2024</w:t>
            </w:r>
          </w:p>
        </w:tc>
        <w:tc>
          <w:tcPr>
            <w:tcW w:w="138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color w:val="auto"/>
                <w:w w:val="99"/>
              </w:rPr>
              <w:t>2023</w:t>
            </w:r>
          </w:p>
        </w:tc>
        <w:tc>
          <w:tcPr>
            <w:tcW w:w="2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2022</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480"/>
              <w:spacing w:after="0"/>
              <w:rPr>
                <w:sz w:val="20"/>
                <w:szCs w:val="20"/>
                <w:color w:val="auto"/>
              </w:rPr>
            </w:pPr>
            <w:r>
              <w:rPr>
                <w:rFonts w:ascii="Times New Roman" w:cs="Times New Roman" w:eastAsia="Times New Roman" w:hAnsi="Times New Roman"/>
                <w:sz w:val="12"/>
                <w:szCs w:val="12"/>
                <w:color w:val="auto"/>
                <w:w w:val="99"/>
              </w:rPr>
              <w:t>2021</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2020</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2019</w:t>
            </w:r>
          </w:p>
        </w:tc>
      </w:tr>
      <w:tr>
        <w:trPr>
          <w:trHeight w:val="133"/>
        </w:trPr>
        <w:tc>
          <w:tcPr>
            <w:tcW w:w="13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4Q 2024</w:t>
            </w:r>
          </w:p>
        </w:tc>
        <w:tc>
          <w:tcPr>
            <w:tcW w:w="1380" w:type="dxa"/>
            <w:vAlign w:val="bottom"/>
            <w:shd w:val="clear" w:color="auto" w:fill="CCEEFF"/>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5"/>
              </w:rPr>
              <w:t>4Q 2023</w:t>
            </w:r>
          </w:p>
        </w:tc>
        <w:tc>
          <w:tcPr>
            <w:tcW w:w="40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760"/>
              <w:spacing w:after="0" w:line="133" w:lineRule="exact"/>
              <w:rPr>
                <w:sz w:val="20"/>
                <w:szCs w:val="20"/>
                <w:color w:val="auto"/>
              </w:rPr>
            </w:pPr>
            <w:r>
              <w:rPr>
                <w:rFonts w:ascii="Times New Roman" w:cs="Times New Roman" w:eastAsia="Times New Roman" w:hAnsi="Times New Roman"/>
                <w:sz w:val="12"/>
                <w:szCs w:val="12"/>
                <w:color w:val="auto"/>
              </w:rPr>
              <w:t>4Q 2022</w:t>
            </w:r>
          </w:p>
        </w:tc>
        <w:tc>
          <w:tcPr>
            <w:tcW w:w="1180" w:type="dxa"/>
            <w:vAlign w:val="bottom"/>
            <w:shd w:val="clear" w:color="auto" w:fill="CCEEFF"/>
          </w:tcPr>
          <w:p>
            <w:pPr>
              <w:jc w:val="center"/>
              <w:ind w:right="460"/>
              <w:spacing w:after="0" w:line="133" w:lineRule="exact"/>
              <w:rPr>
                <w:sz w:val="20"/>
                <w:szCs w:val="20"/>
                <w:color w:val="auto"/>
              </w:rPr>
            </w:pPr>
            <w:r>
              <w:rPr>
                <w:rFonts w:ascii="Times New Roman" w:cs="Times New Roman" w:eastAsia="Times New Roman" w:hAnsi="Times New Roman"/>
                <w:sz w:val="12"/>
                <w:szCs w:val="12"/>
                <w:color w:val="auto"/>
              </w:rPr>
              <w:t>4Q 2021</w:t>
            </w:r>
          </w:p>
        </w:tc>
        <w:tc>
          <w:tcPr>
            <w:tcW w:w="16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4Q 2020</w:t>
            </w:r>
          </w:p>
        </w:tc>
        <w:tc>
          <w:tcPr>
            <w:tcW w:w="17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4Q 2019</w:t>
            </w:r>
          </w:p>
        </w:tc>
      </w:tr>
      <w:tr>
        <w:trPr>
          <w:trHeight w:val="144"/>
        </w:trPr>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3Q 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3Q 2024</w:t>
            </w:r>
          </w:p>
        </w:tc>
        <w:tc>
          <w:tcPr>
            <w:tcW w:w="13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5"/>
              </w:rPr>
              <w:t>3Q 2023</w:t>
            </w:r>
          </w:p>
        </w:tc>
        <w:tc>
          <w:tcPr>
            <w:tcW w:w="400" w:type="dxa"/>
            <w:vAlign w:val="bottom"/>
          </w:tcPr>
          <w:p>
            <w:pPr>
              <w:spacing w:after="0"/>
              <w:rPr>
                <w:sz w:val="12"/>
                <w:szCs w:val="12"/>
                <w:color w:val="auto"/>
              </w:rPr>
            </w:pPr>
          </w:p>
        </w:tc>
        <w:tc>
          <w:tcPr>
            <w:tcW w:w="210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color w:val="auto"/>
              </w:rPr>
              <w:t>3Q 2022</w:t>
            </w:r>
          </w:p>
        </w:tc>
        <w:tc>
          <w:tcPr>
            <w:tcW w:w="1180" w:type="dxa"/>
            <w:vAlign w:val="bottom"/>
          </w:tcPr>
          <w:p>
            <w:pPr>
              <w:jc w:val="center"/>
              <w:ind w:right="460"/>
              <w:spacing w:after="0"/>
              <w:rPr>
                <w:sz w:val="20"/>
                <w:szCs w:val="20"/>
                <w:color w:val="auto"/>
              </w:rPr>
            </w:pPr>
            <w:r>
              <w:rPr>
                <w:rFonts w:ascii="Times New Roman" w:cs="Times New Roman" w:eastAsia="Times New Roman" w:hAnsi="Times New Roman"/>
                <w:sz w:val="12"/>
                <w:szCs w:val="12"/>
                <w:color w:val="auto"/>
              </w:rPr>
              <w:t>3Q 2021</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3Q 2020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3Q 2019</w:t>
            </w:r>
          </w:p>
        </w:tc>
      </w:tr>
      <w:tr>
        <w:trPr>
          <w:trHeight w:val="144"/>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2Q 2025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2Q 2024</w:t>
            </w:r>
          </w:p>
        </w:tc>
        <w:tc>
          <w:tcPr>
            <w:tcW w:w="13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5"/>
              </w:rPr>
              <w:t>2Q 2023</w:t>
            </w:r>
          </w:p>
        </w:tc>
        <w:tc>
          <w:tcPr>
            <w:tcW w:w="4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2"/>
                <w:szCs w:val="12"/>
                <w:color w:val="auto"/>
              </w:rPr>
              <w:t>2Q 2022</w:t>
            </w:r>
          </w:p>
        </w:tc>
        <w:tc>
          <w:tcPr>
            <w:tcW w:w="1180" w:type="dxa"/>
            <w:vAlign w:val="bottom"/>
            <w:shd w:val="clear" w:color="auto" w:fill="CCEEFF"/>
          </w:tcPr>
          <w:p>
            <w:pPr>
              <w:jc w:val="center"/>
              <w:ind w:right="460"/>
              <w:spacing w:after="0"/>
              <w:rPr>
                <w:sz w:val="20"/>
                <w:szCs w:val="20"/>
                <w:color w:val="auto"/>
              </w:rPr>
            </w:pPr>
            <w:r>
              <w:rPr>
                <w:rFonts w:ascii="Times New Roman" w:cs="Times New Roman" w:eastAsia="Times New Roman" w:hAnsi="Times New Roman"/>
                <w:sz w:val="12"/>
                <w:szCs w:val="12"/>
                <w:color w:val="auto"/>
              </w:rPr>
              <w:t>2Q 2021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2Q 2020</w:t>
            </w:r>
          </w:p>
        </w:tc>
        <w:tc>
          <w:tcPr>
            <w:tcW w:w="1700" w:type="dxa"/>
            <w:vAlign w:val="bottom"/>
            <w:shd w:val="clear" w:color="auto" w:fill="CCEEFF"/>
          </w:tcPr>
          <w:p>
            <w:pPr>
              <w:spacing w:after="0"/>
              <w:rPr>
                <w:sz w:val="12"/>
                <w:szCs w:val="12"/>
                <w:color w:val="auto"/>
              </w:rPr>
            </w:pPr>
          </w:p>
        </w:tc>
      </w:tr>
      <w:tr>
        <w:trPr>
          <w:trHeight w:val="155"/>
        </w:trPr>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1Q 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1Q 2024</w:t>
            </w:r>
          </w:p>
        </w:tc>
        <w:tc>
          <w:tcPr>
            <w:tcW w:w="13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5"/>
              </w:rPr>
              <w:t>1Q 2023</w:t>
            </w:r>
          </w:p>
        </w:tc>
        <w:tc>
          <w:tcPr>
            <w:tcW w:w="400" w:type="dxa"/>
            <w:vAlign w:val="bottom"/>
          </w:tcPr>
          <w:p>
            <w:pPr>
              <w:spacing w:after="0"/>
              <w:rPr>
                <w:sz w:val="13"/>
                <w:szCs w:val="13"/>
                <w:color w:val="auto"/>
              </w:rPr>
            </w:pPr>
          </w:p>
        </w:tc>
        <w:tc>
          <w:tcPr>
            <w:tcW w:w="210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color w:val="auto"/>
              </w:rPr>
              <w:t>1Q 2022</w:t>
            </w:r>
          </w:p>
        </w:tc>
        <w:tc>
          <w:tcPr>
            <w:tcW w:w="1180" w:type="dxa"/>
            <w:vAlign w:val="bottom"/>
          </w:tcPr>
          <w:p>
            <w:pPr>
              <w:jc w:val="center"/>
              <w:ind w:right="460"/>
              <w:spacing w:after="0"/>
              <w:rPr>
                <w:sz w:val="20"/>
                <w:szCs w:val="20"/>
                <w:color w:val="auto"/>
              </w:rPr>
            </w:pPr>
            <w:r>
              <w:rPr>
                <w:rFonts w:ascii="Times New Roman" w:cs="Times New Roman" w:eastAsia="Times New Roman" w:hAnsi="Times New Roman"/>
                <w:sz w:val="12"/>
                <w:szCs w:val="12"/>
                <w:color w:val="auto"/>
              </w:rPr>
              <w:t>1Q 2021</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1Q 2020</w:t>
            </w:r>
          </w:p>
        </w:tc>
        <w:tc>
          <w:tcPr>
            <w:tcW w:w="1700" w:type="dxa"/>
            <w:vAlign w:val="bottom"/>
          </w:tcPr>
          <w:p>
            <w:pPr>
              <w:spacing w:after="0"/>
              <w:rPr>
                <w:sz w:val="13"/>
                <w:szCs w:val="13"/>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9" w:right="2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2"/>
          <w:szCs w:val="12"/>
          <w:b w:val="1"/>
          <w:bCs w:val="1"/>
          <w:color w:val="auto"/>
        </w:rPr>
        <w:t>Commentary on Fourth Quarter and Full-Year 2025 Financials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Revenues of $89.1 million for the fourth quarter of 2025 represent a 33% increase over the prior-year fourth quarter revenues of $66.8 million and an increase of 24% over third quarter 2025 revenues. Full-year 2025 revenues grew 36% to $272.3 million from $199.6 million in 2024.</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costs for the fourth quarter of 2025 were $43.3 million compared with $34.8 million during the same period last year. SG&amp;A for the full-year 2025 were $152.9 million compared with $129.1 million in 2024. The increase in SG&amp;A was primarily driven by an increase in headcount and related expenses, along with an increase in other commercial-related activities.</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GAAP net income for the fourth quarter of 2025 was $6.6 million compared with a GAAP net income of $6.8 million during the same period last year. GAAP net loss for the full-year 2025 was $(5.1) million compared with GAAP net loss of $(17.5) million in 2024.</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Adjusted EBITDA (a non-GAAP measure) for the fourth quarter of 2025 was $24.2 million compared with Adjusted EBITDA of $22.5 million during the same quarter last year. Adjusted EBITDA for the full-year 2025 was $61.9 million compared with $40.3 million in 2024.</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During the fourth quarter and year ended December 31, 2025, we recorded $8.5 million of acquired in-process research and development expense associated with upfront payments and related acquisition expenses from our acquisition of Melt Pharmaceuticals. This amount is included in our GAAP research and development expenses and net income figures and is not added back to our Adjusted EBITDA, consistent with our approach to non-GAAP measures.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As of December 31, 2025, cash and cash equivalents totaled $72.9 million while accounts receivable stood at $110.9 million, compared with cash and cash equivalents of $47.2 million and accounts receivable of $116.4 million for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gross margins were 79% for the fourth quarter of 2025 and the same for the fourth quarter in 2024. GAAP gross margins for the full-year 2025 were 75% compared with 75%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IHEEZO and VEVYE both surpassed the threshold of contributing 10% or more to total Harrow revenues. As a result, we reported individual revenues for these products in the Form 10-K filing, as reflected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IHEEZO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35,883,000</w:t>
            </w:r>
          </w:p>
        </w:tc>
        <w:tc>
          <w:tcPr>
            <w:tcW w:w="10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22,805,000</w:t>
            </w:r>
          </w:p>
        </w:tc>
        <w:tc>
          <w:tcPr>
            <w:tcW w:w="10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81,348,000</w:t>
            </w:r>
          </w:p>
        </w:tc>
        <w:tc>
          <w:tcPr>
            <w:tcW w:w="10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49,303,000</w:t>
            </w:r>
          </w:p>
        </w:tc>
        <w:tc>
          <w:tcPr>
            <w:tcW w:w="11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VEVYE</w:t>
            </w:r>
          </w:p>
        </w:tc>
        <w:tc>
          <w:tcPr>
            <w:tcW w:w="10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25,905,000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w w:val="99"/>
              </w:rPr>
              <w:t>15,961,000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88,688,000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28,061,000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branded products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12,250,000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7,028,000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25,326,000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37,836,000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Other revenues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82,000</w:t>
            </w:r>
          </w:p>
        </w:tc>
        <w:tc>
          <w:tcPr>
            <w:tcW w:w="3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540,000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394,000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915,000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Branded revenue,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74,120,000</w:t>
            </w:r>
          </w:p>
        </w:tc>
        <w:tc>
          <w:tcPr>
            <w:tcW w:w="34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46,335,000</w:t>
            </w:r>
          </w:p>
        </w:tc>
        <w:tc>
          <w:tcPr>
            <w:tcW w:w="340" w:type="dxa"/>
            <w:vAlign w:val="bottom"/>
            <w:vMerge w:val="continue"/>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195,756,000</w:t>
            </w:r>
          </w:p>
        </w:tc>
        <w:tc>
          <w:tcPr>
            <w:tcW w:w="340" w:type="dxa"/>
            <w:vAlign w:val="bottom"/>
            <w:vMerge w:val="continue"/>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116,115,000</w:t>
            </w:r>
          </w:p>
        </w:tc>
        <w:tc>
          <w:tcPr>
            <w:tcW w:w="32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ImprimisRx revenue, net</w:t>
            </w:r>
          </w:p>
        </w:tc>
        <w:tc>
          <w:tcPr>
            <w:tcW w:w="10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14,972,000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w w:val="99"/>
              </w:rPr>
              <w:t>20,496,000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76,547,000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83,499,000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49"/>
        </w:trPr>
        <w:tc>
          <w:tcPr>
            <w:tcW w:w="340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revenues,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89,092,000</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340" w:type="dxa"/>
            <w:vAlign w:val="bottom"/>
            <w:tcBorders>
              <w:top w:val="single" w:sz="8" w:color="CCEEFF"/>
              <w:bottom w:val="single" w:sz="8" w:color="CCEEFF"/>
            </w:tcBorders>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66,831,000</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340" w:type="dxa"/>
            <w:vAlign w:val="bottom"/>
            <w:tcBorders>
              <w:top w:val="single" w:sz="8" w:color="CCEEFF"/>
              <w:bottom w:val="single" w:sz="8" w:color="CCEEFF"/>
            </w:tcBorders>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272,303,000</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340" w:type="dxa"/>
            <w:vAlign w:val="bottom"/>
            <w:tcBorders>
              <w:top w:val="single" w:sz="8" w:color="CCEEFF"/>
              <w:bottom w:val="single" w:sz="8" w:color="CCEEFF"/>
            </w:tcBorders>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199,614,000</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Borders>
              <w:top w:val="single" w:sz="8" w:color="CCEEFF"/>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We expect continued growth across our branded portfolio and continue to expect traditional quarter-to-quarter revenue build, enhancing profitability through operational efficiencies and strategically positioning Harrow for continued leadership in the North American ophthalmic pharmaceutical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3680" w:type="dxa"/>
            <w:vAlign w:val="bottom"/>
            <w:gridSpan w:val="12"/>
          </w:tcPr>
          <w:p>
            <w:pPr>
              <w:jc w:val="center"/>
              <w:ind w:right="900"/>
              <w:spacing w:after="0"/>
              <w:rPr>
                <w:sz w:val="20"/>
                <w:szCs w:val="20"/>
                <w:color w:val="auto"/>
              </w:rPr>
            </w:pPr>
            <w:r>
              <w:rPr>
                <w:rFonts w:ascii="Times New Roman" w:cs="Times New Roman" w:eastAsia="Times New Roman" w:hAnsi="Times New Roman"/>
                <w:sz w:val="12"/>
                <w:szCs w:val="12"/>
                <w:b w:val="1"/>
                <w:bCs w:val="1"/>
                <w:i w:val="1"/>
                <w:iCs w:val="1"/>
                <w:color w:val="auto"/>
                <w:w w:val="99"/>
              </w:rPr>
              <w:t>Fourth Quarter and Full-Year 2025 Financial Overview</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68"/>
        </w:trPr>
        <w:tc>
          <w:tcPr>
            <w:tcW w:w="42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300" w:type="dxa"/>
            <w:vAlign w:val="bottom"/>
            <w:tcBorders>
              <w:top w:val="single" w:sz="8" w:color="auto"/>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GAAP Operating Results</w:t>
            </w:r>
          </w:p>
        </w:tc>
        <w:tc>
          <w:tcPr>
            <w:tcW w:w="4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95"/>
        </w:trPr>
        <w:tc>
          <w:tcPr>
            <w:tcW w:w="79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Selected financial highlights regarding GAAP operating results for the three months and year ended December 31, 2025 and 2024 are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4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For the Three Months Ended</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gridSpan w:val="3"/>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7"/>
              </w:rPr>
              <w:t>For the Year Ended</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4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4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89,092,000</w:t>
            </w:r>
          </w:p>
        </w:tc>
        <w:tc>
          <w:tcPr>
            <w:tcW w:w="3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66,831,000</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272,303,000</w:t>
            </w: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199,614,000</w:t>
            </w:r>
          </w:p>
        </w:tc>
        <w:tc>
          <w:tcPr>
            <w:tcW w:w="120" w:type="dxa"/>
            <w:vAlign w:val="bottom"/>
            <w:shd w:val="clear" w:color="auto" w:fill="CCEEFF"/>
          </w:tcPr>
          <w:p>
            <w:pPr>
              <w:spacing w:after="0"/>
              <w:rPr>
                <w:sz w:val="11"/>
                <w:szCs w:val="11"/>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color w:val="auto"/>
              </w:rPr>
              <w:t>(18,468,000)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(14,135,000)</w:t>
            </w:r>
          </w:p>
        </w:tc>
        <w:tc>
          <w:tcPr>
            <w:tcW w:w="340" w:type="dxa"/>
            <w:vAlign w:val="bottom"/>
          </w:tcPr>
          <w:p>
            <w:pPr>
              <w:spacing w:after="0"/>
              <w:rPr>
                <w:sz w:val="13"/>
                <w:szCs w:val="13"/>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(67,934,000)</w:t>
            </w:r>
          </w:p>
        </w:tc>
        <w:tc>
          <w:tcPr>
            <w:tcW w:w="480" w:type="dxa"/>
            <w:vAlign w:val="bottom"/>
          </w:tcPr>
          <w:p>
            <w:pPr>
              <w:spacing w:after="0"/>
              <w:rPr>
                <w:sz w:val="13"/>
                <w:szCs w:val="13"/>
                <w:color w:val="auto"/>
              </w:rPr>
            </w:pPr>
          </w:p>
        </w:tc>
        <w:tc>
          <w:tcPr>
            <w:tcW w:w="11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(49,245,000)</w:t>
            </w:r>
          </w:p>
        </w:tc>
      </w:tr>
      <w:tr>
        <w:trPr>
          <w:trHeight w:val="133"/>
        </w:trPr>
        <w:tc>
          <w:tcPr>
            <w:tcW w:w="426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70,624,000</w:t>
            </w:r>
          </w:p>
        </w:tc>
        <w:tc>
          <w:tcPr>
            <w:tcW w:w="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52,696,000</w:t>
            </w: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204,369,000</w:t>
            </w:r>
          </w:p>
        </w:tc>
        <w:tc>
          <w:tcPr>
            <w:tcW w:w="3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150,369,000</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2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43,310,000</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34,789,000</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152,914,000</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129,064,000</w:t>
            </w:r>
          </w:p>
        </w:tc>
        <w:tc>
          <w:tcPr>
            <w:tcW w:w="120" w:type="dxa"/>
            <w:vAlign w:val="bottom"/>
          </w:tcPr>
          <w:p>
            <w:pPr>
              <w:spacing w:after="0"/>
              <w:rPr>
                <w:sz w:val="11"/>
                <w:szCs w:val="11"/>
                <w:color w:val="auto"/>
              </w:rPr>
            </w:pP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11,723,000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4,755,000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20,940,000</w:t>
            </w:r>
          </w:p>
        </w:tc>
        <w:tc>
          <w:tcPr>
            <w:tcW w:w="4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12,230,000</w:t>
            </w: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253,000</w:t>
            </w:r>
          </w:p>
        </w:tc>
        <w:tc>
          <w:tcPr>
            <w:tcW w:w="340" w:type="dxa"/>
            <w:vAlign w:val="bottom"/>
          </w:tcPr>
          <w:p>
            <w:pPr>
              <w:spacing w:after="0"/>
              <w:rPr>
                <w:sz w:val="13"/>
                <w:szCs w:val="13"/>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11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253,000</w:t>
            </w:r>
          </w:p>
        </w:tc>
      </w:tr>
      <w:tr>
        <w:trPr>
          <w:trHeight w:val="133"/>
        </w:trPr>
        <w:tc>
          <w:tcPr>
            <w:tcW w:w="426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55,033,000</w:t>
            </w:r>
          </w:p>
        </w:tc>
        <w:tc>
          <w:tcPr>
            <w:tcW w:w="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39,797,000</w:t>
            </w: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173,854,000</w:t>
            </w:r>
          </w:p>
        </w:tc>
        <w:tc>
          <w:tcPr>
            <w:tcW w:w="3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141,547,000</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2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Income from operations</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15,591,000</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12,899,000</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30,515,000</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8,822,000</w:t>
            </w:r>
          </w:p>
        </w:tc>
        <w:tc>
          <w:tcPr>
            <w:tcW w:w="120" w:type="dxa"/>
            <w:vAlign w:val="bottom"/>
          </w:tcPr>
          <w:p>
            <w:pPr>
              <w:spacing w:after="0"/>
              <w:rPr>
                <w:sz w:val="11"/>
                <w:szCs w:val="11"/>
                <w:color w:val="auto"/>
              </w:rPr>
            </w:pP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expense, net</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(5,194,000)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(6,636,000)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(31,883,000)</w:t>
            </w:r>
          </w:p>
        </w:tc>
        <w:tc>
          <w:tcPr>
            <w:tcW w:w="4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(26,142,000)</w:t>
            </w:r>
          </w:p>
        </w:tc>
      </w:tr>
      <w:tr>
        <w:trPr>
          <w:trHeight w:val="153"/>
        </w:trPr>
        <w:tc>
          <w:tcPr>
            <w:tcW w:w="4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color w:val="auto"/>
              </w:rPr>
              <w:t>(3,771,000)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514,000</w:t>
            </w:r>
          </w:p>
        </w:tc>
        <w:tc>
          <w:tcPr>
            <w:tcW w:w="340" w:type="dxa"/>
            <w:vAlign w:val="bottom"/>
          </w:tcPr>
          <w:p>
            <w:pPr>
              <w:spacing w:after="0"/>
              <w:rPr>
                <w:sz w:val="13"/>
                <w:szCs w:val="13"/>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(3,771,000)</w:t>
            </w:r>
          </w:p>
        </w:tc>
        <w:tc>
          <w:tcPr>
            <w:tcW w:w="480" w:type="dxa"/>
            <w:vAlign w:val="bottom"/>
          </w:tcPr>
          <w:p>
            <w:pPr>
              <w:spacing w:after="0"/>
              <w:rPr>
                <w:sz w:val="13"/>
                <w:szCs w:val="13"/>
                <w:color w:val="auto"/>
              </w:rPr>
            </w:pPr>
          </w:p>
        </w:tc>
        <w:tc>
          <w:tcPr>
            <w:tcW w:w="11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(161,000)</w:t>
            </w:r>
          </w:p>
        </w:tc>
      </w:tr>
      <w:tr>
        <w:trPr>
          <w:trHeight w:val="162"/>
        </w:trPr>
        <w:tc>
          <w:tcPr>
            <w:tcW w:w="4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6,626,000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6,777,000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(5,139,000</w:t>
            </w:r>
          </w:p>
        </w:tc>
        <w:tc>
          <w:tcPr>
            <w:tcW w:w="320" w:type="dxa"/>
            <w:vAlign w:val="bottom"/>
            <w:tcBorders>
              <w:top w:val="single" w:sz="8" w:color="CCEEFF"/>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(17,481,000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31"/>
        </w:trPr>
        <w:tc>
          <w:tcPr>
            <w:tcW w:w="426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Net income (loss) per share:</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2"/>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Basic</w:t>
            </w:r>
          </w:p>
        </w:tc>
        <w:tc>
          <w:tcPr>
            <w:tcW w:w="3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0.18</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0.19</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(0.14)</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(0.49)</w:t>
            </w:r>
          </w:p>
        </w:tc>
      </w:tr>
      <w:tr>
        <w:trPr>
          <w:trHeight w:val="138"/>
        </w:trPr>
        <w:tc>
          <w:tcPr>
            <w:tcW w:w="4260" w:type="dxa"/>
            <w:vAlign w:val="bottom"/>
            <w:tcBorders>
              <w:top w:val="single" w:sz="8" w:color="CCEEFF"/>
            </w:tcBorders>
          </w:tcPr>
          <w:p>
            <w:pPr>
              <w:ind w:left="120"/>
              <w:spacing w:after="0" w:line="131" w:lineRule="exact"/>
              <w:rPr>
                <w:sz w:val="20"/>
                <w:szCs w:val="20"/>
                <w:color w:val="auto"/>
              </w:rPr>
            </w:pPr>
            <w:r>
              <w:rPr>
                <w:rFonts w:ascii="Times New Roman" w:cs="Times New Roman" w:eastAsia="Times New Roman" w:hAnsi="Times New Roman"/>
                <w:sz w:val="12"/>
                <w:szCs w:val="12"/>
                <w:b w:val="1"/>
                <w:bCs w:val="1"/>
                <w:color w:val="auto"/>
              </w:rPr>
              <w:t>Diluted</w:t>
            </w:r>
          </w:p>
        </w:tc>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gridSpan w:val="3"/>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0.17</w:t>
            </w:r>
          </w:p>
        </w:tc>
        <w:tc>
          <w:tcPr>
            <w:tcW w:w="3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0.24</w:t>
            </w:r>
          </w:p>
        </w:tc>
        <w:tc>
          <w:tcPr>
            <w:tcW w:w="340" w:type="dxa"/>
            <w:vAlign w:val="bottom"/>
            <w:tcBorders>
              <w:top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(0.14</w:t>
            </w:r>
          </w:p>
        </w:tc>
        <w:tc>
          <w:tcPr>
            <w:tcW w:w="320" w:type="dxa"/>
            <w:vAlign w:val="bottom"/>
            <w:tcBorders>
              <w:top w:val="single" w:sz="8" w:color="CCEEFF"/>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Borders>
              <w:top w:val="single" w:sz="8" w:color="auto"/>
              <w:bottom w:val="single" w:sz="8" w:color="auto"/>
            </w:tcBorders>
          </w:tcPr>
          <w:p>
            <w:pPr>
              <w:jc w:val="right"/>
              <w:ind w:right="3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(0.49</w:t>
            </w:r>
          </w:p>
        </w:tc>
        <w:tc>
          <w:tcPr>
            <w:tcW w:w="12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61"/>
        </w:trPr>
        <w:tc>
          <w:tcPr>
            <w:tcW w:w="4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Non-GAAP Results</w:t>
            </w:r>
          </w:p>
        </w:tc>
        <w:tc>
          <w:tcPr>
            <w:tcW w:w="58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5"/>
        </w:trPr>
        <w:tc>
          <w:tcPr>
            <w:tcW w:w="794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Selected financial highlights regarding Non-GAAP operating results for the three months and year ended December 31, 2025 and 2024 are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4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Three Months Ended</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gridSpan w:val="3"/>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7"/>
              </w:rPr>
              <w:t>For the Year Ended</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4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4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89,092,000</w:t>
            </w:r>
          </w:p>
        </w:tc>
        <w:tc>
          <w:tcPr>
            <w:tcW w:w="3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66,831,000</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272,303,000</w:t>
            </w: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199,614,000</w:t>
            </w:r>
          </w:p>
        </w:tc>
        <w:tc>
          <w:tcPr>
            <w:tcW w:w="120" w:type="dxa"/>
            <w:vAlign w:val="bottom"/>
            <w:shd w:val="clear" w:color="auto" w:fill="CCEEFF"/>
          </w:tcPr>
          <w:p>
            <w:pPr>
              <w:spacing w:after="0"/>
              <w:rPr>
                <w:sz w:val="11"/>
                <w:szCs w:val="11"/>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79%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79%</w:t>
            </w:r>
          </w:p>
        </w:tc>
        <w:tc>
          <w:tcPr>
            <w:tcW w:w="340" w:type="dxa"/>
            <w:vAlign w:val="bottom"/>
          </w:tcPr>
          <w:p>
            <w:pPr>
              <w:spacing w:after="0"/>
              <w:rPr>
                <w:sz w:val="12"/>
                <w:szCs w:val="12"/>
                <w:color w:val="auto"/>
              </w:rPr>
            </w:pPr>
          </w:p>
        </w:tc>
        <w:tc>
          <w:tcPr>
            <w:tcW w:w="14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75%</w:t>
            </w:r>
          </w:p>
        </w:tc>
        <w:tc>
          <w:tcPr>
            <w:tcW w:w="48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6,626,000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6,777,000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(5,139,000)</w:t>
            </w:r>
          </w:p>
        </w:tc>
        <w:tc>
          <w:tcPr>
            <w:tcW w:w="4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(17,481,000)</w:t>
            </w:r>
          </w:p>
        </w:tc>
      </w:tr>
      <w:tr>
        <w:trPr>
          <w:trHeight w:val="171"/>
        </w:trPr>
        <w:tc>
          <w:tcPr>
            <w:tcW w:w="42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color w:val="auto"/>
              </w:rPr>
              <w:t>24,170,000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22,489,000</w:t>
            </w:r>
          </w:p>
        </w:tc>
        <w:tc>
          <w:tcPr>
            <w:tcW w:w="340" w:type="dxa"/>
            <w:vAlign w:val="bottom"/>
          </w:tcPr>
          <w:p>
            <w:pPr>
              <w:spacing w:after="0"/>
              <w:rPr>
                <w:sz w:val="14"/>
                <w:szCs w:val="14"/>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61,923,000</w:t>
            </w:r>
          </w:p>
        </w:tc>
        <w:tc>
          <w:tcPr>
            <w:tcW w:w="480" w:type="dxa"/>
            <w:vAlign w:val="bottom"/>
          </w:tcPr>
          <w:p>
            <w:pPr>
              <w:spacing w:after="0"/>
              <w:rPr>
                <w:sz w:val="14"/>
                <w:szCs w:val="14"/>
                <w:color w:val="auto"/>
              </w:rPr>
            </w:pPr>
          </w:p>
        </w:tc>
        <w:tc>
          <w:tcPr>
            <w:tcW w:w="11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40,327,000</w:t>
            </w: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per share:</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Basic</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color w:val="auto"/>
              </w:rPr>
              <w:t>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0.19</w:t>
            </w:r>
          </w:p>
        </w:tc>
        <w:tc>
          <w:tcPr>
            <w:tcW w:w="340" w:type="dxa"/>
            <w:vAlign w:val="bottom"/>
          </w:tcPr>
          <w:p>
            <w:pPr>
              <w:spacing w:after="0"/>
              <w:rPr>
                <w:sz w:val="12"/>
                <w:szCs w:val="12"/>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(0.14)</w:t>
            </w:r>
          </w:p>
        </w:tc>
        <w:tc>
          <w:tcPr>
            <w:tcW w:w="480" w:type="dxa"/>
            <w:vAlign w:val="bottom"/>
          </w:tcPr>
          <w:p>
            <w:pPr>
              <w:spacing w:after="0"/>
              <w:rPr>
                <w:sz w:val="12"/>
                <w:szCs w:val="12"/>
                <w:color w:val="auto"/>
              </w:rPr>
            </w:pPr>
          </w:p>
        </w:tc>
        <w:tc>
          <w:tcPr>
            <w:tcW w:w="11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(0.49)</w:t>
            </w: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0.17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0.24</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(0.14)</w:t>
            </w:r>
          </w:p>
        </w:tc>
        <w:tc>
          <w:tcPr>
            <w:tcW w:w="4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(0.49)</w:t>
            </w:r>
          </w:p>
        </w:tc>
      </w:tr>
    </w:tbl>
    <w:p>
      <w:pPr>
        <w:spacing w:after="0" w:line="133" w:lineRule="exact"/>
        <w:rPr>
          <w:sz w:val="20"/>
          <w:szCs w:val="20"/>
          <w:color w:val="auto"/>
        </w:rPr>
      </w:pPr>
    </w:p>
    <w:p>
      <w:pPr>
        <w:ind w:left="420" w:hanging="282"/>
        <w:spacing w:after="0" w:line="279"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is a non-GAAP measure. For additional information, including a reconciliation of Adjusted EBITDA to net income (loss), the most directly comparable GAAP measure, see the explanation of non-GAAP financial measures and reconciliation table at the end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 list and description of those risks and uncertainties, please see the “Risk Factors” section of the Company’s Annual Report on Form 10-K for the year ended December 31, 2025, and other filings with the SEC.</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Additionally, Harrow refers to non-GAAP financial measures in this letter, specifically Adjusted EBITDA. A reconciliation of Adjusted EBITDA with the most directly comparable GAAP measure, net income (loss) is included at the end of this letter.</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All trademarks, service marks, and trade names included or referenced in this publication are the property of their respective owners.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defines Adjusted EBITDA as net income (loss),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reconciliation of Adjusted EBITDA, a non-GAAP measure, to the most comparable GAAP measure, net income (loss), for the three months and year ended December 31, 2025 and for the same periods in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4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3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3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4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net income (loss)</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6,626,000</w:t>
            </w: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6,777,000</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(5,139,000)</w:t>
            </w: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(17,481,000)</w:t>
            </w:r>
          </w:p>
        </w:tc>
        <w:tc>
          <w:tcPr>
            <w:tcW w:w="120" w:type="dxa"/>
            <w:vAlign w:val="bottom"/>
            <w:gridSpan w:val="2"/>
            <w:shd w:val="clear" w:color="auto" w:fill="CCEEFF"/>
          </w:tcPr>
          <w:p>
            <w:pPr>
              <w:spacing w:after="0"/>
              <w:rPr>
                <w:sz w:val="11"/>
                <w:szCs w:val="1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and expenses</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3,800,000</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4,794,000</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12,502,000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17,619,000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253,000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253,000</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5,186,000</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6,375,000</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24,180,000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22,786,000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3,771,000</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(514,000)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3,771,000</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161,000</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464,000</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468,000</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1,915,000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1,850,000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4,315,000</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4,075,000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16,991,000</w:t>
            </w: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11,783,000</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Investment loss, net</w:t>
            </w:r>
          </w:p>
        </w:tc>
        <w:tc>
          <w:tcPr>
            <w:tcW w:w="34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3,171,000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3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261,000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7,703,000</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185,000</w:t>
            </w:r>
          </w:p>
        </w:tc>
        <w:tc>
          <w:tcPr>
            <w:tcW w:w="100" w:type="dxa"/>
            <w:vAlign w:val="bottom"/>
            <w:shd w:val="clear" w:color="auto" w:fill="CCEEFF"/>
          </w:tcPr>
          <w:p>
            <w:pPr>
              <w:spacing w:after="0"/>
              <w:rPr>
                <w:sz w:val="12"/>
                <w:szCs w:val="12"/>
                <w:color w:val="auto"/>
              </w:rPr>
            </w:pPr>
          </w:p>
        </w:tc>
      </w:tr>
      <w:tr>
        <w:trPr>
          <w:trHeight w:val="140"/>
        </w:trPr>
        <w:tc>
          <w:tcPr>
            <w:tcW w:w="43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EBITDA</w:t>
            </w: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24,170,000</w:t>
            </w:r>
          </w:p>
        </w:tc>
        <w:tc>
          <w:tcPr>
            <w:tcW w:w="3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22,489,000</w:t>
            </w: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61,923,000</w:t>
            </w:r>
          </w:p>
        </w:tc>
        <w:tc>
          <w:tcPr>
            <w:tcW w:w="3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40,327,000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4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5" w:right="299" w:bottom="1440" w:gutter="0" w:footer="0" w:header="0"/>
        </w:sectPr>
      </w:pPr>
    </w:p>
    <w:bookmarkStart w:id="22" w:name="page23"/>
    <w:bookmarkEnd w:id="22"/>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34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5343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343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i"/>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2026-03-02T15:36:22Z</dcterms:created>
  <dcterms:modified xsi:type="dcterms:W3CDTF">2026-03-02T15:36:22Z</dcterms:modified>
</cp:coreProperties>
</file>