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14, 2022</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HEALTH,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840" w:type="dxa"/>
            <w:vAlign w:val="bottom"/>
            <w:gridSpan w:val="3"/>
          </w:tcPr>
          <w:p>
            <w:pPr>
              <w:jc w:val="center"/>
              <w:ind w:left="971"/>
              <w:spacing w:after="0"/>
              <w:rPr>
                <w:sz w:val="20"/>
                <w:szCs w:val="20"/>
                <w:color w:val="auto"/>
              </w:rPr>
            </w:pPr>
            <w:r>
              <w:rPr>
                <w:rFonts w:ascii="Times New Roman" w:cs="Times New Roman" w:eastAsia="Times New Roman" w:hAnsi="Times New Roman"/>
                <w:sz w:val="14"/>
                <w:szCs w:val="14"/>
                <w:b w:val="1"/>
                <w:bCs w:val="1"/>
                <w:color w:val="auto"/>
                <w:w w:val="98"/>
              </w:rPr>
              <w:t>001-35814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45-0567010</w:t>
            </w:r>
          </w:p>
        </w:tc>
      </w:tr>
      <w:tr>
        <w:trPr>
          <w:trHeight w:val="165"/>
        </w:trPr>
        <w:tc>
          <w:tcPr>
            <w:tcW w:w="20" w:type="dxa"/>
            <w:vAlign w:val="bottom"/>
          </w:tcPr>
          <w:p>
            <w:pPr>
              <w:spacing w:after="0"/>
              <w:rPr>
                <w:sz w:val="14"/>
                <w:szCs w:val="14"/>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w w:val="97"/>
              </w:rPr>
              <w:t>(Commission</w:t>
            </w:r>
          </w:p>
        </w:tc>
        <w:tc>
          <w:tcPr>
            <w:tcW w:w="720" w:type="dxa"/>
            <w:vAlign w:val="bottom"/>
          </w:tcPr>
          <w:p>
            <w:pPr>
              <w:spacing w:after="0"/>
              <w:rPr>
                <w:sz w:val="14"/>
                <w:szCs w:val="14"/>
                <w:color w:val="auto"/>
              </w:rPr>
            </w:pPr>
          </w:p>
        </w:tc>
        <w:tc>
          <w:tcPr>
            <w:tcW w:w="28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w w:val="97"/>
              </w:rPr>
              <w:t>File Number)</w:t>
            </w:r>
          </w:p>
        </w:tc>
        <w:tc>
          <w:tcPr>
            <w:tcW w:w="720" w:type="dxa"/>
            <w:vAlign w:val="bottom"/>
          </w:tcPr>
          <w:p>
            <w:pPr>
              <w:spacing w:after="0"/>
              <w:rPr>
                <w:sz w:val="15"/>
                <w:szCs w:val="15"/>
                <w:color w:val="auto"/>
              </w:rPr>
            </w:pPr>
          </w:p>
        </w:tc>
        <w:tc>
          <w:tcPr>
            <w:tcW w:w="28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0" w:type="dxa"/>
            <w:vAlign w:val="bottom"/>
          </w:tcPr>
          <w:p>
            <w:pPr>
              <w:spacing w:after="0"/>
              <w:rPr>
                <w:sz w:val="24"/>
                <w:szCs w:val="24"/>
                <w:color w:val="auto"/>
              </w:rPr>
            </w:pPr>
          </w:p>
        </w:tc>
        <w:tc>
          <w:tcPr>
            <w:tcW w:w="3700" w:type="dxa"/>
            <w:vAlign w:val="bottom"/>
            <w:gridSpan w:val="2"/>
          </w:tcPr>
          <w:p>
            <w:pPr>
              <w:jc w:val="center"/>
              <w:ind w:left="1731"/>
              <w:spacing w:after="0"/>
              <w:rPr>
                <w:sz w:val="20"/>
                <w:szCs w:val="20"/>
                <w:color w:val="auto"/>
              </w:rPr>
            </w:pPr>
            <w:r>
              <w:rPr>
                <w:rFonts w:ascii="Times New Roman" w:cs="Times New Roman" w:eastAsia="Times New Roman" w:hAnsi="Times New Roman"/>
                <w:sz w:val="14"/>
                <w:szCs w:val="14"/>
                <w:b w:val="1"/>
                <w:bCs w:val="1"/>
                <w:color w:val="auto"/>
                <w:w w:val="98"/>
              </w:rPr>
              <w:t>102 Woodmont Blvd., Suite 610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700" w:type="dxa"/>
            <w:vAlign w:val="bottom"/>
            <w:gridSpan w:val="2"/>
          </w:tcPr>
          <w:p>
            <w:pPr>
              <w:jc w:val="center"/>
              <w:ind w:left="1731"/>
              <w:spacing w:after="0"/>
              <w:rPr>
                <w:sz w:val="20"/>
                <w:szCs w:val="20"/>
                <w:color w:val="auto"/>
              </w:rPr>
            </w:pPr>
            <w:r>
              <w:rPr>
                <w:rFonts w:ascii="Times New Roman" w:cs="Times New Roman" w:eastAsia="Times New Roman" w:hAnsi="Times New Roman"/>
                <w:sz w:val="14"/>
                <w:szCs w:val="14"/>
                <w:b w:val="1"/>
                <w:bCs w:val="1"/>
                <w:color w:val="auto"/>
                <w:w w:val="95"/>
              </w:rPr>
              <w:t>Nashville, Tennessee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40" w:type="dxa"/>
            <w:vAlign w:val="bottom"/>
            <w:gridSpan w:val="2"/>
          </w:tcPr>
          <w:p>
            <w:pPr>
              <w:jc w:val="right"/>
              <w:ind w:right="2511"/>
              <w:spacing w:after="0"/>
              <w:rPr>
                <w:sz w:val="20"/>
                <w:szCs w:val="20"/>
                <w:color w:val="auto"/>
              </w:rPr>
            </w:pPr>
            <w:r>
              <w:rPr>
                <w:rFonts w:ascii="Times New Roman" w:cs="Times New Roman" w:eastAsia="Times New Roman" w:hAnsi="Times New Roman"/>
                <w:sz w:val="14"/>
                <w:szCs w:val="14"/>
                <w:b w:val="1"/>
                <w:bCs w:val="1"/>
                <w:color w:val="auto"/>
              </w:rPr>
              <w:t>37205</w:t>
            </w:r>
          </w:p>
        </w:tc>
      </w:tr>
      <w:tr>
        <w:trPr>
          <w:trHeight w:val="179"/>
        </w:trPr>
        <w:tc>
          <w:tcPr>
            <w:tcW w:w="20" w:type="dxa"/>
            <w:vAlign w:val="bottom"/>
          </w:tcPr>
          <w:p>
            <w:pPr>
              <w:spacing w:after="0"/>
              <w:rPr>
                <w:sz w:val="15"/>
                <w:szCs w:val="15"/>
                <w:color w:val="auto"/>
              </w:rPr>
            </w:pPr>
          </w:p>
        </w:tc>
        <w:tc>
          <w:tcPr>
            <w:tcW w:w="7720" w:type="dxa"/>
            <w:vAlign w:val="bottom"/>
            <w:gridSpan w:val="7"/>
          </w:tcPr>
          <w:p>
            <w:pPr>
              <w:jc w:val="center"/>
              <w:ind w:right="222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5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(Zip Code)</w:t>
            </w:r>
          </w:p>
        </w:tc>
      </w:tr>
      <w:tr>
        <w:trPr>
          <w:trHeight w:val="33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(615) 733-4730</w:t>
            </w: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72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72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328"/>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700" w:type="dxa"/>
            <w:vAlign w:val="bottom"/>
            <w:gridSpan w:val="2"/>
          </w:tcPr>
          <w:p>
            <w:pPr>
              <w:jc w:val="center"/>
              <w:ind w:left="271"/>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Name on exchange on which registered</w:t>
            </w:r>
          </w:p>
        </w:tc>
      </w:tr>
      <w:tr>
        <w:trPr>
          <w:trHeight w:val="153"/>
        </w:trPr>
        <w:tc>
          <w:tcPr>
            <w:tcW w:w="20" w:type="dxa"/>
            <w:vAlign w:val="bottom"/>
          </w:tcPr>
          <w:p>
            <w:pPr>
              <w:spacing w:after="0"/>
              <w:rPr>
                <w:sz w:val="13"/>
                <w:szCs w:val="13"/>
                <w:color w:val="auto"/>
              </w:rPr>
            </w:pPr>
          </w:p>
        </w:tc>
        <w:tc>
          <w:tcPr>
            <w:tcW w:w="3700" w:type="dxa"/>
            <w:vAlign w:val="bottom"/>
            <w:tcBorders>
              <w:top w:val="single" w:sz="8" w:color="auto"/>
            </w:tcBorders>
            <w:gridSpan w:val="2"/>
          </w:tcPr>
          <w:p>
            <w:pPr>
              <w:jc w:val="center"/>
              <w:ind w:left="271"/>
              <w:spacing w:after="0" w:line="153" w:lineRule="exact"/>
              <w:rPr>
                <w:sz w:val="20"/>
                <w:szCs w:val="20"/>
                <w:color w:val="auto"/>
              </w:rPr>
            </w:pPr>
            <w:r>
              <w:rPr>
                <w:rFonts w:ascii="Times New Roman" w:cs="Times New Roman" w:eastAsia="Times New Roman" w:hAnsi="Times New Roman"/>
                <w:sz w:val="14"/>
                <w:szCs w:val="14"/>
                <w:color w:val="auto"/>
                <w:w w:val="98"/>
              </w:rPr>
              <w:t>Common Stock, $0.001 par value per share</w:t>
            </w: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HROW</w:t>
            </w: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gridSpan w:val="2"/>
          </w:tcPr>
          <w:p>
            <w:pPr>
              <w:ind w:left="460"/>
              <w:spacing w:after="0" w:line="153" w:lineRule="exact"/>
              <w:rPr>
                <w:sz w:val="20"/>
                <w:szCs w:val="20"/>
                <w:color w:val="auto"/>
              </w:rPr>
            </w:pPr>
            <w:r>
              <w:rPr>
                <w:rFonts w:ascii="Times New Roman" w:cs="Times New Roman" w:eastAsia="Times New Roman" w:hAnsi="Times New Roman"/>
                <w:sz w:val="14"/>
                <w:szCs w:val="14"/>
                <w:color w:val="auto"/>
              </w:rPr>
              <w:t>The NASDAQ Global Market</w:t>
            </w:r>
          </w:p>
        </w:tc>
      </w:tr>
      <w:tr>
        <w:trPr>
          <w:trHeight w:val="179"/>
        </w:trPr>
        <w:tc>
          <w:tcPr>
            <w:tcW w:w="20" w:type="dxa"/>
            <w:vAlign w:val="bottom"/>
          </w:tcPr>
          <w:p>
            <w:pPr>
              <w:spacing w:after="0"/>
              <w:rPr>
                <w:sz w:val="15"/>
                <w:szCs w:val="15"/>
                <w:color w:val="auto"/>
              </w:rPr>
            </w:pPr>
          </w:p>
        </w:tc>
        <w:tc>
          <w:tcPr>
            <w:tcW w:w="3700" w:type="dxa"/>
            <w:vAlign w:val="bottom"/>
            <w:gridSpan w:val="2"/>
          </w:tcPr>
          <w:p>
            <w:pPr>
              <w:jc w:val="center"/>
              <w:ind w:left="271"/>
              <w:spacing w:after="0"/>
              <w:rPr>
                <w:sz w:val="20"/>
                <w:szCs w:val="20"/>
                <w:color w:val="auto"/>
              </w:rPr>
            </w:pPr>
            <w:r>
              <w:rPr>
                <w:rFonts w:ascii="Times New Roman" w:cs="Times New Roman" w:eastAsia="Times New Roman" w:hAnsi="Times New Roman"/>
                <w:sz w:val="14"/>
                <w:szCs w:val="14"/>
                <w:color w:val="auto"/>
                <w:w w:val="98"/>
              </w:rPr>
              <w:t>8.625% Senior Notes due 2026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w w:val="97"/>
              </w:rPr>
              <w:t>HROWL</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365125</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December 14, 2022, Harrow Health, Inc. (the “Company”) issued a press release announcing the commencement of a public offering of $100,000,000 aggregate principal amount of senior notes due 2027 (the “</w:t>
      </w:r>
      <w:r>
        <w:rPr>
          <w:rFonts w:ascii="Times New Roman" w:cs="Times New Roman" w:eastAsia="Times New Roman" w:hAnsi="Times New Roman"/>
          <w:sz w:val="14"/>
          <w:szCs w:val="14"/>
          <w:u w:val="single" w:color="auto"/>
          <w:color w:val="auto"/>
        </w:rPr>
        <w:t>Senior Notes Offering</w:t>
      </w:r>
      <w:r>
        <w:rPr>
          <w:rFonts w:ascii="Times New Roman" w:cs="Times New Roman" w:eastAsia="Times New Roman" w:hAnsi="Times New Roman"/>
          <w:sz w:val="14"/>
          <w:szCs w:val="14"/>
          <w:color w:val="auto"/>
        </w:rPr>
        <w:t>”). The Company expects to grant the underwriters a 30-day option to purchase up to an additional $15,000,000 aggregate principal amount of senior notes in connection with the Senior Notes Offering.</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Also, on December 14, 2022, the Company issued a press release announcing pricing of a registered direct offering of $25 million of shares of the Company’s common stock, par value $0.001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to certain accredited investors, at an offering price of $10.52 (the “</w:t>
      </w:r>
      <w:r>
        <w:rPr>
          <w:rFonts w:ascii="Times New Roman" w:cs="Times New Roman" w:eastAsia="Times New Roman" w:hAnsi="Times New Roman"/>
          <w:sz w:val="14"/>
          <w:szCs w:val="14"/>
          <w:u w:val="single" w:color="auto"/>
          <w:color w:val="auto"/>
        </w:rPr>
        <w:t>Common Stock Offering</w:t>
      </w:r>
      <w:r>
        <w:rPr>
          <w:rFonts w:ascii="Times New Roman" w:cs="Times New Roman" w:eastAsia="Times New Roman" w:hAnsi="Times New Roman"/>
          <w:sz w:val="14"/>
          <w:szCs w:val="14"/>
          <w:color w:val="auto"/>
        </w:rPr>
        <w:t>”). The Common Stock Offering is anticipated to close on or about December 16, 2022, subject to satisfaction of customary closing conditions.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A copy of the press releases for the Notes Offering and Common Stock Offering are being furnished as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respectively, to this Current Report on Form 8-K.</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In connection with the Note Offering, the Company will be making road show presentations to certain existing and potential securityholders of the Company. The road show materials are being furnished as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xml:space="preserve"> to this Current Report on Form 8-K.</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information furnished under this Item 7.01 of the Current Report on Form 8-K, including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shall not be deemed to be “filed” for the purposes of Section 18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xml:space="preserve">”), or otherwise subject to the liabilities of that Section. The information in this Item 7.01, including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The information furnished under this Item 7.01 of Current Report on Form 8-K, including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exhibits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This Current Report on Form 8-K (and the exhibits attached hereto) may contain “forward-looking” statements as defined by the Private Securities Litigation Reform Act of 1995 or by the SEC in its rules, regulations and releases. These statements include, but are not limited to, the Company’s plans, objectives, expectations and intentions regarding the performance of its business, statements regarding the terms and conditions and timing of the Offerings, the intended use of proceeds of the Offerings and other non-historical statements. These statements can be identified by the use of words such as “believes,” “anticipates,” “expects,” “intends,” “plans,” “continues,” “estimates,” “predicts,” “projects,” “forecasts,” and similar expressions. All forward looking statements are based on management’s current expectations and beliefs only as of the date of this report and are subject to risks, uncertainties and assumptions that could cause actual results to differ materially from those discussed in, or implied by, the forward-looking statements, including the risks identified and discussed from time to time in the Company’s reports filed with the SEC, including the Company’s most recent Annual Report on Form 10-K and Quarterly Reports on Form 10-Q. Readers are strongly encouraged to review carefully the full cautionary statements described in these reports.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4" w:lineRule="exact"/>
        <w:rPr>
          <w:sz w:val="20"/>
          <w:szCs w:val="20"/>
          <w:color w:val="auto"/>
        </w:rPr>
      </w:pPr>
    </w:p>
    <w:p>
      <w:pPr>
        <w:ind w:left="500" w:hanging="497"/>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99.1    </w:t>
      </w:r>
      <w:r>
        <w:rPr>
          <w:rFonts w:ascii="Times New Roman" w:cs="Times New Roman" w:eastAsia="Times New Roman" w:hAnsi="Times New Roman"/>
          <w:sz w:val="14"/>
          <w:szCs w:val="14"/>
          <w:u w:val="single" w:color="auto"/>
          <w:color w:val="0000EE"/>
        </w:rPr>
        <w:t>Press Release Announcing Senior Notes Offering, dated December 14, 2022</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99.2    </w:t>
      </w:r>
      <w:r>
        <w:rPr>
          <w:rFonts w:ascii="Times New Roman" w:cs="Times New Roman" w:eastAsia="Times New Roman" w:hAnsi="Times New Roman"/>
          <w:sz w:val="14"/>
          <w:szCs w:val="14"/>
          <w:u w:val="single" w:color="auto"/>
          <w:color w:val="0000EE"/>
        </w:rPr>
        <w:t>Press Release Announcing Common Stock Offering, dated December 14, 2022</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99.3    </w:t>
      </w:r>
      <w:r>
        <w:rPr>
          <w:rFonts w:ascii="Times New Roman" w:cs="Times New Roman" w:eastAsia="Times New Roman" w:hAnsi="Times New Roman"/>
          <w:sz w:val="14"/>
          <w:szCs w:val="14"/>
          <w:u w:val="single" w:color="auto"/>
          <w:color w:val="0000EE"/>
        </w:rPr>
        <w:t>Road Show Materials, dated December 2022</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13"/>
          <w:szCs w:val="13"/>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p>
      <w:pPr>
        <w:jc w:val="center"/>
        <w:ind w:right="-7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HARROW HEALTH, INC.</w:t>
      </w:r>
    </w:p>
    <w:p>
      <w:pPr>
        <w:spacing w:after="0" w:line="170"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 December 14,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13335</wp:posOffset>
            </wp:positionV>
            <wp:extent cx="33655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Andrew R. Boll</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520"/>
          </w:cols>
          <w:pgMar w:left="300" w:top="557" w:right="1079" w:bottom="1440" w:gutter="0" w:footer="0" w:header="0"/>
        </w:sectPr>
      </w:pPr>
    </w:p>
    <w:bookmarkStart w:id="3" w:name="page4"/>
    <w:bookmarkEnd w:id="3"/>
    <w:p>
      <w:pPr>
        <w:ind w:left="1042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125730</wp:posOffset>
            </wp:positionV>
            <wp:extent cx="944880" cy="498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488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Announces Proposed Offering of $100 Million of Senior Notes Due 2027</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“BB” Rating from Egan-Jones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NASHVILLE, Tenn., December 14, 2022 – Harrow Health, Inc. (Nasdaq: HROW), an eyecare pharmaceutical company exclusively focused on the discovery, development, and commercialization of innovative ophthalmic prescription therapies, today announced that it has commenced an underwritten registered public offering of $100 million aggregate principal amount of senior notes due 2027, subject to market and certain other conditions. Harrow expects to grant the underwriters a 30-day option to purchase an additional 15% of the principal amount of senior notes sold in connection with the offering. The proposed offering is subject to market and other conditions, and there can be no assurance as to whether or when the offering may be completed, or as to the actual size or terms of the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Harrow and this issuance of notes both received a rating of “BB” from Egan-Jones Ratings Company, an independent, unaffiliated rating agency.</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expects to use the net proceeds from the sale of the notes to fund a portion of the purchase price payable for a previously announced acquisition, with any remaining net proceeds available for general corporate purposes, including funding future strategic product acquisitions and related investments, making capital expenditures, and funding working capital.</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 Riley Securities, Janney Montgomery Scott, Ladenburg Thalmann and William Blair are acting as joint book-running managers for the offering. EF Hutton, division of Benchmark Investments, LLC, is acting as lead manager for the offering, and Aegis Capital Corp., Huntington Capital Markets, InspereX, Maxim Group LLC, Newbridge Securities Corporation and Revere Securities LLC are acting as co-managers for the offering.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notes will be offered by Harrow under its shelf registration statement on Form S-3, which was declared effective by the Securities and Exchange Commission (the “SEC”) on June 6, 2022. The offering of these notes will be made solely by means of a prospectus supplement and accompanying base prospectus, which will be filed with the SEC.</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Copies of the prospectus supplement and the accompanying base prospectus may be obtained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or by contacting B. Riley Securities by phone at (703) 312-9580, or by emailing </w:t>
      </w:r>
      <w:r>
        <w:rPr>
          <w:rFonts w:ascii="Times New Roman" w:cs="Times New Roman" w:eastAsia="Times New Roman" w:hAnsi="Times New Roman"/>
          <w:sz w:val="14"/>
          <w:szCs w:val="14"/>
          <w:u w:val="single" w:color="auto"/>
          <w:color w:val="auto"/>
        </w:rPr>
        <w:t>prospectuses@brileyfin.com</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HROW Announces Proposed Offering of $100 Million of Senior Notes Due 2027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“BB” Rating from Egan-Jones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14,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Harrow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Harrow (Nasdaq: HROW) is an eyecare pharmaceutical company exclusively focused on the discovery, development, and commercialization of innovative ophthalmic prescription therapies for the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market that are accessible and affordable. For more information about Harrow, please visit the Investors section of the corporate website, </w:t>
      </w:r>
      <w:r>
        <w:rPr>
          <w:rFonts w:ascii="Times New Roman" w:cs="Times New Roman" w:eastAsia="Times New Roman" w:hAnsi="Times New Roman"/>
          <w:sz w:val="14"/>
          <w:szCs w:val="14"/>
          <w:u w:val="single" w:color="auto"/>
          <w:color w:val="auto"/>
        </w:rPr>
        <w:t>harrow.com</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Harrow’s filings with the Securities and Exchange Commission, including its Annual Report on Form 10-K and its Quarterly Reports on Form 10-Q. Such documents may be read free of charge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Jamie Webb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of Communications and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jwebb@harrowinc.com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615-733-4737</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118110</wp:posOffset>
            </wp:positionV>
            <wp:extent cx="944880" cy="498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488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Prices $25 Million Offering</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NASHVILLE, Tenn., December 14, 2022 – Harrow Health, Inc. (Nasdaq: HROW), an eyecare pharmaceutical company exclusively focused on the discovery, development, and commercialization of innovative ophthalmic prescription therapies, today announced that it priced an underwritten registered offering of 2,376,426 shares of its common stock at a price of $10.52 per share for aggregate gross proceeds of $25 million. The offering is expected to close on or about December 16, 2022, subject to customary closing conditions.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expects to use the net proceeds from the sale of the common stock to fund a portion of the purchase price payable for a previously announced acquisition, with any remaining net proceeds available for general corporate purposes, including funding future strategic product acquisitions and related investments, making capital expenditures, and funding working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Riley Securities is acting as sole book-running manager for this offering.</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common stock in this offering is being offered by Harrow under its shelf registration statement on Form S-3, which was declared effective by the Securities and Exchange Commission (the “SEC”) on June 6, 2022. A prospectus supplement and accompanying base prospectus relating to this offering will be filed with the SEC. Copies of the prospectus supplement and the accompanying base prospectus may be obtained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or by contacting B. Riley Securities by phone at (703) 312-9580, or by emailing </w:t>
      </w:r>
      <w:r>
        <w:rPr>
          <w:rFonts w:ascii="Times New Roman" w:cs="Times New Roman" w:eastAsia="Times New Roman" w:hAnsi="Times New Roman"/>
          <w:sz w:val="14"/>
          <w:szCs w:val="14"/>
          <w:u w:val="single" w:color="auto"/>
          <w:color w:val="auto"/>
        </w:rPr>
        <w:t>prospectuses@brileyfin.com</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press release shall not constitute an offer to sell or the solicitation of an offer to buy, and shall not constitute an offer, solicitation or sale in any jurisdiction in which such offer, solicitation or sale is unlawful.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Harrow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Harrow (Nasdaq: HROW) is an eyecare pharmaceutical company exclusively focused on the discovery, development, and commercialization of innovative ophthalmic prescription therapies for the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market that are accessible and affordable. For more information about Harrow, please visit the Investors section of the corporate website, </w:t>
      </w:r>
      <w:r>
        <w:rPr>
          <w:rFonts w:ascii="Times New Roman" w:cs="Times New Roman" w:eastAsia="Times New Roman" w:hAnsi="Times New Roman"/>
          <w:sz w:val="14"/>
          <w:szCs w:val="14"/>
          <w:u w:val="single" w:color="auto"/>
          <w:color w:val="auto"/>
        </w:rPr>
        <w:t>harrow.com</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intended use of proceeds of the common stock offering.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common stock offering will not be consummated at the expected time, or at all. Additional risks and uncertainties are more fully described in Harrow’s filings with the Securities and Exchange Commission, including its Annual Report on Form 10-K and its Quarterly Reports on Form 10-Q. Such documents may be read free of charge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Jamie Webb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of Communications and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jwebb@harrowinc.com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615-733-4737</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6" w:name="page7"/>
    <w:bookmarkEnd w:id="6"/>
    <w:p>
      <w:pPr>
        <w:ind w:left="930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2022-12-14T05:52:05Z</dcterms:created>
  <dcterms:modified xsi:type="dcterms:W3CDTF">2022-12-14T05:52:05Z</dcterms:modified>
</cp:coreProperties>
</file>