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17, 2020</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HARROW HEALTH,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40"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8"/>
          <w:szCs w:val="18"/>
          <w:b w:val="1"/>
          <w:bCs w:val="1"/>
          <w:color w:val="auto"/>
        </w:rPr>
        <w:t>001-35814</w:t>
      </w:r>
    </w:p>
    <w:p>
      <w:pPr>
        <w:spacing w:after="0" w:line="3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(Commission</w:t>
      </w:r>
    </w:p>
    <w:p>
      <w:pPr>
        <w:spacing w:after="0" w:line="2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45-0567010</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40" w:right="339" w:bottom="1440" w:gutter="0" w:footer="0" w:header="0"/>
          <w:type w:val="continuous"/>
        </w:sectPr>
      </w:pPr>
    </w:p>
    <w:p>
      <w:pPr>
        <w:spacing w:after="0" w:line="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102 Woodmont Blvd., Suite 610</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Nashville, Tennessee</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37205</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40"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(615) 733-4730</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28575</wp:posOffset>
            </wp:positionV>
            <wp:extent cx="42773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7360" cy="1714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52"/>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on exchange on which registered</w:t>
            </w:r>
          </w:p>
        </w:tc>
      </w:tr>
      <w:tr>
        <w:trPr>
          <w:trHeight w:val="234"/>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24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HROW</w:t>
            </w:r>
          </w:p>
        </w:tc>
        <w:tc>
          <w:tcPr>
            <w:tcW w:w="22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Market</w:t>
            </w:r>
          </w:p>
        </w:tc>
      </w:tr>
    </w:tbl>
    <w:p>
      <w:pPr>
        <w:spacing w:after="0" w:line="17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Act of 1934: Emerging growth company </w:t>
      </w:r>
      <w:r>
        <w:rPr>
          <w:rFonts w:ascii="MS PGothic" w:cs="MS PGothic" w:eastAsia="MS PGothic" w:hAnsi="MS PGothic"/>
          <w:sz w:val="18"/>
          <w:szCs w:val="18"/>
          <w:color w:val="auto"/>
        </w:rPr>
        <w:t>☐</w:t>
      </w:r>
    </w:p>
    <w:p>
      <w:pPr>
        <w:spacing w:after="0" w:line="179"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any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476885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Attached as Exhibit 99.1 to this Item 7.01 is a presentation of Harrow Health, Inc. (the “Company”), that is being used by the management of the Company at investor conferences and at meetings describing the Company.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contained in Item 7.01 of this report and in Exhibit 99.1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Item</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w:anchor="page4">
        <w:r>
          <w:rPr>
            <w:rFonts w:ascii="Times New Roman" w:cs="Times New Roman" w:eastAsia="Times New Roman" w:hAnsi="Times New Roman"/>
            <w:sz w:val="17"/>
            <w:szCs w:val="17"/>
            <w:u w:val="single" w:color="auto"/>
            <w:color w:val="0000EE"/>
          </w:rPr>
          <w:t>Harrow Health, Inc. Corporate Presentation dated November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HARROW HEALTH, INC.</w:t>
      </w:r>
    </w:p>
    <w:p>
      <w:pPr>
        <w:spacing w:after="0" w:line="227" w:lineRule="exact"/>
        <w:rPr>
          <w:sz w:val="20"/>
          <w:szCs w:val="20"/>
          <w:color w:val="auto"/>
        </w:rPr>
      </w:pPr>
    </w:p>
    <w:p>
      <w:pPr>
        <w:spacing w:after="0"/>
        <w:tabs>
          <w:tab w:leader="none" w:pos="5620" w:val="left"/>
          <w:tab w:leader="none" w:pos="6180" w:val="left"/>
        </w:tabs>
        <w:rPr>
          <w:sz w:val="20"/>
          <w:szCs w:val="20"/>
          <w:color w:val="auto"/>
        </w:rPr>
      </w:pPr>
      <w:r>
        <w:rPr>
          <w:rFonts w:ascii="Times New Roman" w:cs="Times New Roman" w:eastAsia="Times New Roman" w:hAnsi="Times New Roman"/>
          <w:sz w:val="18"/>
          <w:szCs w:val="18"/>
          <w:color w:val="auto"/>
        </w:rPr>
        <w:t>Dated: November 17,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Andrew R. Boll</w:t>
      </w:r>
    </w:p>
    <w:p>
      <w:pPr>
        <w:spacing w:after="0" w:line="3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 w:name="page4"/>
    <w:bookmarkEnd w:id="3"/>
    <w:p>
      <w:pPr>
        <w:ind w:left="900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175260</wp:posOffset>
            </wp:positionV>
            <wp:extent cx="7132320" cy="35407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540760"/>
                    </a:xfrm>
                    <a:prstGeom prst="rect">
                      <a:avLst/>
                    </a:prstGeom>
                    <a:noFill/>
                  </pic:spPr>
                </pic:pic>
              </a:graphicData>
            </a:graphic>
          </wp:anchor>
        </w:drawing>
      </w:r>
    </w:p>
    <w:p>
      <w:pPr>
        <w:sectPr>
          <w:pgSz w:w="11900" w:h="16838" w:orient="portrait"/>
          <w:cols w:equalWidth="0" w:num="1">
            <w:col w:w="10120"/>
          </w:cols>
          <w:pgMar w:left="1440" w:top="351" w:right="33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5318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5318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4118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411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5407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540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4207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42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4118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3411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4201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3420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4207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342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4207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342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4207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342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4207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342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4207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342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4207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342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5401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35401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4201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3420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2020-11-17T07:09:47Z</dcterms:created>
  <dcterms:modified xsi:type="dcterms:W3CDTF">2020-11-17T07:09:47Z</dcterms:modified>
</cp:coreProperties>
</file>