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4640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64058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SAHAREK JOHN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HARROW,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1A BURTON HILLS BLVD., STE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04/03/2025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6"/>
          <w:szCs w:val="16"/>
          <w:color w:val="0000FF"/>
        </w:rPr>
        <w:t>CEO &amp; President, ImprimisRx</w:t>
      </w:r>
    </w:p>
    <w:p>
      <w:pPr>
        <w:spacing w:after="0" w:line="391"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92"/>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NASHVILLE</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TN</w:t>
            </w:r>
          </w:p>
        </w:tc>
        <w:tc>
          <w:tcPr>
            <w:tcW w:w="98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37205</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6"/>
                <w:szCs w:val="16"/>
                <w:color w:val="0000FF"/>
              </w:rPr>
              <w:t>04/03/2025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277,200</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right="7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576,863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6"/>
                <w:szCs w:val="16"/>
                <w:color w:val="0000FF"/>
              </w:rPr>
              <w:t>04/07/2025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109,475</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23.09</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467,388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16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20"/>
                <w:szCs w:val="20"/>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04/03/2025</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277,200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277,200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w:t>
            </w: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00" w:hanging="1"/>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277,200 shares of Harrow, Inc. ("Harrow") common stock listed in Table I as "Acquired" represent shares upon vesting of performance stock units ("PSUs") granted to Mr. Saharek under Harrow's 2017 Stock Incentive and Awards Plan (the "Incentive Plan") on April 3, 2023. The PSUs vested on April 3, 2025 and were settled in full in shares of Harrow common stock (on a one-for-one basis) on April 7, 2025, following attainment of (i) a two-year service period, and (ii) the achievement of Harrow common stock price targets ranging from $25 - $50. The 109,475 shares of Harrow common stock listed in Table I as "Disposed" were not sold by Mr. Saharek in any market transaction; rather, they were shares of Harrow common stock withheld by the Company for payroll tax purposes from the same aforementioned 277,200 shares pursuant to the terms of the Incentive Plan.</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0000FF"/>
              </w:rPr>
              <w:t>/s/ John P. Saharek</w:t>
            </w:r>
          </w:p>
        </w:tc>
        <w:tc>
          <w:tcPr>
            <w:tcW w:w="7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04/07/2025</w:t>
            </w:r>
          </w:p>
        </w:tc>
      </w:tr>
      <w:tr>
        <w:trPr>
          <w:trHeight w:val="20"/>
        </w:trPr>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2091"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2025-04-07T21:00:39Z</dcterms:created>
  <dcterms:modified xsi:type="dcterms:W3CDTF">2025-04-07T21:00:39Z</dcterms:modified>
</cp:coreProperties>
</file>