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Opaleye Management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180" w:space="635"/>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8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par value $0.0001 per</w:t>
            </w: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gridSpan w:val="4"/>
            <w:vMerge w:val="continue"/>
          </w:tcPr>
          <w:p>
            <w:pPr>
              <w:spacing w:after="0"/>
              <w:rPr>
                <w:sz w:val="9"/>
                <w:szCs w:val="9"/>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08/19/2021</w:t>
            </w: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50,000</w:t>
            </w: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800" w:type="dxa"/>
            <w:vAlign w:val="bottom"/>
            <w:gridSpan w:val="3"/>
            <w:vMerge w:val="restart"/>
          </w:tcPr>
          <w:p>
            <w:pPr>
              <w:ind w:left="10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8.445</w:t>
            </w:r>
            <w:r>
              <w:rPr>
                <w:rFonts w:ascii="Arial" w:cs="Arial" w:eastAsia="Arial" w:hAnsi="Arial"/>
                <w:sz w:val="22"/>
                <w:szCs w:val="22"/>
                <w:color w:val="008000"/>
                <w:w w:val="97"/>
                <w:vertAlign w:val="superscript"/>
              </w:rPr>
              <w:t>(1)</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3,135,000</w:t>
            </w:r>
          </w:p>
        </w:tc>
        <w:tc>
          <w:tcPr>
            <w:tcW w:w="300" w:type="dxa"/>
            <w:vAlign w:val="bottom"/>
          </w:tcPr>
          <w:p>
            <w:pPr>
              <w:spacing w:after="0"/>
              <w:rPr>
                <w:sz w:val="9"/>
                <w:szCs w:val="9"/>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par value $0.0001 per</w:t>
            </w: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gridSpan w:val="4"/>
            <w:vMerge w:val="continue"/>
          </w:tcPr>
          <w:p>
            <w:pPr>
              <w:spacing w:after="0"/>
              <w:rPr>
                <w:sz w:val="9"/>
                <w:szCs w:val="9"/>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08/19/2021</w:t>
            </w: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152"/>
              <w:spacing w:after="0"/>
              <w:rPr>
                <w:sz w:val="20"/>
                <w:szCs w:val="20"/>
                <w:color w:val="auto"/>
              </w:rPr>
            </w:pPr>
            <w:r>
              <w:rPr>
                <w:rFonts w:ascii="Arial" w:cs="Arial" w:eastAsia="Arial" w:hAnsi="Arial"/>
                <w:sz w:val="17"/>
                <w:szCs w:val="17"/>
                <w:color w:val="0000FF"/>
              </w:rPr>
              <w:t>2,500</w:t>
            </w: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800" w:type="dxa"/>
            <w:vAlign w:val="bottom"/>
            <w:gridSpan w:val="3"/>
            <w:vMerge w:val="restart"/>
          </w:tcPr>
          <w:p>
            <w:pPr>
              <w:ind w:left="10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8.445</w:t>
            </w:r>
            <w:r>
              <w:rPr>
                <w:rFonts w:ascii="Arial" w:cs="Arial" w:eastAsia="Arial" w:hAnsi="Arial"/>
                <w:sz w:val="22"/>
                <w:szCs w:val="22"/>
                <w:color w:val="008000"/>
                <w:w w:val="97"/>
                <w:vertAlign w:val="superscript"/>
              </w:rPr>
              <w:t>(1)</w:t>
            </w: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150,000</w:t>
            </w:r>
          </w:p>
        </w:tc>
        <w:tc>
          <w:tcPr>
            <w:tcW w:w="300" w:type="dxa"/>
            <w:vAlign w:val="bottom"/>
          </w:tcPr>
          <w:p>
            <w:pPr>
              <w:spacing w:after="0"/>
              <w:rPr>
                <w:sz w:val="9"/>
                <w:szCs w:val="9"/>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$8.4450. The range of purchase prices on the transaction date was $8.29 to $8.59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08/23/2021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2021-08-23T17:02:11Z</dcterms:created>
  <dcterms:modified xsi:type="dcterms:W3CDTF">2021-08-23T17:02:11Z</dcterms:modified>
</cp:coreProperties>
</file>