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6"/>
          <w:szCs w:val="26"/>
          <w:b w:val="1"/>
          <w:bCs w:val="1"/>
          <w:color w:val="auto"/>
        </w:rPr>
        <w:drawing>
          <wp:anchor simplePos="0" relativeHeight="251657728" behindDoc="1" locked="0" layoutInCell="0" allowOverlap="1">
            <wp:simplePos x="0" y="0"/>
            <wp:positionH relativeFrom="page">
              <wp:posOffset>144145</wp:posOffset>
            </wp:positionH>
            <wp:positionV relativeFrom="page">
              <wp:posOffset>255270</wp:posOffset>
            </wp:positionV>
            <wp:extent cx="7272655" cy="349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655" cy="34925"/>
                    </a:xfrm>
                    <a:prstGeom prst="rect">
                      <a:avLst/>
                    </a:prstGeom>
                    <a:noFill/>
                  </pic:spPr>
                </pic:pic>
              </a:graphicData>
            </a:graphic>
          </wp:anchor>
        </w:drawing>
        <w:drawing>
          <wp:anchor simplePos="0" relativeHeight="251657728" behindDoc="1" locked="0" layoutInCell="0" allowOverlap="1">
            <wp:simplePos x="0" y="0"/>
            <wp:positionH relativeFrom="page">
              <wp:posOffset>144145</wp:posOffset>
            </wp:positionH>
            <wp:positionV relativeFrom="page">
              <wp:posOffset>297180</wp:posOffset>
            </wp:positionV>
            <wp:extent cx="7272655" cy="139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655" cy="13970"/>
                    </a:xfrm>
                    <a:prstGeom prst="rect">
                      <a:avLst/>
                    </a:prstGeom>
                    <a:noFill/>
                  </pic:spPr>
                </pic:pic>
              </a:graphicData>
            </a:graphic>
          </wp:anchor>
        </w:drawing>
        <w:t>UNITED STATES</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SECURITIES AND EXCHANGE COMMISSION</w:t>
      </w: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FORM 8-K</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CURRENT REPORT</w:t>
      </w:r>
    </w:p>
    <w:p>
      <w:pPr>
        <w:spacing w:after="0" w:line="177"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Pursuant to Section 13 OR 15(d) of The Securities Exchange Act of 1934</w:t>
      </w:r>
    </w:p>
    <w:p>
      <w:pPr>
        <w:spacing w:after="0" w:line="177"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Date of Report (Date of earliest event reported): January 12, 2015</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IMPRIMIS PHARMACEUTICALS, INC.</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(Exact name of registrant as specified in its charter)</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202"/>
        </w:trPr>
        <w:tc>
          <w:tcPr>
            <w:tcW w:w="2620" w:type="dxa"/>
            <w:vAlign w:val="bottom"/>
          </w:tcPr>
          <w:p>
            <w:pPr>
              <w:jc w:val="center"/>
              <w:ind w:left="987"/>
              <w:spacing w:after="0"/>
              <w:rPr>
                <w:sz w:val="20"/>
                <w:szCs w:val="20"/>
                <w:color w:val="auto"/>
              </w:rPr>
            </w:pPr>
            <w:r>
              <w:rPr>
                <w:rFonts w:ascii="Arial" w:cs="Arial" w:eastAsia="Arial" w:hAnsi="Arial"/>
                <w:sz w:val="15"/>
                <w:szCs w:val="15"/>
                <w:b w:val="1"/>
                <w:bCs w:val="1"/>
                <w:color w:val="auto"/>
                <w:w w:val="91"/>
              </w:rPr>
              <w:t>Delaware</w:t>
            </w:r>
          </w:p>
        </w:tc>
        <w:tc>
          <w:tcPr>
            <w:tcW w:w="4940" w:type="dxa"/>
            <w:vAlign w:val="bottom"/>
            <w:gridSpan w:val="3"/>
          </w:tcPr>
          <w:p>
            <w:pPr>
              <w:jc w:val="center"/>
              <w:ind w:left="1227"/>
              <w:spacing w:after="0"/>
              <w:rPr>
                <w:sz w:val="20"/>
                <w:szCs w:val="20"/>
                <w:color w:val="auto"/>
              </w:rPr>
            </w:pPr>
            <w:r>
              <w:rPr>
                <w:rFonts w:ascii="Arial" w:cs="Arial" w:eastAsia="Arial" w:hAnsi="Arial"/>
                <w:sz w:val="15"/>
                <w:szCs w:val="15"/>
                <w:b w:val="1"/>
                <w:bCs w:val="1"/>
                <w:color w:val="auto"/>
                <w:w w:val="89"/>
              </w:rPr>
              <w:t>001-35814</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60" w:type="dxa"/>
            <w:vAlign w:val="bottom"/>
          </w:tcPr>
          <w:p>
            <w:pPr>
              <w:jc w:val="right"/>
              <w:ind w:right="1407"/>
              <w:spacing w:after="0"/>
              <w:rPr>
                <w:sz w:val="20"/>
                <w:szCs w:val="20"/>
                <w:color w:val="auto"/>
              </w:rPr>
            </w:pPr>
            <w:r>
              <w:rPr>
                <w:rFonts w:ascii="Arial" w:cs="Arial" w:eastAsia="Arial" w:hAnsi="Arial"/>
                <w:sz w:val="15"/>
                <w:szCs w:val="15"/>
                <w:b w:val="1"/>
                <w:bCs w:val="1"/>
                <w:color w:val="auto"/>
              </w:rPr>
              <w:t>45-0567010</w:t>
            </w:r>
          </w:p>
        </w:tc>
      </w:tr>
      <w:tr>
        <w:trPr>
          <w:trHeight w:val="164"/>
        </w:trPr>
        <w:tc>
          <w:tcPr>
            <w:tcW w:w="2620" w:type="dxa"/>
            <w:vAlign w:val="bottom"/>
            <w:tcBorders>
              <w:top w:val="single" w:sz="8" w:color="auto"/>
            </w:tcBorders>
          </w:tcPr>
          <w:p>
            <w:pPr>
              <w:jc w:val="center"/>
              <w:ind w:left="987"/>
              <w:spacing w:after="0" w:line="164" w:lineRule="exact"/>
              <w:rPr>
                <w:sz w:val="20"/>
                <w:szCs w:val="20"/>
                <w:color w:val="auto"/>
              </w:rPr>
            </w:pPr>
            <w:r>
              <w:rPr>
                <w:rFonts w:ascii="Arial" w:cs="Arial" w:eastAsia="Arial" w:hAnsi="Arial"/>
                <w:sz w:val="15"/>
                <w:szCs w:val="15"/>
                <w:color w:val="auto"/>
                <w:w w:val="88"/>
              </w:rPr>
              <w:t>(State or other jurisdiction</w:t>
            </w:r>
          </w:p>
        </w:tc>
        <w:tc>
          <w:tcPr>
            <w:tcW w:w="10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680" w:type="dxa"/>
            <w:vAlign w:val="bottom"/>
            <w:tcBorders>
              <w:top w:val="single" w:sz="8" w:color="auto"/>
            </w:tcBorders>
            <w:gridSpan w:val="2"/>
          </w:tcPr>
          <w:p>
            <w:pPr>
              <w:jc w:val="center"/>
              <w:ind w:right="20"/>
              <w:spacing w:after="0" w:line="164" w:lineRule="exact"/>
              <w:rPr>
                <w:sz w:val="20"/>
                <w:szCs w:val="20"/>
                <w:color w:val="auto"/>
              </w:rPr>
            </w:pPr>
            <w:r>
              <w:rPr>
                <w:rFonts w:ascii="Arial" w:cs="Arial" w:eastAsia="Arial" w:hAnsi="Arial"/>
                <w:sz w:val="15"/>
                <w:szCs w:val="15"/>
                <w:color w:val="auto"/>
                <w:w w:val="89"/>
              </w:rPr>
              <w:t>(Commission</w:t>
            </w:r>
          </w:p>
        </w:tc>
        <w:tc>
          <w:tcPr>
            <w:tcW w:w="220" w:type="dxa"/>
            <w:vAlign w:val="bottom"/>
          </w:tcPr>
          <w:p>
            <w:pPr>
              <w:spacing w:after="0"/>
              <w:rPr>
                <w:sz w:val="14"/>
                <w:szCs w:val="14"/>
                <w:color w:val="auto"/>
              </w:rPr>
            </w:pPr>
          </w:p>
        </w:tc>
        <w:tc>
          <w:tcPr>
            <w:tcW w:w="3660" w:type="dxa"/>
            <w:vAlign w:val="bottom"/>
            <w:tcBorders>
              <w:top w:val="single" w:sz="8" w:color="auto"/>
            </w:tcBorders>
          </w:tcPr>
          <w:p>
            <w:pPr>
              <w:jc w:val="center"/>
              <w:spacing w:after="0" w:line="164" w:lineRule="exact"/>
              <w:rPr>
                <w:sz w:val="20"/>
                <w:szCs w:val="20"/>
                <w:color w:val="auto"/>
              </w:rPr>
            </w:pPr>
            <w:r>
              <w:rPr>
                <w:rFonts w:ascii="Arial" w:cs="Arial" w:eastAsia="Arial" w:hAnsi="Arial"/>
                <w:sz w:val="15"/>
                <w:szCs w:val="15"/>
                <w:color w:val="auto"/>
                <w:w w:val="92"/>
              </w:rPr>
              <w:t>(IRS Employer</w:t>
            </w:r>
          </w:p>
        </w:tc>
      </w:tr>
      <w:tr>
        <w:trPr>
          <w:trHeight w:val="184"/>
        </w:trPr>
        <w:tc>
          <w:tcPr>
            <w:tcW w:w="2620" w:type="dxa"/>
            <w:vAlign w:val="bottom"/>
          </w:tcPr>
          <w:p>
            <w:pPr>
              <w:jc w:val="center"/>
              <w:ind w:left="987"/>
              <w:spacing w:after="0"/>
              <w:rPr>
                <w:sz w:val="20"/>
                <w:szCs w:val="20"/>
                <w:color w:val="auto"/>
              </w:rPr>
            </w:pPr>
            <w:r>
              <w:rPr>
                <w:rFonts w:ascii="Arial" w:cs="Arial" w:eastAsia="Arial" w:hAnsi="Arial"/>
                <w:sz w:val="15"/>
                <w:szCs w:val="15"/>
                <w:color w:val="auto"/>
                <w:w w:val="92"/>
              </w:rPr>
              <w:t>of incorporation)</w:t>
            </w: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900" w:type="dxa"/>
            <w:vAlign w:val="bottom"/>
            <w:gridSpan w:val="3"/>
          </w:tcPr>
          <w:p>
            <w:pPr>
              <w:jc w:val="center"/>
              <w:ind w:right="200"/>
              <w:spacing w:after="0"/>
              <w:rPr>
                <w:sz w:val="20"/>
                <w:szCs w:val="20"/>
                <w:color w:val="auto"/>
              </w:rPr>
            </w:pPr>
            <w:r>
              <w:rPr>
                <w:rFonts w:ascii="Arial" w:cs="Arial" w:eastAsia="Arial" w:hAnsi="Arial"/>
                <w:sz w:val="15"/>
                <w:szCs w:val="15"/>
                <w:color w:val="auto"/>
                <w:w w:val="89"/>
              </w:rPr>
              <w:t>File Number)</w:t>
            </w:r>
          </w:p>
        </w:tc>
        <w:tc>
          <w:tcPr>
            <w:tcW w:w="3660" w:type="dxa"/>
            <w:vAlign w:val="bottom"/>
          </w:tcPr>
          <w:p>
            <w:pPr>
              <w:jc w:val="center"/>
              <w:spacing w:after="0"/>
              <w:rPr>
                <w:sz w:val="20"/>
                <w:szCs w:val="20"/>
                <w:color w:val="auto"/>
              </w:rPr>
            </w:pPr>
            <w:r>
              <w:rPr>
                <w:rFonts w:ascii="Arial" w:cs="Arial" w:eastAsia="Arial" w:hAnsi="Arial"/>
                <w:sz w:val="15"/>
                <w:szCs w:val="15"/>
                <w:color w:val="auto"/>
                <w:w w:val="94"/>
              </w:rPr>
              <w:t>Identification No.)</w:t>
            </w:r>
          </w:p>
        </w:tc>
      </w:tr>
      <w:tr>
        <w:trPr>
          <w:trHeight w:val="337"/>
        </w:trPr>
        <w:tc>
          <w:tcPr>
            <w:tcW w:w="2620" w:type="dxa"/>
            <w:vAlign w:val="bottom"/>
          </w:tcPr>
          <w:p>
            <w:pPr>
              <w:spacing w:after="0"/>
              <w:rPr>
                <w:sz w:val="24"/>
                <w:szCs w:val="24"/>
                <w:color w:val="auto"/>
              </w:rPr>
            </w:pPr>
          </w:p>
        </w:tc>
        <w:tc>
          <w:tcPr>
            <w:tcW w:w="5180" w:type="dxa"/>
            <w:vAlign w:val="bottom"/>
            <w:gridSpan w:val="5"/>
          </w:tcPr>
          <w:p>
            <w:pPr>
              <w:jc w:val="center"/>
              <w:ind w:right="2840"/>
              <w:spacing w:after="0"/>
              <w:rPr>
                <w:sz w:val="20"/>
                <w:szCs w:val="20"/>
                <w:color w:val="auto"/>
              </w:rPr>
            </w:pPr>
            <w:r>
              <w:rPr>
                <w:rFonts w:ascii="Arial" w:cs="Arial" w:eastAsia="Arial" w:hAnsi="Arial"/>
                <w:sz w:val="15"/>
                <w:szCs w:val="15"/>
                <w:b w:val="1"/>
                <w:bCs w:val="1"/>
                <w:color w:val="auto"/>
                <w:w w:val="89"/>
              </w:rPr>
              <w:t>12626 High Bluff Dr. Ste 150</w:t>
            </w:r>
          </w:p>
        </w:tc>
        <w:tc>
          <w:tcPr>
            <w:tcW w:w="3660" w:type="dxa"/>
            <w:vAlign w:val="bottom"/>
          </w:tcPr>
          <w:p>
            <w:pPr>
              <w:spacing w:after="0"/>
              <w:rPr>
                <w:sz w:val="24"/>
                <w:szCs w:val="24"/>
                <w:color w:val="auto"/>
              </w:rPr>
            </w:pPr>
          </w:p>
        </w:tc>
      </w:tr>
      <w:tr>
        <w:trPr>
          <w:trHeight w:val="191"/>
        </w:trPr>
        <w:tc>
          <w:tcPr>
            <w:tcW w:w="2620" w:type="dxa"/>
            <w:vAlign w:val="bottom"/>
          </w:tcPr>
          <w:p>
            <w:pPr>
              <w:spacing w:after="0"/>
              <w:rPr>
                <w:sz w:val="16"/>
                <w:szCs w:val="16"/>
                <w:color w:val="auto"/>
              </w:rPr>
            </w:pPr>
          </w:p>
        </w:tc>
        <w:tc>
          <w:tcPr>
            <w:tcW w:w="5180" w:type="dxa"/>
            <w:vAlign w:val="bottom"/>
            <w:gridSpan w:val="5"/>
          </w:tcPr>
          <w:p>
            <w:pPr>
              <w:jc w:val="center"/>
              <w:ind w:right="2840"/>
              <w:spacing w:after="0"/>
              <w:rPr>
                <w:sz w:val="20"/>
                <w:szCs w:val="20"/>
                <w:color w:val="auto"/>
              </w:rPr>
            </w:pPr>
            <w:r>
              <w:rPr>
                <w:rFonts w:ascii="Arial" w:cs="Arial" w:eastAsia="Arial" w:hAnsi="Arial"/>
                <w:sz w:val="15"/>
                <w:szCs w:val="15"/>
                <w:b w:val="1"/>
                <w:bCs w:val="1"/>
                <w:color w:val="auto"/>
                <w:w w:val="87"/>
              </w:rPr>
              <w:t>San Diego, CA</w:t>
            </w:r>
          </w:p>
        </w:tc>
        <w:tc>
          <w:tcPr>
            <w:tcW w:w="3660" w:type="dxa"/>
            <w:vAlign w:val="bottom"/>
          </w:tcPr>
          <w:p>
            <w:pPr>
              <w:jc w:val="right"/>
              <w:ind w:right="1567"/>
              <w:spacing w:after="0"/>
              <w:rPr>
                <w:sz w:val="20"/>
                <w:szCs w:val="20"/>
                <w:color w:val="auto"/>
              </w:rPr>
            </w:pPr>
            <w:r>
              <w:rPr>
                <w:rFonts w:ascii="Arial" w:cs="Arial" w:eastAsia="Arial" w:hAnsi="Arial"/>
                <w:sz w:val="15"/>
                <w:szCs w:val="15"/>
                <w:b w:val="1"/>
                <w:bCs w:val="1"/>
                <w:color w:val="auto"/>
              </w:rPr>
              <w:t>92130</w:t>
            </w:r>
          </w:p>
        </w:tc>
      </w:tr>
      <w:tr>
        <w:trPr>
          <w:trHeight w:val="184"/>
        </w:trPr>
        <w:tc>
          <w:tcPr>
            <w:tcW w:w="2620" w:type="dxa"/>
            <w:vAlign w:val="bottom"/>
            <w:tcBorders>
              <w:top w:val="single" w:sz="8" w:color="auto"/>
            </w:tcBorders>
          </w:tcPr>
          <w:p>
            <w:pPr>
              <w:spacing w:after="0"/>
              <w:rPr>
                <w:sz w:val="15"/>
                <w:szCs w:val="15"/>
                <w:color w:val="auto"/>
              </w:rPr>
            </w:pPr>
          </w:p>
        </w:tc>
        <w:tc>
          <w:tcPr>
            <w:tcW w:w="4940" w:type="dxa"/>
            <w:vAlign w:val="bottom"/>
            <w:tcBorders>
              <w:top w:val="single" w:sz="8" w:color="auto"/>
            </w:tcBorders>
            <w:gridSpan w:val="3"/>
          </w:tcPr>
          <w:p>
            <w:pPr>
              <w:jc w:val="center"/>
              <w:ind w:right="2527"/>
              <w:spacing w:after="0"/>
              <w:rPr>
                <w:sz w:val="20"/>
                <w:szCs w:val="20"/>
                <w:color w:val="auto"/>
              </w:rPr>
            </w:pPr>
            <w:r>
              <w:rPr>
                <w:rFonts w:ascii="Arial" w:cs="Arial" w:eastAsia="Arial" w:hAnsi="Arial"/>
                <w:sz w:val="15"/>
                <w:szCs w:val="15"/>
                <w:color w:val="auto"/>
                <w:w w:val="89"/>
              </w:rPr>
              <w:t>(Address of principal executive offices)</w:t>
            </w:r>
          </w:p>
        </w:tc>
        <w:tc>
          <w:tcPr>
            <w:tcW w:w="240" w:type="dxa"/>
            <w:vAlign w:val="bottom"/>
            <w:gridSpan w:val="2"/>
          </w:tcPr>
          <w:p>
            <w:pPr>
              <w:spacing w:after="0"/>
              <w:rPr>
                <w:sz w:val="15"/>
                <w:szCs w:val="15"/>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3"/>
              </w:rPr>
              <w:t>(Zip Code)</w:t>
            </w:r>
          </w:p>
        </w:tc>
      </w:tr>
      <w:tr>
        <w:trPr>
          <w:trHeight w:val="339"/>
        </w:trPr>
        <w:tc>
          <w:tcPr>
            <w:tcW w:w="2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120" w:type="dxa"/>
            <w:vAlign w:val="bottom"/>
            <w:gridSpan w:val="4"/>
          </w:tcPr>
          <w:p>
            <w:pPr>
              <w:jc w:val="center"/>
              <w:ind w:right="20"/>
              <w:spacing w:after="0"/>
              <w:rPr>
                <w:sz w:val="20"/>
                <w:szCs w:val="20"/>
                <w:color w:val="auto"/>
              </w:rPr>
            </w:pPr>
            <w:r>
              <w:rPr>
                <w:rFonts w:ascii="Arial" w:cs="Arial" w:eastAsia="Arial" w:hAnsi="Arial"/>
                <w:sz w:val="15"/>
                <w:szCs w:val="15"/>
                <w:color w:val="auto"/>
                <w:w w:val="87"/>
              </w:rPr>
              <w:t xml:space="preserve">Registrant’s telephone number, including area code: </w:t>
            </w:r>
            <w:r>
              <w:rPr>
                <w:rFonts w:ascii="Arial" w:cs="Arial" w:eastAsia="Arial" w:hAnsi="Arial"/>
                <w:sz w:val="15"/>
                <w:szCs w:val="15"/>
                <w:b w:val="1"/>
                <w:bCs w:val="1"/>
                <w:color w:val="auto"/>
                <w:w w:val="87"/>
              </w:rPr>
              <w:t>(858) 704-4040</w:t>
            </w:r>
          </w:p>
        </w:tc>
        <w:tc>
          <w:tcPr>
            <w:tcW w:w="3660" w:type="dxa"/>
            <w:vAlign w:val="bottom"/>
          </w:tcPr>
          <w:p>
            <w:pPr>
              <w:spacing w:after="0"/>
              <w:rPr>
                <w:sz w:val="24"/>
                <w:szCs w:val="24"/>
                <w:color w:val="auto"/>
              </w:rPr>
            </w:pPr>
          </w:p>
        </w:tc>
      </w:tr>
    </w:tbl>
    <w:p>
      <w:pPr>
        <w:spacing w:after="0" w:line="16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10795</wp:posOffset>
            </wp:positionV>
            <wp:extent cx="3636645" cy="139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36645" cy="13970"/>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(Former name or former address if changed since last report.)</w:t>
      </w:r>
    </w:p>
    <w:p>
      <w:pPr>
        <w:spacing w:after="0" w:line="177"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120" w:hanging="113"/>
        <w:spacing w:after="0"/>
        <w:tabs>
          <w:tab w:leader="none" w:pos="120" w:val="left"/>
        </w:tabs>
        <w:numPr>
          <w:ilvl w:val="0"/>
          <w:numId w:val="1"/>
        </w:numPr>
        <w:rPr>
          <w:rFonts w:ascii="Arial" w:cs="Arial" w:eastAsia="Arial" w:hAnsi="Arial"/>
          <w:sz w:val="15"/>
          <w:szCs w:val="15"/>
          <w:color w:val="auto"/>
        </w:rPr>
      </w:pPr>
      <w:r>
        <w:rPr>
          <w:rFonts w:ascii="Arial" w:cs="Arial" w:eastAsia="Arial" w:hAnsi="Arial"/>
          <w:sz w:val="15"/>
          <w:szCs w:val="15"/>
          <w:color w:val="auto"/>
        </w:rPr>
        <w:t>]  Written communications pursuant to Rule 425 under the Securities Act (17 CFR 230.425)</w:t>
      </w:r>
    </w:p>
    <w:p>
      <w:pPr>
        <w:spacing w:after="0" w:line="177" w:lineRule="exact"/>
        <w:rPr>
          <w:rFonts w:ascii="Arial" w:cs="Arial" w:eastAsia="Arial" w:hAnsi="Arial"/>
          <w:sz w:val="15"/>
          <w:szCs w:val="15"/>
          <w:color w:val="auto"/>
        </w:rPr>
      </w:pPr>
    </w:p>
    <w:p>
      <w:pPr>
        <w:ind w:left="120" w:hanging="113"/>
        <w:spacing w:after="0"/>
        <w:tabs>
          <w:tab w:leader="none" w:pos="120" w:val="left"/>
        </w:tabs>
        <w:numPr>
          <w:ilvl w:val="0"/>
          <w:numId w:val="1"/>
        </w:numPr>
        <w:rPr>
          <w:rFonts w:ascii="Arial" w:cs="Arial" w:eastAsia="Arial" w:hAnsi="Arial"/>
          <w:sz w:val="15"/>
          <w:szCs w:val="15"/>
          <w:color w:val="auto"/>
        </w:rPr>
      </w:pPr>
      <w:r>
        <w:rPr>
          <w:rFonts w:ascii="Arial" w:cs="Arial" w:eastAsia="Arial" w:hAnsi="Arial"/>
          <w:sz w:val="15"/>
          <w:szCs w:val="15"/>
          <w:color w:val="auto"/>
        </w:rPr>
        <w:t>]  Soliciting material pursuant to Rule 14a-12 under the Exchange Act (17 CFR 240.14a-12)</w:t>
      </w:r>
    </w:p>
    <w:p>
      <w:pPr>
        <w:spacing w:after="0" w:line="177" w:lineRule="exact"/>
        <w:rPr>
          <w:rFonts w:ascii="Arial" w:cs="Arial" w:eastAsia="Arial" w:hAnsi="Arial"/>
          <w:sz w:val="15"/>
          <w:szCs w:val="15"/>
          <w:color w:val="auto"/>
        </w:rPr>
      </w:pPr>
    </w:p>
    <w:p>
      <w:pPr>
        <w:ind w:left="120" w:hanging="113"/>
        <w:spacing w:after="0"/>
        <w:tabs>
          <w:tab w:leader="none" w:pos="120" w:val="left"/>
        </w:tabs>
        <w:numPr>
          <w:ilvl w:val="0"/>
          <w:numId w:val="1"/>
        </w:numPr>
        <w:rPr>
          <w:rFonts w:ascii="Arial" w:cs="Arial" w:eastAsia="Arial" w:hAnsi="Arial"/>
          <w:sz w:val="15"/>
          <w:szCs w:val="15"/>
          <w:color w:val="auto"/>
        </w:rPr>
      </w:pPr>
      <w:r>
        <w:rPr>
          <w:rFonts w:ascii="Arial" w:cs="Arial" w:eastAsia="Arial" w:hAnsi="Arial"/>
          <w:sz w:val="15"/>
          <w:szCs w:val="15"/>
          <w:color w:val="auto"/>
        </w:rPr>
        <w:t>]  Pre-commencement communications pursuant to Rule 14d-2(b) under the Exchange Act (17 CFR 240.14d-2(b))</w:t>
      </w:r>
    </w:p>
    <w:p>
      <w:pPr>
        <w:spacing w:after="0" w:line="177" w:lineRule="exact"/>
        <w:rPr>
          <w:rFonts w:ascii="Arial" w:cs="Arial" w:eastAsia="Arial" w:hAnsi="Arial"/>
          <w:sz w:val="15"/>
          <w:szCs w:val="15"/>
          <w:color w:val="auto"/>
        </w:rPr>
      </w:pPr>
    </w:p>
    <w:p>
      <w:pPr>
        <w:ind w:left="120" w:hanging="113"/>
        <w:spacing w:after="0"/>
        <w:tabs>
          <w:tab w:leader="none" w:pos="120" w:val="left"/>
        </w:tabs>
        <w:numPr>
          <w:ilvl w:val="0"/>
          <w:numId w:val="1"/>
        </w:numPr>
        <w:rPr>
          <w:rFonts w:ascii="Arial" w:cs="Arial" w:eastAsia="Arial" w:hAnsi="Arial"/>
          <w:sz w:val="15"/>
          <w:szCs w:val="15"/>
          <w:color w:val="auto"/>
        </w:rPr>
      </w:pPr>
      <w:r>
        <w:rPr>
          <w:rFonts w:ascii="Arial" w:cs="Arial" w:eastAsia="Arial" w:hAnsi="Arial"/>
          <w:sz w:val="15"/>
          <w:szCs w:val="15"/>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7272655" cy="13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655" cy="1397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147320</wp:posOffset>
            </wp:positionV>
            <wp:extent cx="7272655" cy="349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655" cy="3492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403860</wp:posOffset>
            </wp:positionV>
            <wp:extent cx="7272655" cy="139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630" w:right="219" w:bottom="1440" w:gutter="0" w:footer="0" w:header="0"/>
        </w:sectPr>
      </w:pPr>
    </w:p>
    <w:bookmarkStart w:id="1" w:name="page2"/>
    <w:bookmarkEnd w:id="1"/>
    <w:p>
      <w:pPr>
        <w:spacing w:after="0"/>
        <w:rPr>
          <w:sz w:val="20"/>
          <w:szCs w:val="20"/>
          <w:color w:val="auto"/>
        </w:rPr>
      </w:pPr>
      <w:r>
        <w:rPr>
          <w:rFonts w:ascii="Arial" w:cs="Arial" w:eastAsia="Arial" w:hAnsi="Arial"/>
          <w:sz w:val="15"/>
          <w:szCs w:val="15"/>
          <w:b w:val="1"/>
          <w:bCs w:val="1"/>
          <w:color w:val="auto"/>
        </w:rPr>
        <w:t>Item 7.01. Regulation FD Disclosure</w:t>
      </w:r>
    </w:p>
    <w:p>
      <w:pPr>
        <w:spacing w:after="0" w:line="181" w:lineRule="exact"/>
        <w:rPr>
          <w:sz w:val="20"/>
          <w:szCs w:val="20"/>
          <w:color w:val="auto"/>
        </w:rPr>
      </w:pPr>
    </w:p>
    <w:p>
      <w:pPr>
        <w:spacing w:after="0"/>
        <w:rPr>
          <w:sz w:val="20"/>
          <w:szCs w:val="20"/>
          <w:color w:val="auto"/>
        </w:rPr>
      </w:pPr>
      <w:r>
        <w:rPr>
          <w:rFonts w:ascii="Arial" w:cs="Arial" w:eastAsia="Arial" w:hAnsi="Arial"/>
          <w:sz w:val="12"/>
          <w:szCs w:val="12"/>
          <w:color w:val="auto"/>
        </w:rPr>
        <w:t>Attached as Exhibit 99.1 to this Item 7.01 is a presentation that is being used by the management of Imprimis Pharmaceuticals, Inc. (the “Company”) in meetings describing the Company.</w:t>
      </w:r>
    </w:p>
    <w:p>
      <w:pPr>
        <w:spacing w:after="0" w:line="212"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The information contained in Item 7.01 of this report and in Exhibit 99.1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9.01. Financial Statements and Exhibits</w:t>
      </w:r>
    </w:p>
    <w:p>
      <w:pPr>
        <w:spacing w:after="0" w:line="177" w:lineRule="exact"/>
        <w:rPr>
          <w:sz w:val="20"/>
          <w:szCs w:val="20"/>
          <w:color w:val="auto"/>
        </w:rPr>
      </w:pPr>
    </w:p>
    <w:p>
      <w:pPr>
        <w:ind w:left="540" w:hanging="533"/>
        <w:spacing w:after="0"/>
        <w:tabs>
          <w:tab w:leader="none" w:pos="54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Exhibits</w:t>
      </w:r>
    </w:p>
    <w:p>
      <w:pPr>
        <w:spacing w:after="0" w:line="181"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color w:val="auto"/>
        </w:rPr>
        <w:t>99.1</w:t>
      </w:r>
      <w:r>
        <w:rPr>
          <w:sz w:val="20"/>
          <w:szCs w:val="20"/>
          <w:color w:val="auto"/>
        </w:rPr>
        <w:tab/>
      </w:r>
      <w:r>
        <w:rPr>
          <w:rFonts w:ascii="Arial" w:cs="Arial" w:eastAsia="Arial" w:hAnsi="Arial"/>
          <w:sz w:val="12"/>
          <w:szCs w:val="12"/>
          <w:color w:val="auto"/>
        </w:rPr>
        <w:t>Presentation dated January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230505</wp:posOffset>
            </wp:positionV>
            <wp:extent cx="7272655" cy="139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562"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5"/>
          <w:szCs w:val="15"/>
          <w:b w:val="1"/>
          <w:bCs w:val="1"/>
          <w:color w:val="auto"/>
        </w:rPr>
        <w:t>SIGNATURES</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580" w:type="dxa"/>
            <w:vAlign w:val="bottom"/>
          </w:tcPr>
          <w:p>
            <w:pPr>
              <w:spacing w:after="0"/>
              <w:rPr>
                <w:sz w:val="16"/>
                <w:szCs w:val="16"/>
                <w:color w:val="auto"/>
              </w:rPr>
            </w:pPr>
          </w:p>
        </w:tc>
        <w:tc>
          <w:tcPr>
            <w:tcW w:w="7880" w:type="dxa"/>
            <w:vAlign w:val="bottom"/>
            <w:gridSpan w:val="2"/>
          </w:tcPr>
          <w:p>
            <w:pPr>
              <w:ind w:left="2160"/>
              <w:spacing w:after="0"/>
              <w:rPr>
                <w:sz w:val="20"/>
                <w:szCs w:val="20"/>
                <w:color w:val="auto"/>
              </w:rPr>
            </w:pPr>
            <w:r>
              <w:rPr>
                <w:rFonts w:ascii="Arial" w:cs="Arial" w:eastAsia="Arial" w:hAnsi="Arial"/>
                <w:sz w:val="15"/>
                <w:szCs w:val="15"/>
                <w:b w:val="1"/>
                <w:bCs w:val="1"/>
                <w:color w:val="auto"/>
              </w:rPr>
              <w:t>IMPRIMIS PHARMACEUTICALS, INC.</w:t>
            </w:r>
          </w:p>
        </w:tc>
      </w:tr>
      <w:tr>
        <w:trPr>
          <w:trHeight w:val="353"/>
        </w:trPr>
        <w:tc>
          <w:tcPr>
            <w:tcW w:w="3580" w:type="dxa"/>
            <w:vAlign w:val="bottom"/>
          </w:tcPr>
          <w:p>
            <w:pPr>
              <w:spacing w:after="0"/>
              <w:rPr>
                <w:sz w:val="20"/>
                <w:szCs w:val="20"/>
                <w:color w:val="auto"/>
              </w:rPr>
            </w:pPr>
            <w:r>
              <w:rPr>
                <w:rFonts w:ascii="Arial" w:cs="Arial" w:eastAsia="Arial" w:hAnsi="Arial"/>
                <w:sz w:val="15"/>
                <w:szCs w:val="15"/>
                <w:color w:val="auto"/>
              </w:rPr>
              <w:t>Dated: January 12, 2015</w:t>
            </w:r>
          </w:p>
        </w:tc>
        <w:tc>
          <w:tcPr>
            <w:tcW w:w="2740" w:type="dxa"/>
            <w:vAlign w:val="bottom"/>
          </w:tcPr>
          <w:p>
            <w:pPr>
              <w:ind w:left="2160"/>
              <w:spacing w:after="0"/>
              <w:rPr>
                <w:sz w:val="20"/>
                <w:szCs w:val="20"/>
                <w:color w:val="auto"/>
              </w:rPr>
            </w:pPr>
            <w:r>
              <w:rPr>
                <w:rFonts w:ascii="Arial" w:cs="Arial" w:eastAsia="Arial" w:hAnsi="Arial"/>
                <w:sz w:val="15"/>
                <w:szCs w:val="15"/>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5"/>
                <w:szCs w:val="15"/>
                <w:i w:val="1"/>
                <w:iCs w:val="1"/>
                <w:color w:val="auto"/>
              </w:rPr>
              <w:t>/s/ Andrew R. Boll</w:t>
            </w:r>
          </w:p>
        </w:tc>
      </w:tr>
      <w:tr>
        <w:trPr>
          <w:trHeight w:val="164"/>
        </w:trPr>
        <w:tc>
          <w:tcPr>
            <w:tcW w:w="3580" w:type="dxa"/>
            <w:vAlign w:val="bottom"/>
          </w:tcPr>
          <w:p>
            <w:pPr>
              <w:spacing w:after="0"/>
              <w:rPr>
                <w:sz w:val="14"/>
                <w:szCs w:val="14"/>
                <w:color w:val="auto"/>
              </w:rPr>
            </w:pPr>
          </w:p>
        </w:tc>
        <w:tc>
          <w:tcPr>
            <w:tcW w:w="2740" w:type="dxa"/>
            <w:vAlign w:val="bottom"/>
          </w:tcPr>
          <w:p>
            <w:pPr>
              <w:ind w:left="2160"/>
              <w:spacing w:after="0" w:line="162" w:lineRule="exact"/>
              <w:rPr>
                <w:sz w:val="20"/>
                <w:szCs w:val="20"/>
                <w:color w:val="auto"/>
              </w:rPr>
            </w:pPr>
            <w:r>
              <w:rPr>
                <w:rFonts w:ascii="Arial" w:cs="Arial" w:eastAsia="Arial" w:hAnsi="Arial"/>
                <w:sz w:val="15"/>
                <w:szCs w:val="15"/>
                <w:color w:val="auto"/>
              </w:rPr>
              <w:t>Name:</w:t>
            </w:r>
          </w:p>
        </w:tc>
        <w:tc>
          <w:tcPr>
            <w:tcW w:w="5140" w:type="dxa"/>
            <w:vAlign w:val="bottom"/>
          </w:tcPr>
          <w:p>
            <w:pPr>
              <w:spacing w:after="0" w:line="164" w:lineRule="exact"/>
              <w:rPr>
                <w:sz w:val="20"/>
                <w:szCs w:val="20"/>
                <w:color w:val="auto"/>
              </w:rPr>
            </w:pPr>
            <w:r>
              <w:rPr>
                <w:rFonts w:ascii="Arial" w:cs="Arial" w:eastAsia="Arial" w:hAnsi="Arial"/>
                <w:sz w:val="15"/>
                <w:szCs w:val="15"/>
                <w:color w:val="auto"/>
              </w:rPr>
              <w:t>Andrew R. Boll</w:t>
            </w:r>
          </w:p>
        </w:tc>
      </w:tr>
      <w:tr>
        <w:trPr>
          <w:trHeight w:val="184"/>
        </w:trPr>
        <w:tc>
          <w:tcPr>
            <w:tcW w:w="3580" w:type="dxa"/>
            <w:vAlign w:val="bottom"/>
          </w:tcPr>
          <w:p>
            <w:pPr>
              <w:spacing w:after="0"/>
              <w:rPr>
                <w:sz w:val="15"/>
                <w:szCs w:val="15"/>
                <w:color w:val="auto"/>
              </w:rPr>
            </w:pPr>
          </w:p>
        </w:tc>
        <w:tc>
          <w:tcPr>
            <w:tcW w:w="2740" w:type="dxa"/>
            <w:vAlign w:val="bottom"/>
          </w:tcPr>
          <w:p>
            <w:pPr>
              <w:ind w:left="2160"/>
              <w:spacing w:after="0"/>
              <w:rPr>
                <w:sz w:val="20"/>
                <w:szCs w:val="20"/>
                <w:color w:val="auto"/>
              </w:rPr>
            </w:pPr>
            <w:r>
              <w:rPr>
                <w:rFonts w:ascii="Arial" w:cs="Arial" w:eastAsia="Arial" w:hAnsi="Arial"/>
                <w:sz w:val="15"/>
                <w:szCs w:val="15"/>
                <w:color w:val="auto"/>
              </w:rPr>
              <w:t>Title:</w:t>
            </w:r>
          </w:p>
        </w:tc>
        <w:tc>
          <w:tcPr>
            <w:tcW w:w="5140" w:type="dxa"/>
            <w:vAlign w:val="bottom"/>
          </w:tcPr>
          <w:p>
            <w:pPr>
              <w:spacing w:after="0"/>
              <w:rPr>
                <w:sz w:val="20"/>
                <w:szCs w:val="20"/>
                <w:color w:val="auto"/>
              </w:rPr>
            </w:pPr>
            <w:r>
              <w:rPr>
                <w:rFonts w:ascii="Arial" w:cs="Arial" w:eastAsia="Arial" w:hAnsi="Arial"/>
                <w:sz w:val="15"/>
                <w:szCs w:val="15"/>
                <w:color w:val="auto"/>
              </w:rPr>
              <w:t>Vice President, Accounting and Public Reporting</w:t>
            </w:r>
          </w:p>
        </w:tc>
      </w:tr>
      <w:tr>
        <w:trPr>
          <w:trHeight w:val="353"/>
        </w:trPr>
        <w:tc>
          <w:tcPr>
            <w:tcW w:w="35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60"/>
          </w:cols>
          <w:pgMar w:left="220" w:top="562" w:right="219" w:bottom="1440" w:gutter="0" w:footer="0" w:header="0"/>
        </w:sectPr>
      </w:pPr>
    </w:p>
    <w:bookmarkStart w:id="3" w:name="page4"/>
    <w:bookmarkEnd w:id="3"/>
    <w:p>
      <w:pPr>
        <w:jc w:val="right"/>
        <w:ind w:right="3939"/>
        <w:spacing w:after="0"/>
        <w:rPr>
          <w:sz w:val="20"/>
          <w:szCs w:val="20"/>
          <w:color w:val="auto"/>
        </w:rPr>
      </w:pPr>
      <w:r>
        <w:rPr>
          <w:rFonts w:ascii="Arial" w:cs="Arial" w:eastAsia="Arial" w:hAnsi="Arial"/>
          <w:sz w:val="15"/>
          <w:szCs w:val="15"/>
          <w:b w:val="1"/>
          <w:bCs w:val="1"/>
          <w:color w:val="auto"/>
        </w:rPr>
        <w:t>EXHIBIT INDEX</w:t>
      </w:r>
    </w:p>
    <w:p>
      <w:pPr>
        <w:spacing w:after="0" w:line="181"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color w:val="auto"/>
        </w:rPr>
        <w:t>99.1</w:t>
      </w:r>
      <w:r>
        <w:rPr>
          <w:sz w:val="20"/>
          <w:szCs w:val="20"/>
          <w:color w:val="auto"/>
        </w:rPr>
        <w:tab/>
      </w:r>
      <w:r>
        <w:rPr>
          <w:rFonts w:ascii="Arial" w:cs="Arial" w:eastAsia="Arial" w:hAnsi="Arial"/>
          <w:sz w:val="12"/>
          <w:szCs w:val="12"/>
          <w:color w:val="auto"/>
        </w:rPr>
        <w:t>Presentation dated January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230505</wp:posOffset>
            </wp:positionV>
            <wp:extent cx="7272655" cy="139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0239"/>
          </w:cols>
          <w:pgMar w:left="220" w:top="562" w:right="1440"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213995</wp:posOffset>
            </wp:positionV>
            <wp:extent cx="7323455" cy="59124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23455" cy="5912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59124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23455" cy="5912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59124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23455" cy="5912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59124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23455" cy="5912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59124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23455" cy="5912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59124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23455" cy="5912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59124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23455" cy="5912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6278880</wp:posOffset>
            </wp:positionV>
            <wp:extent cx="7272655" cy="139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59124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23455" cy="5912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59124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3455" cy="5912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59124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23455" cy="5912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59124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23455" cy="5912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59124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23455" cy="5912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59124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23455" cy="5912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59124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23455" cy="5912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59124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23455" cy="5912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59124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23455" cy="5912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59124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23455" cy="5912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59124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23455" cy="5912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59124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23455" cy="5912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59124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23455" cy="5912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59124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23455" cy="5912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59124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23455" cy="5912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59124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23455" cy="5912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59124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23455" cy="5912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59124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23455" cy="5912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59124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23455" cy="5912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59124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23455" cy="5912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59124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23455" cy="5912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59124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23455" cy="5912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59124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23455" cy="5912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2020-01-22T03:38:50Z</dcterms:created>
  <dcterms:modified xsi:type="dcterms:W3CDTF">2020-01-22T03:38:50Z</dcterms:modified>
</cp:coreProperties>
</file>