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24,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960" w:type="dxa"/>
            <w:vAlign w:val="bottom"/>
            <w:gridSpan w:val="4"/>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001-35814</w:t>
            </w:r>
          </w:p>
        </w:tc>
        <w:tc>
          <w:tcPr>
            <w:tcW w:w="220" w:type="dxa"/>
            <w:vAlign w:val="bottom"/>
          </w:tcPr>
          <w:p>
            <w:pPr>
              <w:spacing w:after="0"/>
              <w:rPr>
                <w:sz w:val="19"/>
                <w:szCs w:val="19"/>
                <w:color w:val="auto"/>
              </w:rPr>
            </w:pPr>
          </w:p>
        </w:tc>
        <w:tc>
          <w:tcPr>
            <w:tcW w:w="426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45-0567010</w:t>
            </w:r>
          </w:p>
        </w:tc>
      </w:tr>
      <w:tr>
        <w:trPr>
          <w:trHeight w:val="216"/>
        </w:trPr>
        <w:tc>
          <w:tcPr>
            <w:tcW w:w="4960" w:type="dxa"/>
            <w:vAlign w:val="bottom"/>
            <w:gridSpan w:val="4"/>
          </w:tcPr>
          <w:p>
            <w:pPr>
              <w:jc w:val="center"/>
              <w:ind w:right="134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0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(Commission</w:t>
            </w:r>
          </w:p>
        </w:tc>
        <w:tc>
          <w:tcPr>
            <w:tcW w:w="42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960" w:type="dxa"/>
            <w:vAlign w:val="bottom"/>
            <w:gridSpan w:val="4"/>
          </w:tcPr>
          <w:p>
            <w:pPr>
              <w:jc w:val="center"/>
              <w:ind w:right="13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0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File Number)</w:t>
            </w:r>
          </w:p>
        </w:tc>
        <w:tc>
          <w:tcPr>
            <w:tcW w:w="42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260" w:type="dxa"/>
            <w:vAlign w:val="bottom"/>
          </w:tcPr>
          <w:p>
            <w:pPr>
              <w:spacing w:after="0"/>
              <w:rPr>
                <w:sz w:val="24"/>
                <w:szCs w:val="24"/>
                <w:color w:val="auto"/>
              </w:rPr>
            </w:pPr>
          </w:p>
        </w:tc>
        <w:tc>
          <w:tcPr>
            <w:tcW w:w="27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27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37215</w:t>
            </w:r>
          </w:p>
        </w:tc>
      </w:tr>
      <w:tr>
        <w:trPr>
          <w:trHeight w:val="234"/>
        </w:trPr>
        <w:tc>
          <w:tcPr>
            <w:tcW w:w="2260" w:type="dxa"/>
            <w:vAlign w:val="bottom"/>
          </w:tcPr>
          <w:p>
            <w:pPr>
              <w:spacing w:after="0"/>
              <w:rPr>
                <w:sz w:val="20"/>
                <w:szCs w:val="20"/>
                <w:color w:val="auto"/>
              </w:rPr>
            </w:pPr>
          </w:p>
        </w:tc>
        <w:tc>
          <w:tcPr>
            <w:tcW w:w="4720" w:type="dxa"/>
            <w:vAlign w:val="bottom"/>
            <w:gridSpan w:val="5"/>
          </w:tcPr>
          <w:p>
            <w:pPr>
              <w:jc w:val="center"/>
              <w:ind w:right="180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20" w:type="dxa"/>
            <w:vAlign w:val="bottom"/>
          </w:tcPr>
          <w:p>
            <w:pPr>
              <w:spacing w:after="0"/>
              <w:rPr>
                <w:sz w:val="20"/>
                <w:szCs w:val="20"/>
                <w:color w:val="auto"/>
              </w:rPr>
            </w:pPr>
          </w:p>
        </w:tc>
        <w:tc>
          <w:tcPr>
            <w:tcW w:w="224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2260" w:type="dxa"/>
            <w:vAlign w:val="bottom"/>
          </w:tcPr>
          <w:p>
            <w:pPr>
              <w:spacing w:after="0"/>
              <w:rPr>
                <w:sz w:val="24"/>
                <w:szCs w:val="24"/>
                <w:color w:val="auto"/>
              </w:rPr>
            </w:pPr>
          </w:p>
        </w:tc>
        <w:tc>
          <w:tcPr>
            <w:tcW w:w="8980" w:type="dxa"/>
            <w:vAlign w:val="bottom"/>
            <w:gridSpan w:val="7"/>
          </w:tcPr>
          <w:p>
            <w:pPr>
              <w:jc w:val="center"/>
              <w:ind w:right="21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(615) 733-4730</w:t>
            </w:r>
          </w:p>
        </w:tc>
      </w:tr>
      <w:tr>
        <w:trPr>
          <w:trHeight w:val="432"/>
        </w:trPr>
        <w:tc>
          <w:tcPr>
            <w:tcW w:w="226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02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228"/>
        </w:trPr>
        <w:tc>
          <w:tcPr>
            <w:tcW w:w="2260" w:type="dxa"/>
            <w:vAlign w:val="bottom"/>
          </w:tcPr>
          <w:p>
            <w:pPr>
              <w:spacing w:after="0"/>
              <w:rPr>
                <w:sz w:val="19"/>
                <w:szCs w:val="19"/>
                <w:color w:val="auto"/>
              </w:rPr>
            </w:pPr>
          </w:p>
        </w:tc>
        <w:tc>
          <w:tcPr>
            <w:tcW w:w="67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240" w:type="dxa"/>
            <w:vAlign w:val="bottom"/>
          </w:tcPr>
          <w:p>
            <w:pPr>
              <w:spacing w:after="0"/>
              <w:rPr>
                <w:sz w:val="19"/>
                <w:szCs w:val="19"/>
                <w:color w:val="auto"/>
              </w:rPr>
            </w:pPr>
          </w:p>
        </w:tc>
      </w:tr>
      <w:tr>
        <w:trPr>
          <w:trHeight w:val="414"/>
        </w:trPr>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496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228"/>
        </w:trPr>
        <w:tc>
          <w:tcPr>
            <w:tcW w:w="42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9"/>
                <w:szCs w:val="19"/>
                <w:color w:val="auto"/>
              </w:rPr>
            </w:pPr>
          </w:p>
        </w:tc>
        <w:tc>
          <w:tcPr>
            <w:tcW w:w="42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24, 2026, Harrow, Inc. (the “Company”) entered into a purchase agreement, dated March 24, 2026 (the “Purchase Agreement”) with BTIG, LLC, as representative of the several initial purchasers named therein (collectively, the “Initial Purchasers”), in connection with its offer and sale of $50.0 million aggregate principal amount of additional 8.625% Senior Notes due 2030 (the “New Notes”). The terms of the New Notes sold pursuant to the Purchase Agreement are summarized below. The Purchase Agreement contains customary representations, warranties and covenants by the Company, together with customary closing conditions. Under the terms of the Purchase Agreement, the Company agreed to indemnify the Initial Purchasers against certain liabilities.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Purchase Agreement does not purport to be complete and is qualified in its entirety by reference to the full text of the Purchase Agreement, a copy of which is filed hereto, as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 xml:space="preserve">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Indenture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27, 2026, the Company, the subsidiary guarantors named therein (the “Guarantors”) and U.S. Bank Trust Company, National Association, as trustee (the “Trustee”), entered into a First Supplemental Indenture (the “First Supplemental Indenture”) to the Indenture, dated September 12, 2025 (the “Base Indenture” and, together with the First Supplemental Indenture, the “Indenture”) pursuant to which the Company issued the New Notes.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New Notes will be issued as additional notes under the same indenture governing the $250,000,000 aggregate principal amount of 8.625% Senior Notes due 2030 that were issued by the Company on September 12, 2025 (the “Existing Notes”), will be treated as a single series with the Existing Notes and will have the same terms as the Existing Notes other than with respect to the date of issuance and the issue price.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foregoing description of the First Supplemental Indenture and the New Notes does not purport to be complete and is qualified in its entirety by reference to the full text of the Base Indenture, the form of Global Note attached as Exhibit A thereto, and the First Supplemental Indenture, copies of which are filed hereto as </w:t>
      </w:r>
      <w:r>
        <w:rPr>
          <w:rFonts w:ascii="Times New Roman" w:cs="Times New Roman" w:eastAsia="Times New Roman" w:hAnsi="Times New Roman"/>
          <w:sz w:val="18"/>
          <w:szCs w:val="18"/>
          <w:u w:val="single" w:color="auto"/>
          <w:color w:val="auto"/>
        </w:rPr>
        <w:t>Exhibit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4.3</w:t>
      </w:r>
      <w:r>
        <w:rPr>
          <w:rFonts w:ascii="Times New Roman" w:cs="Times New Roman" w:eastAsia="Times New Roman" w:hAnsi="Times New Roman"/>
          <w:sz w:val="18"/>
          <w:szCs w:val="18"/>
          <w:color w:val="auto"/>
        </w:rPr>
        <w:t>, respectively, and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herein by reference to the extent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27, 2026, the Company completed the sale of the New Notes in a private offering (the “Offering”) to persons reasonably believed to be “qualified institutional buyers” in the United States, as defined in Rule 144A under the Securities Act of 1933, as amended (the “Securities Act”), and to certain non-U.S. persons outside the United States in offshore transactions pursuant to Regulation S under the Securities Act.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received net proceeds from the Offering, after deducting the Initial Purchasers’ discounts and estimated offering expenses and fees payable by the Company, of approximately $48.7 million. The Company intends to use the net proceeds from the Offering for general corporate purposes, which may include funding initiatives to accelerate growth (e.g., new product launches), funding upcoming product development activities, future strategic business development opportunities, and related investments.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a solicitation of an offer to buy or an offer to purchase or sell any securities. No offer, solicitation, purchase or sale will be made in any jurisdiction in which such offer, solicitation or sale would be unlawful. Any offer or solicitation will be made only by means of a confidential offering memorandum.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Current Report on Form 8-K contains forward-looking statements within the meaning of the Private Securities Litigation Reform Act, including statements regarding the use of proceeds of the New Notes. These statements are based on currently available operating, financial, economic and other information, and are subject to a number of significant risks and uncertainties. A variety of factors, many of which are beyond our control, could cause actual future results to differ materially from those projected in the forward-looking statements. Specific factors that might cause such a difference include, but are not limited to: changes in operations, business, financial or other conditions relevant to the planned transactions, and other execution risks related to the completion of the transactions described herein, as well as other risks detailed in our most recent annual report on Form 10-K and other filings with the Securities and Exchange Commission. 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we may not be able to complete the potential transactions on terms expected or at all, and our actual results may differ significantly from those expected or implied by our forward-looking statements. These and other risks are detailed in our filings with the Securities and Exchange Commission. We do not undertake any obligation to publicly update or revise these forward-looking statements after the date of this Current Report on Form 8-K to reflect future events or circumstances, except as required by applicable law. We qualify any and all of our forward-looking statements by these cautionary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780" w:hanging="768"/>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4">
        <w:r>
          <w:rPr>
            <w:rFonts w:ascii="Times New Roman" w:cs="Times New Roman" w:eastAsia="Times New Roman" w:hAnsi="Times New Roman"/>
            <w:sz w:val="18"/>
            <w:szCs w:val="18"/>
            <w:u w:val="single" w:color="auto"/>
            <w:color w:val="0000EE"/>
          </w:rPr>
          <w:t>Indenture, dated September 12, 2025, by and among the Company, the guarantors named therein and U.S. Bank Trust Company, National</w:t>
        </w:r>
      </w:hyperlink>
      <w:r>
        <w:rPr>
          <w:rFonts w:ascii="Times New Roman" w:cs="Times New Roman" w:eastAsia="Times New Roman" w:hAnsi="Times New Roman"/>
          <w:sz w:val="18"/>
          <w:szCs w:val="18"/>
          <w:u w:val="single" w:color="auto"/>
          <w:color w:val="0000EE"/>
        </w:rPr>
        <w:t xml:space="preserve"> </w:t>
      </w:r>
      <w:hyperlink r:id="rId14">
        <w:r>
          <w:rPr>
            <w:rFonts w:ascii="Times New Roman" w:cs="Times New Roman" w:eastAsia="Times New Roman" w:hAnsi="Times New Roman"/>
            <w:sz w:val="18"/>
            <w:szCs w:val="18"/>
            <w:u w:val="single" w:color="auto"/>
            <w:color w:val="0000EE"/>
          </w:rPr>
          <w:t>Association, as trustee (a)</w:t>
        </w:r>
      </w:hyperlink>
    </w:p>
    <w:p>
      <w:pPr>
        <w:spacing w:after="0" w:line="162"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14">
        <w:r>
          <w:rPr>
            <w:rFonts w:ascii="Times New Roman" w:cs="Times New Roman" w:eastAsia="Times New Roman" w:hAnsi="Times New Roman"/>
            <w:sz w:val="17"/>
            <w:szCs w:val="17"/>
            <w:u w:val="single" w:color="auto"/>
            <w:color w:val="0000EE"/>
          </w:rPr>
          <w:t>Form of 8.625% Senior Note due 2030 (included in Exhibit 4.1)</w:t>
        </w:r>
      </w:hyperlink>
    </w:p>
    <w:p>
      <w:pPr>
        <w:spacing w:after="0" w:line="225" w:lineRule="exact"/>
        <w:rPr>
          <w:sz w:val="20"/>
          <w:szCs w:val="20"/>
          <w:color w:val="auto"/>
        </w:rPr>
      </w:pPr>
    </w:p>
    <w:p>
      <w:pPr>
        <w:ind w:left="780" w:hanging="768"/>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0000EE"/>
        </w:rPr>
        <w:t>First Supplemental Indenture, dated as of March 27, 2026, by and between the Company, the guarantors named therein and U.S. Bank Trust Company, National Association, as trustee</w:t>
      </w:r>
    </w:p>
    <w:p>
      <w:pPr>
        <w:spacing w:after="0" w:line="162" w:lineRule="exact"/>
        <w:rPr>
          <w:sz w:val="20"/>
          <w:szCs w:val="20"/>
          <w:color w:val="auto"/>
        </w:rPr>
      </w:pPr>
    </w:p>
    <w:p>
      <w:pPr>
        <w:ind w:left="780" w:hanging="768"/>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Purchase Agreement, dated March 24, 2026, by and among the Company, the guarantors named therein and BTIG, LLC, as representative of the several initial purchasers named therein</w:t>
      </w:r>
    </w:p>
    <w:p>
      <w:pPr>
        <w:spacing w:after="0" w:line="16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ind w:left="980" w:hanging="97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September 12, 2025 (File No. 001-35814)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27,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HARROW, INC.</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EACH OF THE GUARANTORS NAMED</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ON THE SIGNATURE PAGES HERETO</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$50,000,000 8.625%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FIRST SUPPLEMENTAL INDENTURE, dated as of March 27, 2026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is among Harrow,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Guarantors listed on the signature pages hereto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collectively with the Issuer, the “</w:t>
      </w:r>
      <w:r>
        <w:rPr>
          <w:rFonts w:ascii="Times New Roman" w:cs="Times New Roman" w:eastAsia="Times New Roman" w:hAnsi="Times New Roman"/>
          <w:sz w:val="18"/>
          <w:szCs w:val="18"/>
          <w:u w:val="single" w:color="auto"/>
          <w:color w:val="auto"/>
        </w:rPr>
        <w:t>Harrow Parties</w:t>
      </w:r>
      <w:r>
        <w:rPr>
          <w:rFonts w:ascii="Times New Roman" w:cs="Times New Roman" w:eastAsia="Times New Roman" w:hAnsi="Times New Roman"/>
          <w:sz w:val="18"/>
          <w:szCs w:val="18"/>
          <w:color w:val="auto"/>
        </w:rPr>
        <w:t>”), and U.S. Bank Trust Company,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under the Indenture referred to below.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Issuer, the Guarantors and the Trustee have executed and delivered an indenture, dated as of September 12, 2025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together with this 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providing for the issuance by the Issuer of its 8.625% Senior Notes due 2030 (the “</w:t>
      </w:r>
      <w:r>
        <w:rPr>
          <w:rFonts w:ascii="Times New Roman" w:cs="Times New Roman" w:eastAsia="Times New Roman" w:hAnsi="Times New Roman"/>
          <w:sz w:val="18"/>
          <w:szCs w:val="18"/>
          <w:u w:val="single" w:color="auto"/>
          <w:color w:val="auto"/>
        </w:rPr>
        <w:t>2030 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on September 12, 2025, the Issuer issued $250,000,000 aggregate principal amount of 2030 Notes (the “</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pursuant to the Base Indenture;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WHEREAS,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Base Indenture provides that, without notice to or consent of the Holders, the Issuer may, from time to time and in accordance therewith, create and issue Additional Notes (subject to the Issuer’s compliance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Base Indenture), and such Additional Notes shall be consolidated with and form a single class with the Initial Notes and shall have the same terms as to status, redemption or otherwise as the Initial Notes;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of the Base Indenture provides that, without notice to or consent of the Holders, the Issuer, the Guarantors and the Trustee may amend, supplement or modify the Base Indenture to make such provisions as necessary (as determined in good faith by the Company) for the issuance of Additional Notes in accordance with the terms of the Indenture;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each of the Harrow Parties desires to execute and deliver this Supplemental Indenture for the purpose of issuing $50,000,000 in aggregate principal amount of additional 2030 Notes (the “</w:t>
      </w:r>
      <w:r>
        <w:rPr>
          <w:rFonts w:ascii="Times New Roman" w:cs="Times New Roman" w:eastAsia="Times New Roman" w:hAnsi="Times New Roman"/>
          <w:sz w:val="18"/>
          <w:szCs w:val="18"/>
          <w:u w:val="single" w:color="auto"/>
          <w:color w:val="auto"/>
        </w:rPr>
        <w:t>Additional Senior Notes</w:t>
      </w:r>
      <w:r>
        <w:rPr>
          <w:rFonts w:ascii="Times New Roman" w:cs="Times New Roman" w:eastAsia="Times New Roman" w:hAnsi="Times New Roman"/>
          <w:sz w:val="18"/>
          <w:szCs w:val="18"/>
          <w:color w:val="auto"/>
        </w:rPr>
        <w:t>” and, together with the Initial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Additional Senior Notes shall constitute Additional Notes pursuant to the Indenture;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pursuant to the satisfaction of the conditions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of the Base Indenture, the Trustee is authorized and directed to execute and deliver this Supplemental Indenture.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in order to establish the terms of the Additional Senior Notes, the Harrow Parties and the Trustee mutually covenant and agree for the equal and ratable benefit of the Holders of Additional Senior Notes as follows:</w:t>
      </w:r>
    </w:p>
    <w:p>
      <w:pPr>
        <w:spacing w:after="0" w:line="176" w:lineRule="exact"/>
        <w:rPr>
          <w:sz w:val="20"/>
          <w:szCs w:val="20"/>
          <w:color w:val="auto"/>
        </w:rPr>
      </w:pPr>
    </w:p>
    <w:p>
      <w:pPr>
        <w:ind w:left="1560" w:hanging="256"/>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herein without definition shall have the meanings assigned to them in the Base Indenture.</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 to and Effect on Base Indenture</w:t>
      </w:r>
      <w:r>
        <w:rPr>
          <w:rFonts w:ascii="Times New Roman" w:cs="Times New Roman" w:eastAsia="Times New Roman" w:hAnsi="Times New Roman"/>
          <w:sz w:val="18"/>
          <w:szCs w:val="18"/>
          <w:color w:val="auto"/>
        </w:rPr>
        <w:t>. Upon the date hereof, each reference in the Base Indenture to “this Indenture,” “hereunder,” “hereof,” or “herein” shall mean and be a reference to the Base Indenture as supplemented by this Supplemental Indenture, unless the context requires otherwise. This Supplemental Indenture shall form a part of the Base Indenture for all purposes.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ind w:firstLine="1304"/>
        <w:spacing w:after="0" w:line="254" w:lineRule="auto"/>
        <w:tabs>
          <w:tab w:leader="none" w:pos="15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Senior Notes</w:t>
      </w:r>
      <w:r>
        <w:rPr>
          <w:rFonts w:ascii="Times New Roman" w:cs="Times New Roman" w:eastAsia="Times New Roman" w:hAnsi="Times New Roman"/>
          <w:sz w:val="18"/>
          <w:szCs w:val="18"/>
          <w:color w:val="auto"/>
        </w:rPr>
        <w:t>. As of the date hereof, the Issuer will issue, and the Trustee is directed to authenticate and deliver, Additional Senior Notes in the aggregate principal amount of $50,000,000 in the manner contemplated by the Base Indenture. The Additional Senior Notes shall be consolidated with and form a single class with the Initial Notes, shall be Restricted Notes and shall have the same terms and conditions in all respects with the Initial Notes, except that (i) the issue date of the Additional Senior Notes shall be March 27, 2026 and (ii) Additional Senior Notes issued pursuant to Regulation S in the form of a global Note (the “</w:t>
      </w:r>
      <w:r>
        <w:rPr>
          <w:rFonts w:ascii="Times New Roman" w:cs="Times New Roman" w:eastAsia="Times New Roman" w:hAnsi="Times New Roman"/>
          <w:sz w:val="18"/>
          <w:szCs w:val="18"/>
          <w:u w:val="single" w:color="auto"/>
          <w:color w:val="auto"/>
        </w:rPr>
        <w:t>Temporary Regulation S Global Note</w:t>
      </w:r>
      <w:r>
        <w:rPr>
          <w:rFonts w:ascii="Times New Roman" w:cs="Times New Roman" w:eastAsia="Times New Roman" w:hAnsi="Times New Roman"/>
          <w:sz w:val="18"/>
          <w:szCs w:val="18"/>
          <w:color w:val="auto"/>
        </w:rPr>
        <w:t>”) will trade separately under a different CUSIP number than the Regulation S Global Note in respect of the Initial Notes issued by the Company on September 12, 2025 (the “</w:t>
      </w:r>
      <w:r>
        <w:rPr>
          <w:rFonts w:ascii="Times New Roman" w:cs="Times New Roman" w:eastAsia="Times New Roman" w:hAnsi="Times New Roman"/>
          <w:sz w:val="18"/>
          <w:szCs w:val="18"/>
          <w:u w:val="single" w:color="auto"/>
          <w:color w:val="auto"/>
        </w:rPr>
        <w:t>Existing Regulation S Global Note</w:t>
      </w:r>
      <w:r>
        <w:rPr>
          <w:rFonts w:ascii="Times New Roman" w:cs="Times New Roman" w:eastAsia="Times New Roman" w:hAnsi="Times New Roman"/>
          <w:sz w:val="18"/>
          <w:szCs w:val="18"/>
          <w:color w:val="auto"/>
        </w:rPr>
        <w:t>”) until 40 days after the date of this Supplemental Indenture (such period through and including such 40th day, the “</w:t>
      </w:r>
      <w:r>
        <w:rPr>
          <w:rFonts w:ascii="Times New Roman" w:cs="Times New Roman" w:eastAsia="Times New Roman" w:hAnsi="Times New Roman"/>
          <w:sz w:val="18"/>
          <w:szCs w:val="18"/>
          <w:u w:val="single" w:color="auto"/>
          <w:color w:val="auto"/>
        </w:rPr>
        <w:t>Distribution Compliance Period</w:t>
      </w:r>
      <w:r>
        <w:rPr>
          <w:rFonts w:ascii="Times New Roman" w:cs="Times New Roman" w:eastAsia="Times New Roman" w:hAnsi="Times New Roman"/>
          <w:sz w:val="18"/>
          <w:szCs w:val="18"/>
          <w:color w:val="auto"/>
        </w:rPr>
        <w:t xml:space="preserve">”). The issue price for the Additional Senior Notes is 100.25%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from March 15, 2026. Each of the Guarantors reaffirms its Guarantee, in each case, as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the Base Indenture with regard to such Additional Senior Notes.</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 in Respect of the Temporary Regulation S Global Note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shall apply with respect to any proposed transfer of a Regulation S Note in respect of the Additional Senior Notes, including the Temporary Regulation S Global Note, prior to the expiration of the Distribution Compliance Period:</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8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 Regulation S Note or a beneficial interest therein to a QIB shall be made upon the representation of the transferee, in the form of assignment on the reverse of the certificate, that it is purchasing the Note for its own account or an account with respect to which it exercises sole investment discretion and that it and any such account is a QIB,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its foregoing representations in order to claim the exemption from registration provided by Rule 144A; and</w:t>
      </w:r>
    </w:p>
    <w:p>
      <w:pPr>
        <w:spacing w:after="0" w:line="187"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2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 Regulation S Note or a beneficial interest therein to a Non-U.S. Person shall be made upon receipt by the Registrar or its agent of a certificate substantially in the form set forth in Section 2.9 of the Base Indenture from the proposed transferor and receipt by the Registrar or its agent of an Opinion of Counsel, certification and/or other information satisfactory to the Issuer; provided that no such written representation or other written certification shall be required in connection with the transfer of a beneficial interest in the Temporary Regulation S Global Note to a transferee in the form of a beneficial interest in that Temporary Regulation S Global Note in accordance with the Indenture and the applicable procedures of DTC.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the expiration of the Distribution Compliance Period, the CUSIP and ISIN numbers in respect of the Temporary Regulation S Global Note will be U2467X AA4 and USU2467XAA47, respectively, which are the CUSIP and ISIN numbers assigned to the Existing Regulation S Global Note, without any action or certification required by the Holder thereof.</w:t>
      </w:r>
    </w:p>
    <w:p>
      <w:pPr>
        <w:spacing w:after="0" w:line="176" w:lineRule="exact"/>
        <w:rPr>
          <w:sz w:val="20"/>
          <w:szCs w:val="20"/>
          <w:color w:val="auto"/>
        </w:rPr>
      </w:pPr>
    </w:p>
    <w:p>
      <w:pPr>
        <w:ind w:firstLine="1385"/>
        <w:spacing w:after="0" w:line="282" w:lineRule="auto"/>
        <w:tabs>
          <w:tab w:leader="none" w:pos="164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provisions set forth in Section 2.1(f) of the Base Indenture, in no event shall a Definitive Note be delivered upon exchange or transfer of a beneficial interest in the Temporary Regulation S Global Note prior to the end of the Distribution Compliance Period.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Additional Senior Notes</w:t>
      </w:r>
      <w:r>
        <w:rPr>
          <w:rFonts w:ascii="Times New Roman" w:cs="Times New Roman" w:eastAsia="Times New Roman" w:hAnsi="Times New Roman"/>
          <w:sz w:val="18"/>
          <w:szCs w:val="18"/>
          <w:color w:val="auto"/>
        </w:rPr>
        <w:t xml:space="preserve">. The Additional Senior Notes shall initially be evidenced by one or more Global Notes,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Base Indenture.</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director, officer, employee, incorporator or shareholder of the Issuer or any of its respective Subsidiaries or Affiliates, or such (other than the Issuer and the Guarantors), shall have any liability for any obligations of the Issuer or the Guarantors under the Additional Senior Notes, the Note Guarantees or the Indenture or for any claim based on, in respect of, or by reason of such obligations or their creation. Each Holder by accepting a Note waives and releases all such liability. The waiver and release are part of the consideration for issuance of the Additional Senior Notes. Such waiver may not be effective to waive liabilities under the federal securities laws and it is the view of the SEC that such a waiver is against public policy.</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SUPPLEMENTAL INDENTURE, THE ADDITIONAL SENIOR NOTES AND THE NOTE GUARANTEES AND THE RIGHTS AND DUTIES OF THE PARTIES HEREUNDER AND THEREUNDER SHALL BE GOVERNED BY, AND CONSTRUED IN ACCORDANCE WITH, THE LAWS OF THE STATE OF NEW YORK.</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The Issuer and the Guarantors agree that any suit, action or proceeding against the Issuer or any Guarantor brought by any Holder or the Trustee arising out of or based upon the Indenture, the Note Guarantees or the Additional Senior Notes may be instituted in any state or Federal court in the Borough of Manhattan, New York, New York, and any appellate court from any thereof, and each of them irrevocably submits to the non-exclusive jurisdiction of such courts in any suit, action or proceeding. The Issuer and the Guarantors irrevocably waive, to the fullest extent permitted by law, any objection to any suit, action, or proceeding that may be brought in connection with the Indenture, the Note Guarantees or the Notes, including such actions, suits or proceedings relating to securities laws of the United States of America or any state thereof, in such courts whether on the grounds of venue, residence or domicile or on the ground that any such suit, action or proceeding has been brought in an inconvenient forum. The Issuer and the Guarantors agree that final judgment in any such suit, action or proceeding brought in such court shall be conclusive and binding upon the Issuer or the Guarantors, as the case may be, and may be enforced in any court to the jurisdiction of which the Issuer or the Guarantors, as the case may be, are subject by a suit upon such judgment.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ind w:firstLine="1304"/>
        <w:spacing w:after="0" w:line="252" w:lineRule="auto"/>
        <w:tabs>
          <w:tab w:leader="none" w:pos="15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 Electronic Signatures</w:t>
      </w:r>
      <w:r>
        <w:rPr>
          <w:rFonts w:ascii="Times New Roman" w:cs="Times New Roman" w:eastAsia="Times New Roman" w:hAnsi="Times New Roman"/>
          <w:sz w:val="18"/>
          <w:szCs w:val="18"/>
          <w:color w:val="auto"/>
        </w:rPr>
        <w:t>. The parties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(including a digital signature provided by DocuSign) shall constitute effective execution and delivery of this Supplemental Indenture as to the parties hereto and may be used in lieu of the original Supplemental Indenture for all purposes. Signatures of the parties hereto transmitted by facsimile, PDF or other electronic methods shall be deemed to be their original signatures for all purposes. Unless otherwise provided in this Supplemental Indenture or in any Additional Senior Note, the words “execute”, “execution”, “signed”, and “signature” and words of similar import used in or related to any document to be signed in connection with this Supplemental Indenture, any Additional Senior Note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to the contrary set forth herein, the Trustee is under no obligation to agree to accept electronic signatures in any form or format unless expressly agreed to by the Trustee pursuant to procedures approved by the Trustee.</w:t>
      </w:r>
    </w:p>
    <w:p>
      <w:pPr>
        <w:spacing w:after="0" w:line="197" w:lineRule="exact"/>
        <w:rPr>
          <w:rFonts w:ascii="Times New Roman" w:cs="Times New Roman" w:eastAsia="Times New Roman" w:hAnsi="Times New Roman"/>
          <w:sz w:val="18"/>
          <w:szCs w:val="18"/>
          <w:color w:val="auto"/>
        </w:rPr>
      </w:pPr>
    </w:p>
    <w:p>
      <w:pPr>
        <w:ind w:firstLine="1304"/>
        <w:spacing w:after="0" w:line="282" w:lineRule="auto"/>
        <w:tabs>
          <w:tab w:leader="none" w:pos="16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herein are for convenience or reference only and are not intended to be considered a part hereof and shall not affect the construction hereof.</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Issuer and each Guarantor in this Supplemental Indenture and the Additional Senior Notes shall bind their respective successors. All agreements of the Trustee in this Supplemental Indenture shall bind its successors.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Effect</w:t>
      </w:r>
      <w:r>
        <w:rPr>
          <w:rFonts w:ascii="Times New Roman" w:cs="Times New Roman" w:eastAsia="Times New Roman" w:hAnsi="Times New Roman"/>
          <w:sz w:val="18"/>
          <w:szCs w:val="18"/>
          <w:color w:val="auto"/>
        </w:rPr>
        <w:t>. Except as expressly supplemented and amended by this Supplemental Indenture, the Base Indenture shall continue in full force and effect in accordance with the provisions thereof, and the Base Indenture (as supplemented and amended by this Supplemental Indenture) is in all respects hereby ratified and confirmed. This Supplemental Indenture and all the terms and conditions of this Supplemental Indenture, with respect to the Notes, shall be and be deemed to be part of the terms and conditions of the Base Indenture for any and all purposes.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center"/>
        <w:ind w:right="6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Supplemental Indenture to be duly executed, all as of the date first above written.</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 xml:space="preserve">HARROW, INC., </w:t>
      </w:r>
      <w:r>
        <w:rPr>
          <w:rFonts w:ascii="Times New Roman" w:cs="Times New Roman" w:eastAsia="Times New Roman" w:hAnsi="Times New Roman"/>
          <w:sz w:val="18"/>
          <w:szCs w:val="18"/>
          <w:color w:val="auto"/>
        </w:rPr>
        <w:t>as Issuer</w:t>
      </w:r>
    </w:p>
    <w:p>
      <w:pPr>
        <w:spacing w:after="0" w:line="229"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R. Boll</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bl>
    <w:p>
      <w:pPr>
        <w:spacing w:after="0" w:line="19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Harrow IP,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Harrow Eye,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Harrow Analytical Services, LLC</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Harrow, Inc.</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Sole Member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R. Boll</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bl>
    <w:p>
      <w:pPr>
        <w:spacing w:after="0" w:line="19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ImprimisRX,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Imprimis NJOF,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ImprimisRX NJ,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ImprimisRX Nashville, LLC</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Harrow, Inc.</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Sole Member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R. Boll</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bl>
    <w:p>
      <w:pPr>
        <w:spacing w:after="0" w:line="19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 w:name="page11"/>
    <w:bookmarkEnd w:id="10"/>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U.S. BANK TRUST COMPANY, NATIONAL ASSOCIATION, </w:t>
      </w:r>
      <w:r>
        <w:rPr>
          <w:rFonts w:ascii="Times New Roman" w:cs="Times New Roman" w:eastAsia="Times New Roman" w:hAnsi="Times New Roman"/>
          <w:sz w:val="18"/>
          <w:szCs w:val="18"/>
          <w:color w:val="auto"/>
        </w:rPr>
        <w:t>as Trustee</w:t>
      </w:r>
    </w:p>
    <w:p>
      <w:pPr>
        <w:spacing w:after="0" w:line="15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Wally Jones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380"/>
          </w:cols>
          <w:pgMar w:left="1440" w:top="684" w:right="1079" w:bottom="1440" w:gutter="0" w:footer="0" w:header="0"/>
        </w:sectPr>
      </w:pPr>
    </w:p>
    <w:bookmarkStart w:id="11" w:name="page12"/>
    <w:bookmarkEnd w:id="11"/>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Harrow,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8.625% Senior Notes due 2030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Purchase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BTIG,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Initial Purchasers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BTIG, LLC</w:t>
      </w:r>
    </w:p>
    <w:p>
      <w:pPr>
        <w:spacing w:after="0" w:line="205" w:lineRule="auto"/>
        <w:rPr>
          <w:sz w:val="20"/>
          <w:szCs w:val="20"/>
          <w:color w:val="auto"/>
        </w:rPr>
      </w:pPr>
      <w:r>
        <w:rPr>
          <w:rFonts w:ascii="Times New Roman" w:cs="Times New Roman" w:eastAsia="Times New Roman" w:hAnsi="Times New Roman"/>
          <w:sz w:val="18"/>
          <w:szCs w:val="18"/>
          <w:color w:val="auto"/>
        </w:rPr>
        <w:t>65 East 55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Harrow,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proposes to issue and sell to the several initial purchasers listed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for whom you are acting as representative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$50,000,000 principal amount of its 8.625% Senior Notes due 2030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will be issued pursuant to that certain Indenture, dated as of September 12, 2025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xml:space="preserve">”), by and among the Company, the guarantors listed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U.S. 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a supplemental indenture to be dated as of the Closing Date (as defined below)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among the Company, the Guarantors and the Trustee, and will be guaranteed on an unsecured senior basis by each of the Guarantors (the “</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Company previously issued $250,000,000 aggregate principal amount of 8.625% Senior Notes due 2030 (the “</w:t>
      </w:r>
      <w:r>
        <w:rPr>
          <w:rFonts w:ascii="Times New Roman" w:cs="Times New Roman" w:eastAsia="Times New Roman" w:hAnsi="Times New Roman"/>
          <w:sz w:val="18"/>
          <w:szCs w:val="18"/>
          <w:b w:val="1"/>
          <w:bCs w:val="1"/>
          <w:color w:val="auto"/>
        </w:rPr>
        <w:t>Existing Securities</w:t>
      </w:r>
      <w:r>
        <w:rPr>
          <w:rFonts w:ascii="Times New Roman" w:cs="Times New Roman" w:eastAsia="Times New Roman" w:hAnsi="Times New Roman"/>
          <w:sz w:val="18"/>
          <w:szCs w:val="18"/>
          <w:color w:val="auto"/>
        </w:rPr>
        <w:t>”) under the Base Indenture. The Securities that will be issued and sold by the Company pursuant to this Agreement will constitute an issuance of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under and as defined in the Base Indenture. Except as otherwise described in the Time of Sale Information and the Offering Memorandum (each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the Securities will have identical terms to the Existing Securities and will be treated as a single class of notes for all purposes under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Securities will be sold to the Initial Purchasers without being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 reliance upon an exemption therefrom. The Company and the Guarantors have prepared a preliminary offering memorandum dated March 24, 2026 (the “</w:t>
      </w:r>
      <w:r>
        <w:rPr>
          <w:rFonts w:ascii="Times New Roman" w:cs="Times New Roman" w:eastAsia="Times New Roman" w:hAnsi="Times New Roman"/>
          <w:sz w:val="18"/>
          <w:szCs w:val="18"/>
          <w:b w:val="1"/>
          <w:bCs w:val="1"/>
          <w:color w:val="auto"/>
        </w:rPr>
        <w:t>Preliminary Offering Memorandum</w:t>
      </w:r>
      <w:r>
        <w:rPr>
          <w:rFonts w:ascii="Times New Roman" w:cs="Times New Roman" w:eastAsia="Times New Roman" w:hAnsi="Times New Roman"/>
          <w:sz w:val="18"/>
          <w:szCs w:val="18"/>
          <w:color w:val="auto"/>
        </w:rPr>
        <w:t>”) and will prepare an offering memorandum dated the date hereof (the “</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setting forth information concerning the Company, the Guarantors and the Securities. Copies of the Preliminary Offering Memorandum have been, and copies of the Offering Memorandum will be, delivered by the Company to the Initial Purchasers pursuant to the terms of this purchase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Company hereby confirms that it has authorized the use of the Preliminary Offering Memorandum, the other Time of Sale Information (as defined below) and the Offering Memorandum in connection with the offering and resale of the Securities by the Initial Purchasers in the manner contemplated by this Agreement. Capitalized terms used but not defined herein shall have the meanings given to such terms in the Preliminary Offering Memorandum. References herein to the Preliminary Offering Memorandum, the Time of Sale Information and the Offering Memorandum include, unless expressly stated otherwise, (i) all amendments or supplements thereto and (ii) all financial statements and schedules and other information contained therein (and references in this Agreement to such information being “contained” or “included” (and other references of like import) in the Preliminary Offering Memorandum, the Time of Sale Information or the Offering Memorandum shall be deemed to mean all such information contained therein).</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At or prior to the time when sales of the Securities were first made (the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the Company had prepared the following information (collectively, the “</w:t>
      </w:r>
      <w:r>
        <w:rPr>
          <w:rFonts w:ascii="Times New Roman" w:cs="Times New Roman" w:eastAsia="Times New Roman" w:hAnsi="Times New Roman"/>
          <w:sz w:val="18"/>
          <w:szCs w:val="18"/>
          <w:b w:val="1"/>
          <w:bCs w:val="1"/>
          <w:color w:val="auto"/>
        </w:rPr>
        <w:t>Time of Sale Information</w:t>
      </w:r>
      <w:r>
        <w:rPr>
          <w:rFonts w:ascii="Times New Roman" w:cs="Times New Roman" w:eastAsia="Times New Roman" w:hAnsi="Times New Roman"/>
          <w:sz w:val="18"/>
          <w:szCs w:val="18"/>
          <w:color w:val="auto"/>
        </w:rPr>
        <w:t>”): the Preliminary Offering Memorandum, as supplemented and amended by the written communications listed on Annex A hereto.</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Guarantors hereby confirm their agreement with the several Initial Purchasers concerning the purchase and resale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as follows:</w:t>
      </w:r>
    </w:p>
    <w:p>
      <w:pPr>
        <w:spacing w:after="0" w:line="207" w:lineRule="exact"/>
        <w:rPr>
          <w:sz w:val="20"/>
          <w:szCs w:val="20"/>
          <w:color w:val="auto"/>
        </w:rPr>
      </w:pPr>
    </w:p>
    <w:p>
      <w:pPr>
        <w:ind w:left="840" w:hanging="184"/>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Resale of the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89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issue and sell the Securities to the several Initial Purchasers as provided in this Agreement, and each Initial Purchaser, on the basis of the representations, warranties and agreements set forth herein and subject to the conditions set forth herein, agrees, severally and not jointly, to purchase from the Company the respective principal amount of Securities set forth opposite such Initial Purchaser’s name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at a price equal to 98.0% of the principal amount thereof plus accrued and unpaid interest, if any, from March 15, 2026 to the Closing Date. The Company will not be obligated to deliver any of the Securities except upon payment for all the Securities to be purchased as provided herein.</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Initial Purchasers intend to offer the Securities for resale on the terms set forth in the Time of Sale Information. Each Initial Purchaser, severally and not jointly, represents, warrants and agrees that:</w:t>
      </w:r>
    </w:p>
    <w:p>
      <w:pPr>
        <w:spacing w:after="0" w:line="157" w:lineRule="exact"/>
        <w:rPr>
          <w:rFonts w:ascii="Times New Roman" w:cs="Times New Roman" w:eastAsia="Times New Roman" w:hAnsi="Times New Roman"/>
          <w:sz w:val="18"/>
          <w:szCs w:val="18"/>
          <w:color w:val="auto"/>
        </w:rPr>
      </w:pPr>
    </w:p>
    <w:p>
      <w:pPr>
        <w:ind w:left="660" w:firstLine="644"/>
        <w:spacing w:after="0" w:line="286" w:lineRule="auto"/>
        <w:tabs>
          <w:tab w:leader="none" w:pos="15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institutional buyer (a “</w:t>
      </w:r>
      <w:r>
        <w:rPr>
          <w:rFonts w:ascii="Times New Roman" w:cs="Times New Roman" w:eastAsia="Times New Roman" w:hAnsi="Times New Roman"/>
          <w:sz w:val="18"/>
          <w:szCs w:val="18"/>
          <w:b w:val="1"/>
          <w:bCs w:val="1"/>
          <w:color w:val="auto"/>
        </w:rPr>
        <w:t>QIB</w:t>
      </w:r>
      <w:r>
        <w:rPr>
          <w:rFonts w:ascii="Times New Roman" w:cs="Times New Roman" w:eastAsia="Times New Roman" w:hAnsi="Times New Roman"/>
          <w:sz w:val="18"/>
          <w:szCs w:val="18"/>
          <w:color w:val="auto"/>
        </w:rPr>
        <w:t>”) within the meaning of Rule 144A under the Securities Act (“</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and an accredited investor within the meaning of Rule 501(a) of Regulation D under the Securities Act (“</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solicited offers for, or offered or sold, and will not solicit offers for, or offer or sell, the Securities by means of any form of general solicitation or general advertising within the meaning of Rule 502(c) of Regulation D or in any manner involving a public offering within the meaning of Section 4(a)(2) of the Securities Act;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ind w:left="660" w:firstLine="644"/>
        <w:spacing w:after="0" w:line="261" w:lineRule="auto"/>
        <w:tabs>
          <w:tab w:leader="none" w:pos="16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has not solicited offers for, or offered or sold, and will not solicit offers for, or offer or sell, the Securities as part of their initial offering except: (A) to persons whom it reasonably believes to be QIBs in transactions pursuant to Rule 144A and in connection with each such sale, it has taken or will take reasonable steps to ensure that the purchaser of the Securities is aware that such sale is being made in reliance on Rule 144A; or (B) in accordance with the restrictions set forth in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hereto.</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Initial Purchaser acknowledges and agrees that the Company and, for purposes of the “no registration” opinions to be delivered to the Initial Purchasers pursuant to Sections 6(e) and 6(f), counsel for the Company and the Guarantors and counsel for the Initial Purchasers, respectively, may rely upon the accuracy of the representations and warranties of the Initial Purchasers, and compliance by the Initial Purchasers with their agreements, contained in paragraph (b) above (including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hereto), and each Initial Purchaser hereby consents to such reliance.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Initial Purchasers may offer and sell Securities to or through any affiliate of an Initial Purchaser and that any such affiliate may offer and sell Securities purchased by it to or through any Initial Purchaser.</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acknowledge and agree that each Initial Purchaser is acting solely in the capacity of an arm’s length contractual counterparty to the Company and the Guarantors with respect to the offering of Securities contemplated hereby (including in connection with determining the terms of the offering) and not as a financial advisor or a fiduciary to, or an agent of, the Company, the Guarantors or any other person. Additionally, neither the Representative nor any other Initial Purchaser is advising the Company, the Guarantors or any other person as to any legal, tax, investment, accounting or regulatory matters in any jurisdiction. The Company and the Guarantors shall consult with their own advisors concerning such matters and shall be responsible for making their own independent investigation and appraisal of the transactions contemplated hereby, and neither the Representative nor any other Initial Purchaser shall have any responsibility or liability to the Company or the Guarantors with respect thereto. Any review by the Representative or any Initial Purchaser of the Company, the Guarantors, and the transactions contemplated hereby or other matters relating to such transactions will be performed solely for the benefit of the Representative or such Initial Purchaser, as the case may be, and shall not be on behalf of the Company, the Guarantors or any other person.</w:t>
      </w:r>
    </w:p>
    <w:p>
      <w:pPr>
        <w:spacing w:after="0" w:line="194" w:lineRule="exact"/>
        <w:rPr>
          <w:sz w:val="20"/>
          <w:szCs w:val="20"/>
          <w:color w:val="auto"/>
        </w:rPr>
      </w:pPr>
    </w:p>
    <w:p>
      <w:pPr>
        <w:ind w:left="840" w:hanging="184"/>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and delivery of the Securities will be made at 10:00 A.M., New York City time, on March 27, 2026, or at such other time or place on the same or such other date, not later than the third business day thereafter, as the Representative and the Company may agree upon in writing. The time and date of such payment and delivery is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Securities shall be made by wire transfer in immediately available funds to the account(s) specified by the Company to the Representative against delivery to the nominee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for the account of the Initial Purchasers, of one or more global notes representing the Securities (collectively, the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with any transfer taxes payable in connection with the sale of the Securities duly paid by the Company. The Global Note will be made available for inspection by the Representative not later than 1:00 P.M., New York City time, on the business day prior to the Closing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ind w:firstLine="656"/>
        <w:spacing w:after="0" w:line="282" w:lineRule="auto"/>
        <w:tabs>
          <w:tab w:leader="none" w:pos="8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 and the Guarantors</w:t>
      </w:r>
      <w:r>
        <w:rPr>
          <w:rFonts w:ascii="Times New Roman" w:cs="Times New Roman" w:eastAsia="Times New Roman" w:hAnsi="Times New Roman"/>
          <w:sz w:val="18"/>
          <w:szCs w:val="18"/>
          <w:color w:val="auto"/>
        </w:rPr>
        <w:t>. The Company and the Guarantors jointly and severally represent and warrant to each Initial Purchaser that:</w:t>
      </w:r>
    </w:p>
    <w:p>
      <w:pPr>
        <w:spacing w:after="0" w:line="160" w:lineRule="exact"/>
        <w:rPr>
          <w:sz w:val="20"/>
          <w:szCs w:val="20"/>
          <w:color w:val="auto"/>
        </w:rPr>
      </w:pPr>
    </w:p>
    <w:p>
      <w:pPr>
        <w:jc w:val="both"/>
        <w:ind w:firstLine="656"/>
        <w:spacing w:after="0" w:line="256" w:lineRule="auto"/>
        <w:tabs>
          <w:tab w:leader="none" w:pos="8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Offering Memorandum, Time of Sale Information and Offering Memorandum. </w:t>
      </w:r>
      <w:r>
        <w:rPr>
          <w:rFonts w:ascii="Times New Roman" w:cs="Times New Roman" w:eastAsia="Times New Roman" w:hAnsi="Times New Roman"/>
          <w:sz w:val="18"/>
          <w:szCs w:val="18"/>
          <w:color w:val="auto"/>
        </w:rPr>
        <w:t>The Preliminary Offering Memorandum, as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did not, and the Time of Sale Information, at the Time of Sale, did not, and at the Closing Date, will not, and the Offering Memorandum, in the form first used by the Initial Purchasers to confirm the sales of Securities and as of the Closing Date, did not and will not, contain any untrue statement of a material fact or omit to state a material fact necessary in order to make the statements therein, in the light of the circumstances under which they were made, not misleading; provided that the Company and the Guarantors make no representation or warranty with respect to any statements or omissions made in reliance upon and in conformity with information relating to any Initial Purchaser furnished to the Company in writing by such Initial Purchaser through the Representative expressly for use in the Time of Sale Information or the Offering Memorandum.</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9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Written Communications. </w:t>
      </w:r>
      <w:r>
        <w:rPr>
          <w:rFonts w:ascii="Times New Roman" w:cs="Times New Roman" w:eastAsia="Times New Roman" w:hAnsi="Times New Roman"/>
          <w:sz w:val="18"/>
          <w:szCs w:val="18"/>
          <w:color w:val="auto"/>
        </w:rPr>
        <w:t>The Company and the Guarantors (including their agents and representatives, other than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Purchasers in their capacity as such) have not prepared, made, used, authorized, approved or referred to and will not prepare, make, use, authorize, approve or refer to any written communication that constitutes an offer to sell or solicitation of an offer to buy the Securities (each such communication by the Company and the Guarantors or their agents and representatives) other than (i) the Preliminary Offering Memorandum, (ii) the Offering Memorandum, (iii) the documents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including a term sheet substantially in the form of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which constitute part of the Time of Sale Information, (iv) any electronic road show or other written communications and (vi) any pre-recorded or written investor presentation used in meetings with investors (other than a communication referred to in clauses (i) and (ii) above, an “</w:t>
      </w:r>
      <w:r>
        <w:rPr>
          <w:rFonts w:ascii="Times New Roman" w:cs="Times New Roman" w:eastAsia="Times New Roman" w:hAnsi="Times New Roman"/>
          <w:sz w:val="18"/>
          <w:szCs w:val="18"/>
          <w:b w:val="1"/>
          <w:bCs w:val="1"/>
          <w:color w:val="auto"/>
        </w:rPr>
        <w:t>Issuer Written Communication</w:t>
      </w:r>
      <w:r>
        <w:rPr>
          <w:rFonts w:ascii="Times New Roman" w:cs="Times New Roman" w:eastAsia="Times New Roman" w:hAnsi="Times New Roman"/>
          <w:sz w:val="18"/>
          <w:szCs w:val="18"/>
          <w:color w:val="auto"/>
        </w:rPr>
        <w:t>”), in each case used in accordance with Section 4(c). Each such Issuer Written Communication, when taken together with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provided that the Company and the Guarantors make no representation or warranty with respect to any statements or omissions made in each such Issuer Written Communication in reliance upon and in conformity with information relating to any Initial Purchaser furnished to the Company in writing by such Initial Purchaser through the Representative expressly for use in any Issuer Written Communication.</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8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and the related notes thereto included in each of the Time of Sale Information and the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accounting principles generally accepted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covered thereby; and the other financial information included in each of the Time of Sale Information and the Offering Memorandum has been derived from the accounting records of the Company and its consolidated subsidiaries and presents fairly the information shown thereby. There are no financial statements (historical or pro forma) that would be required by the Securities Act to be described in a registration statement to be filed with the Commission that are not included in each of the Time of Sale Information and the Offering Memorandum.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firstLine="656"/>
        <w:spacing w:after="0" w:line="254" w:lineRule="auto"/>
        <w:tabs>
          <w:tab w:leader="none" w:pos="9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Each of the Company and each Guarantor has been duly organized and is validly existing as a corporation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legal entity in good standing under the laws of its jurisdiction of incorporation or organization. The Company and each Guarantor is duly qualified to do business and is in good standing as a foreign corporation or other legal entity in each jurisdiction in which its ownership or lease of its properties or the conduct of its business requires such qualification and has all power and authority (corporate or other) necessary to own or hold its properties and to conduct the businesses in which each is engaged, except where the failure to so qualify or have such power or authority would not (i) have, singularly or in the aggregate, a material adverse effect on the condition (financial or otherwise), results of operations, assets, or business of the Company and its Subsidiaries, taken as a whole, or (ii) impair in any material respect the ability of the Company to perform its obligations under this Agreement or to consummate any transactions contemplated by this Agreement, the Time of Sale Information or the Offering Memorandum (any such effect as described in clauses (i) or (ii),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subsidiary of the Company as defined in Rule 405 under the Securities Act.</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8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and each of the Guarantors have the full right, power and authority to execute and deliver, and perform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under, this Agreement, the Securities and the Supplemental Indenture and have previously executed and delivered the Base Indenture (including each Guarantee set forth therein) (collectively,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and to perform their respective obligations hereunder and thereunder; and all action required to be taken for the due and proper authorization execution and delivery of each of the Transaction Documents and the consummation of the transactions contemplated thereby has been duly and validly taken.</w:t>
      </w:r>
    </w:p>
    <w:p>
      <w:pPr>
        <w:spacing w:after="0" w:line="183"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Purchase Agreement. </w:t>
      </w:r>
      <w:r>
        <w:rPr>
          <w:rFonts w:ascii="Times New Roman" w:cs="Times New Roman" w:eastAsia="Times New Roman" w:hAnsi="Times New Roman"/>
          <w:sz w:val="18"/>
          <w:szCs w:val="18"/>
          <w:color w:val="auto"/>
        </w:rPr>
        <w:t>This Agreement has been duly authorized, executed and delivered by the Company and each of the Guarantors.</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The Company has the capitalization as set forth in the Time of Sale Information and the Offering Memorandum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heading “Capitalization” as of the date thereof. The shares of capital stock outstanding have been duly authorized and were validly issued, fully paid and non-assessable and were issued in compliance in all material respects with U.S. federal and applicable state securities laws. The membership interests, capital stock, partnership interests or other similar equity interests, as applicable, of each Subsidiary have been duly authorized and validly issued, were fully paid and nonassessable and were issued in compliance in all material respects with U.S. federal and applicable state securities laws and, except to the extent set forth in the Time of Sale Information and the Offering Memorandum, are owned by the Company directly, free and clear of any claim, lien, encumbrance, security interest, restriction upon voting or transfer or any other claim of any third party. None of the outstanding shares of capital stock of the Company and its Subsidiaries was issued in violation of any preemptive rights, rights of first refusal or other similar rights to subscribe for or purchase securities of the Company. Except as set forth in the Time of Sale Information and the Offering Memorandum (exclusive of any amendment or supplement thereto), there are no outstanding options, warrants or other rights to acquire or purchase, or instruments convertible into or exchangeable for, any equity interests of the Company or any of its Subsidiaries.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 w:name="page17"/>
    <w:bookmarkEnd w:id="16"/>
    <w:p>
      <w:pPr>
        <w:jc w:val="both"/>
        <w:ind w:firstLine="656"/>
        <w:spacing w:after="0" w:line="256" w:lineRule="auto"/>
        <w:tabs>
          <w:tab w:leader="none" w:pos="9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Company nor any Guarantor is (i) in violation of its charter, bylaws, certificate of formation,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company agreement, partnership agreement or other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Subsidiary is a party or by which the Company or any Subsidiary is bound or to which any property, right or asset of the Company or any Subsidiary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order,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body or agency or self-regulatory authority is required for the execution, delivery and performance by the Company and each the Guarantors of each of the Transaction Documents to which it is a party, the issuance and sale of the Securities and the issuance of the Guarantees and compliance by the Company and each of the Guarantors with the terms thereof and the consummation of the transactions contemplated by the Transaction Documents, except as have been obtained or as may be required by the securities or Blue Sky laws of the various states.</w:t>
      </w:r>
    </w:p>
    <w:p>
      <w:pPr>
        <w:spacing w:after="0" w:line="183" w:lineRule="exact"/>
        <w:rPr>
          <w:rFonts w:ascii="Times New Roman" w:cs="Times New Roman" w:eastAsia="Times New Roman" w:hAnsi="Times New Roman"/>
          <w:sz w:val="18"/>
          <w:szCs w:val="18"/>
          <w:color w:val="auto"/>
        </w:rPr>
      </w:pPr>
    </w:p>
    <w:p>
      <w:pPr>
        <w:jc w:val="both"/>
        <w:ind w:firstLine="656"/>
        <w:spacing w:after="0" w:line="257" w:lineRule="auto"/>
        <w:tabs>
          <w:tab w:leader="none" w:pos="8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Accountants. </w:t>
      </w:r>
      <w:r>
        <w:rPr>
          <w:rFonts w:ascii="Times New Roman" w:cs="Times New Roman" w:eastAsia="Times New Roman" w:hAnsi="Times New Roman"/>
          <w:sz w:val="18"/>
          <w:szCs w:val="18"/>
          <w:color w:val="auto"/>
        </w:rPr>
        <w:t>Deloitte and Touche LLP, Crowe LLP and KMJ Corbin &amp; Company LLP, which have audited certain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the Company and its consolidated subsidiaries, are independent registered public accounting firms with respect to the Company and its consolidated subsidiaries as required by the Securities Act and the Rules and Regulations and the Public Company Accounting Oversight Board (United States). Except as pre-approved in accordance with the requirements set forth in Section 10A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the independent registered public accounting firms above have not been engaged by the Company or any of its Subsidiaries, as applicable, to perform any “prohibited activities” (as defined in Section 10A of the Exchange Act).</w:t>
      </w:r>
    </w:p>
    <w:p>
      <w:pPr>
        <w:spacing w:after="0" w:line="182" w:lineRule="exact"/>
        <w:rPr>
          <w:rFonts w:ascii="Times New Roman" w:cs="Times New Roman" w:eastAsia="Times New Roman" w:hAnsi="Times New Roman"/>
          <w:sz w:val="18"/>
          <w:szCs w:val="18"/>
          <w:color w:val="auto"/>
        </w:rPr>
      </w:pPr>
    </w:p>
    <w:p>
      <w:pPr>
        <w:jc w:val="both"/>
        <w:ind w:firstLine="656"/>
        <w:spacing w:after="0" w:line="267" w:lineRule="auto"/>
        <w:tabs>
          <w:tab w:leader="none" w:pos="9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Liabilities/Obligations. </w:t>
      </w:r>
      <w:r>
        <w:rPr>
          <w:rFonts w:ascii="Times New Roman" w:cs="Times New Roman" w:eastAsia="Times New Roman" w:hAnsi="Times New Roman"/>
          <w:sz w:val="18"/>
          <w:szCs w:val="18"/>
          <w:color w:val="auto"/>
        </w:rPr>
        <w:t>The Company and its Subsidiaries do not have any material liabilities or obligations, direct or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any off-balance sheet obligations or any “variable interest entities” within the meaning of the Financial Accounting Standards Board’s Accounting Standards Codification Topic 810), which are not disclosed in the Time of Sale Information or the Offering Memorandum.</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8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Since the date of the most recent financial statements of the Company included in the Time of Sale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Offering Memorandum, (i) there has not occurred any event or circumstance that has had or would reasonably be expected to have, individually or in the aggregate, a Material Adverse Effect and (ii) each of the Company and its Subsidiaries, considered as one entity, has not incurred any material liability or obligation, indirect, direct or contingent, not in the ordinary course of business nor entered into any material transaction or agreement not in the ordinary course of business, in each case, other than is set forth or contemplated therein.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 w:name="page18"/>
    <w:bookmarkEnd w:id="17"/>
    <w:p>
      <w:pPr>
        <w:jc w:val="both"/>
        <w:ind w:firstLine="656"/>
        <w:spacing w:after="0" w:line="262" w:lineRule="auto"/>
        <w:tabs>
          <w:tab w:leader="none" w:pos="95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There is no legal or governmental proceeding, action, suit or claim pending or, to the Company’s knowledge, threatened,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which the Company or any of its Subsidiaries is a party, or to which any of the properties or assets of the Company or any of its Subsidiaries is subject,</w:t>
      </w:r>
    </w:p>
    <w:p>
      <w:pPr>
        <w:jc w:val="both"/>
        <w:ind w:firstLine="8"/>
        <w:spacing w:after="0" w:line="253" w:lineRule="auto"/>
        <w:tabs>
          <w:tab w:leader="none" w:pos="2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proceedings described in the Time of Sale Information and/or the Offering Memorandum or proceedings that would not have a Material Adverse Effect or (ii) that are required to be described in the Time of Sale Information or the Offering Memorandum and are not so described; and there are no statutes, regulations, contracts or other documents to which the Company or any of its Subsidiaries is subject or by which the Company or any of its Subsidiaries is bound that are required to be described in the Time of Sale Information or the Offering Memorandum that are not described as required.</w:t>
      </w:r>
    </w:p>
    <w:p>
      <w:pPr>
        <w:spacing w:after="0" w:line="186"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Company Act. </w:t>
      </w:r>
      <w:r>
        <w:rPr>
          <w:rFonts w:ascii="Times New Roman" w:cs="Times New Roman" w:eastAsia="Times New Roman" w:hAnsi="Times New Roman"/>
          <w:sz w:val="18"/>
          <w:szCs w:val="18"/>
          <w:color w:val="auto"/>
        </w:rPr>
        <w:t>Neither the Company nor any Guarantor is or, after giving effect to the offering and sale of the Securities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the proceeds thereof as described in the Time of Sale Information and the Offering Memorandum, will be, an “investment company” within the meaning of the Investment Company Act of 1940, as amended, and the rules and regulations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thereunder (collectively,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that is required to be registered under the Investment Company Act.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Property. </w:t>
      </w:r>
      <w:r>
        <w:rPr>
          <w:rFonts w:ascii="Times New Roman" w:cs="Times New Roman" w:eastAsia="Times New Roman" w:hAnsi="Times New Roman"/>
          <w:sz w:val="18"/>
          <w:szCs w:val="18"/>
          <w:color w:val="auto"/>
        </w:rPr>
        <w:t>The Company and its Subsidiaries have good and marketable title to all real and personal property owned by them which is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business of the Company and its Subsidiaries, taken as a whole, in each case free and clear of all liens, encumbrances and defects of title except such as are described in the Time of Sale Information or the Offering Memorandum or would not individually or in the aggregate have a Material Adverse Effect; and any real property and buildings held under lease by the Company and its Subsidiaries are held by them under valid, subsisting and enforceable leases except such as are described in the Time of Sale Information or the Offering Memorandum or would not have a Material Adverse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3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Environmental Laws. </w:t>
      </w:r>
      <w:r>
        <w:rPr>
          <w:rFonts w:ascii="Times New Roman" w:cs="Times New Roman" w:eastAsia="Times New Roman" w:hAnsi="Times New Roman"/>
          <w:sz w:val="18"/>
          <w:szCs w:val="18"/>
          <w:color w:val="auto"/>
        </w:rPr>
        <w:t>Except as disclosed in the Time of Sale Information or the Offering Memorandum, neither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nor any of its Subsidiaries is in violation of any statute, rule, regulation, decision or order of any governmental agency or body or any court,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and the Guarantors are not aware of any pending investigation which might lead to such a claim.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8" w:name="page19"/>
    <w:bookmarkEnd w:id="18"/>
    <w:p>
      <w:pPr>
        <w:jc w:val="both"/>
        <w:ind w:firstLine="656"/>
        <w:spacing w:after="0" w:line="252" w:lineRule="auto"/>
        <w:tabs>
          <w:tab w:leader="none" w:pos="9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Except as disclosed in the Time of Sale Information and the Offering Memorandum, the Company and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or possess or have rights to or can acquire on reasonable terms enforceable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Times New Roman" w:cs="Times New Roman" w:eastAsia="Times New Roman" w:hAnsi="Times New Roman"/>
          <w:sz w:val="18"/>
          <w:szCs w:val="18"/>
          <w:b w:val="1"/>
          <w:bCs w:val="1"/>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necessary for the conduct of their respective businesses as conducted as of the date hereof, except to the extent that the failure to own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 or have rights to or acquire adequate rights to use such Intellectual Property would not, individually or in the aggregate, reasonably be expected to have a Material Adverse Effect; the Company and its Subsidiaries have not received any written notice of any claim of infringement or conflict which asserted Intellectual Property rights of others, which infringement or conflict, if the subject of an unfavorable decision, would result in a Material Adverse Effect; there are no pending, or to the knowledge of the Company and the Guarantors, threatened judicial proceedings or interference proceedings against the Company or its Subsidiaries challenging the Company’s or any of its Subsidiaries’ rights in or to or the validity of the scope of any of the Company’s or any Subsidiaries’ patents, patent applications or proprietary information, except such proceedings that have been disclosed in writing to the Representative or would not, individually or in the aggregate, reasonably be expected to have a Material Adverse Effect; no other entity or individual has any right or claim in any of the Company’s or any of its Subsidiaries’ patents, patent applications or any patent to be issued therefrom by virtue of any contract, license or other agreement entered into between such entity or individual and the Company or any Subsidiary or by any non-contractual obligation, other than by written licenses granted by the Company or any Subsidiary except for such right or claim that would not, individually or in the aggregate, reasonably be expected to have a Material Adverse Effect; the Company and its Subsidiaries have not received any written notice of any claim challenging the rights of the Company or its Subsidiaries in or to any Intellectual Property owned, licensed or optioned by the Company or any Subsidiary which claim, if the subject of an unfavorable decision would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656"/>
        <w:spacing w:after="0" w:line="251" w:lineRule="auto"/>
        <w:tabs>
          <w:tab w:leader="none" w:pos="8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Health Care Laws. </w:t>
      </w:r>
      <w:r>
        <w:rPr>
          <w:rFonts w:ascii="Times New Roman" w:cs="Times New Roman" w:eastAsia="Times New Roman" w:hAnsi="Times New Roman"/>
          <w:sz w:val="18"/>
          <w:szCs w:val="18"/>
          <w:color w:val="auto"/>
        </w:rPr>
        <w:t>The Company and its Subsidiaries: (A) are and at all times during the last six (6) years have been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compliance with all applicable Health Care Laws (as defined below) relating to the ownership, testing, development, manufacture, compounding packaging, processing, use, distribution, marketing, labeling, promotion, sale, offer for sale, storage, import, export or disposal of any pharmaceutical or other medical product under development, manufactured, marketed, sold or distributed by the Company or its Subsidiaries; (B) have not received any Form 483 from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that remains unresolved or open, written notice of adverse finding, warning letter, or other written correspondence or notice from the FDA, the European Medicines Agency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or any other federal, state, local or foreign governmental or regulatory authority (each, a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that remains unresolved or open alleging or asserting noncompliance with any Health Care Laws or any licenses, certificates, approvals, clearances, authorizations, permits and supplements or amendments thereto required by any such applicable laws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which would, individually or in the aggregate, result in a Material Adverse Effect; (C) possess all Authorizations material to the Company and such Authorizations are valid and in full force and effect and neither the Company nor its Subsidiaries is in violation of any material term of any such Authorizations; (D) have not received notice of any claim, action, suit, proceeding, hearing, enforcement, investigation, arbitration or other action from any third party alleging that any product, operation or activity of the Company, the Guarantors or any of their respective Subsidiaries is in violation of any applicable Health Care Laws or Authorizations which would, individually or in the aggregate, result in a Material Adverse Effect, and each has no knowledge that any Regulatory Authority or third party is considering any material claim, litigation, arbitration, action, suit, investigation or proceeding against the Company, the Guarantors or any of their respective Subsidiaries; (E) have not received written notice that any Regulatory Authority has taken, is taking or, to the knowledge of the Company and the Guarantors, intends to take action to limit, suspend, modify or revoke any Authorizations material to the Company and has no knowledge that any Regulatory Authority is considering such action; (F) have filed, obtained, maintained or submitted all reports, documents, forms, notices, applications, records, claims, submissions and supplements or amendments as required by any applicable Health Care Laws or Authorizations, except where the failure to file such reports, documents, forms, notices, applications, records, claims, submissions and supplements or amendments would not result in a Material Adverse Effect, and that all such reports, documents, forms, notices, applications, records, claims, submissions and supplements or amendments were materially complete and correct on the date filed (or were corrected or supplemented by a subsequent submission); and (G) have not initiated any recalls, field notifications, field corrections, market withdrawals or replacements, warnings, “dear doctor” letters, investigator notices, safety alerts or other notice of action relating to an alleged lack of safety, efficacy, or regulatory compliance of any product marketed by the Company or any Subsidiary which would, individually or in the aggregate, result in a Material Adverse Effect.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(i) the Federal Food, Drug, and Cosmetic Act, the Public Health Service Act, the Controlled Substances Act, and the regulations promulgated thereunder; (ii) all applicable federal, state, local and all applicable foreign health care related fraud and abuse laws, including, without limitation, the U.S. Anti-Kickback Statute (42 U.S.C. Section 1320a-7b(b)), the U.S. Physician Payments Sunshine Act (42 U.S.C. § 1320a-7h), the U.S.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(“HIPAA”) (42 U.S.C. Section 1320d et seq.), the exclusion laws (42 U.S.C. § 1320a-7), the civil monetary penalties law (42 U.S.C. § 1320a-7a), the statutes, regulations and directives of applicable government funded or sponsored healthcare programs, and the regulations promulgated pursuant to such statutes; (iii) HIPAA, as amended by the Health Information Technology for Economic and Clinical Health Act (42 U.S.C. Section 17921 et seq.), and the regulations promulgated thereunder and any state or non-U.S. counterpart thereof or other law or regulation the purpose of which is to protect the privacy of individuals or prescribers; (iv) the Medicare statute (Title XVIII of the Social Security Act) and all applicable regulations promulgated thereto; (v) the Medicaid statute (Title XIX of the Social Security Act) and all applicable regulations promulgated thereto; and (vi) any and all other applicable federal or state health care laws and regulations.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9" w:name="page20"/>
    <w:bookmarkEnd w:id="19"/>
    <w:p>
      <w:pPr>
        <w:jc w:val="both"/>
        <w:ind w:firstLine="656"/>
        <w:spacing w:after="0" w:line="254" w:lineRule="auto"/>
        <w:tabs>
          <w:tab w:leader="none" w:pos="8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of Studies &amp; Trials with Health Care Laws. </w:t>
      </w:r>
      <w:r>
        <w:rPr>
          <w:rFonts w:ascii="Times New Roman" w:cs="Times New Roman" w:eastAsia="Times New Roman" w:hAnsi="Times New Roman"/>
          <w:sz w:val="18"/>
          <w:szCs w:val="18"/>
          <w:color w:val="auto"/>
        </w:rPr>
        <w:t>All clinical trials conducted by the Company or on behalf of the Company were,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still pending are, to the knowledge of the Company and the Guarantors, being conducted in all material respects in compliance with all applicable Health Care Laws and in accordance with experimental protocols, procedures and controls generally used by qualified experts in the clinical trials of drugs and biologics comparable to the Company’s products; the descriptions of the results of such clinical trials contained in the Time of Sale Information and the Offering Memorandum are accurate in all material respects, and the Company and the Guarantors have no knowledge of any other clinical trials, the results of which reasonably call into question the clinical trial results described or referred to in the Time of Sale Information and the Offering Memorandum when viewed in the context in which such results are described; and the Company has not received any written notices or correspondence from the FDA, the EMA, or any other domestic or foreign governmental agency requiring the termination or suspension of any clinical trials conducted by or on behalf of the Company or any Subsidiary that are described in the Time of Sale Information and the Offering Memorandum or the results of which are referred to in the Time of Sale Information and the Offering Memorandum.</w:t>
      </w:r>
    </w:p>
    <w:p>
      <w:pPr>
        <w:spacing w:after="0" w:line="185"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Regulatory Compliance Program. </w:t>
      </w:r>
      <w:r>
        <w:rPr>
          <w:rFonts w:ascii="Times New Roman" w:cs="Times New Roman" w:eastAsia="Times New Roman" w:hAnsi="Times New Roman"/>
          <w:sz w:val="18"/>
          <w:szCs w:val="18"/>
          <w:color w:val="auto"/>
        </w:rPr>
        <w:t>The Company has established and administers a compliance program applicable to the Company to assist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directors, officers and employees of the Company in complying with applicable Health Care Laws and other regulatory guidelines (including, without limitation, those administered by the FDA, the EMA, and any other foreign, federal, state or local governmental or regulatory authority having jurisdiction over the Company and performing functions similar to those performed by the FDA or EMA).</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and Disclosure Controls. </w:t>
      </w:r>
      <w:r>
        <w:rPr>
          <w:rFonts w:ascii="Times New Roman" w:cs="Times New Roman" w:eastAsia="Times New Roman" w:hAnsi="Times New Roman"/>
          <w:sz w:val="18"/>
          <w:szCs w:val="18"/>
          <w:color w:val="auto"/>
        </w:rPr>
        <w:t>The Company maintains a system of “internal control over financial reporting” (as defined in Rule 13a-15(f) of the Exchange Act) that has been designed by, or under the supervision of, the Company’s principal executive and principal financial officer to provide reasonable assurance regarding the reliability of financial reporting and the preparation of financial statements for external purposes in accordance with GAAP. The Company maintains a system of internal accounting and other controls (A)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and (B) which are effective in all material respects to perform the functions for which they were established. Since the end of the Company’s most recent audited fiscal year, there has been (A) no material weakness or significant deficiencies in the Company’s internal control over financial reporting (whether or not remediated), (B) no change in the Company’s internal control over financial reporting that has materially affected, or is reasonably likely to materially affect, the Company’s internal control over financial reporting, and (C) no fraud, whether or not material, that involves management or other employees who have a significant role in the Company’s internal control over financial reporting. The Company employs disclosure controls and procedures that are designed to ensure that information required to be disclosed by the Company in the reports that it files or submits under the Exchange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The Company has carried out evaluations of the effectiveness of its disclosure controls and procedures as required by Rule 13a-15 of the Exchange Act.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0" w:name="page21"/>
    <w:bookmarkEnd w:id="20"/>
    <w:p>
      <w:pPr>
        <w:jc w:val="both"/>
        <w:ind w:firstLine="656"/>
        <w:spacing w:after="0" w:line="261" w:lineRule="auto"/>
        <w:tabs>
          <w:tab w:leader="none" w:pos="90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Undisclosed Relationship. </w:t>
      </w:r>
      <w:r>
        <w:rPr>
          <w:rFonts w:ascii="Times New Roman" w:cs="Times New Roman" w:eastAsia="Times New Roman" w:hAnsi="Times New Roman"/>
          <w:sz w:val="18"/>
          <w:szCs w:val="18"/>
          <w:color w:val="auto"/>
        </w:rPr>
        <w:t>No relationship, direct or indirect, exists between or among the Company and any of its Subsidiaries,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directors, officers, stockholders (or analogous interest holders), customers or suppliers of the Company or any of its Subsidiaries or any of their affiliates, on the other hand, which is required to be described in the Time of Sale Information, the Offering Memorandum and which is not so described.</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4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Company nor any of its Subsidiaries, nor, to the knowledge of the Company, any of its directors,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agents, employees, affiliates or other person acting on their behalf is aware of or has taken any action, directly or indirectly, that has violated or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Company and its Subsidiaries have instituted and maintain policies and procedures designed to ensure, and which are reasonably expected to continue to ensure, continued compliance therewith.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laws.</w:t>
      </w:r>
    </w:p>
    <w:p>
      <w:pPr>
        <w:spacing w:after="0" w:line="185" w:lineRule="exact"/>
        <w:rPr>
          <w:rFonts w:ascii="Times New Roman" w:cs="Times New Roman" w:eastAsia="Times New Roman" w:hAnsi="Times New Roman"/>
          <w:sz w:val="18"/>
          <w:szCs w:val="18"/>
          <w:color w:val="auto"/>
        </w:rPr>
      </w:pPr>
    </w:p>
    <w:p>
      <w:pPr>
        <w:jc w:val="both"/>
        <w:ind w:firstLine="656"/>
        <w:spacing w:after="0" w:line="257" w:lineRule="auto"/>
        <w:tabs>
          <w:tab w:leader="none" w:pos="90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Anti-Money Laundering Laws. </w:t>
      </w:r>
      <w:r>
        <w:rPr>
          <w:rFonts w:ascii="Times New Roman" w:cs="Times New Roman" w:eastAsia="Times New Roman" w:hAnsi="Times New Roman"/>
          <w:sz w:val="18"/>
          <w:szCs w:val="18"/>
          <w:color w:val="auto"/>
        </w:rPr>
        <w:t>The operations of the Company and its Subsidiaries are, and have been conducted at all 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and the Guarantors, threatened.</w:t>
      </w:r>
    </w:p>
    <w:p>
      <w:pPr>
        <w:spacing w:after="0" w:line="182" w:lineRule="exact"/>
        <w:rPr>
          <w:rFonts w:ascii="Times New Roman" w:cs="Times New Roman" w:eastAsia="Times New Roman" w:hAnsi="Times New Roman"/>
          <w:sz w:val="18"/>
          <w:szCs w:val="18"/>
          <w:color w:val="auto"/>
        </w:rPr>
      </w:pPr>
    </w:p>
    <w:p>
      <w:pPr>
        <w:jc w:val="both"/>
        <w:ind w:firstLine="656"/>
        <w:spacing w:after="0" w:line="255" w:lineRule="auto"/>
        <w:tabs>
          <w:tab w:leader="none" w:pos="9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directors or officers, nor,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Guarantors, any of its employees or agents is currently (a) the subject or target of any U.S. sanctions administered by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any other applicable sanctions authority, (b) located, organized or resident in a country or territory that is the subject or target of Sanctions, including, without limitation, the Crimea, the so-called Donetsk People’s Republic, the so-called Luhansk People’s Republic, Kherson, or Zaporizhzhia regions of Ukraine, Cuba, Iran, North Korea and Syria (each, a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or</w:t>
      </w:r>
    </w:p>
    <w:p>
      <w:pPr>
        <w:jc w:val="both"/>
        <w:ind w:firstLine="8"/>
        <w:spacing w:after="0" w:line="252" w:lineRule="auto"/>
        <w:tabs>
          <w:tab w:leader="none" w:pos="2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greater owned or controlled by one or more persons set forth in (a)-(b) (collectively, “</w:t>
      </w:r>
      <w:r>
        <w:rPr>
          <w:rFonts w:ascii="Times New Roman" w:cs="Times New Roman" w:eastAsia="Times New Roman" w:hAnsi="Times New Roman"/>
          <w:sz w:val="18"/>
          <w:szCs w:val="18"/>
          <w:b w:val="1"/>
          <w:bCs w:val="1"/>
          <w:color w:val="auto"/>
        </w:rPr>
        <w:t>Sanctioned Parties</w:t>
      </w:r>
      <w:r>
        <w:rPr>
          <w:rFonts w:ascii="Times New Roman" w:cs="Times New Roman" w:eastAsia="Times New Roman" w:hAnsi="Times New Roman"/>
          <w:sz w:val="18"/>
          <w:szCs w:val="18"/>
          <w:color w:val="auto"/>
        </w:rPr>
        <w:t>”); and the Company will not directly or indirectly use the proceeds from the offering and sale of the Securities, or lend, contribute or otherwise make available such proceeds to any Subsidiary, joint venture partner or other person or entity, for the purpose of financing the activities of any Sanctioned Party, or otherwise in violation of, any U.S. sanctions administered by OFAC or any other applicable sanctions authority. Since April 24, 2019, neither the Company nor any of its Subsidiaries have engaged in, and are not now engaged in, any dealings or transactions, directly or indirectly, in violation of U.S. sanctions administered by OFAC or any other applicable sanctions authority.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1" w:name="page22"/>
    <w:bookmarkEnd w:id="21"/>
    <w:p>
      <w:pPr>
        <w:jc w:val="both"/>
        <w:ind w:firstLine="656"/>
        <w:spacing w:after="0" w:line="261" w:lineRule="auto"/>
        <w:tabs>
          <w:tab w:leader="none" w:pos="9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this Agreement) that would give rise to a valid claim against the Company or the Initial Purchasers for a brokerage commission, finder’s fee or like payment in connection with the offering and sale of the Securities or any transaction contemplated by this Agreement, the Time of Sale Information and the Offering Memorandum.</w:t>
      </w:r>
    </w:p>
    <w:p>
      <w:pPr>
        <w:spacing w:after="0" w:line="180" w:lineRule="exact"/>
        <w:rPr>
          <w:sz w:val="20"/>
          <w:szCs w:val="20"/>
          <w:color w:val="auto"/>
        </w:rPr>
      </w:pPr>
    </w:p>
    <w:p>
      <w:pPr>
        <w:jc w:val="both"/>
        <w:ind w:right="20" w:firstLine="656"/>
        <w:spacing w:after="0" w:line="267" w:lineRule="auto"/>
        <w:tabs>
          <w:tab w:leader="none" w:pos="9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contained in any of the Time of Sale Information or the Offering Memorandum has been made or reaffirmed without a reasonable basis or has been disclosed other than in good faith.</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99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Sarbanes-Oxley Act. </w:t>
      </w:r>
      <w:r>
        <w:rPr>
          <w:rFonts w:ascii="Times New Roman" w:cs="Times New Roman" w:eastAsia="Times New Roman" w:hAnsi="Times New Roman"/>
          <w:sz w:val="18"/>
          <w:szCs w:val="18"/>
          <w:color w:val="auto"/>
        </w:rPr>
        <w:t>The Company is in compliance in all material respects with all applicable provisions of the Sarbanes-Oxley Act of 2002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 applicable rules and regulations promulgated thereunder or is implementing the provisions thereof that are currently in effect.</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9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Statistical and Market Data. </w:t>
      </w:r>
      <w:r>
        <w:rPr>
          <w:rFonts w:ascii="Times New Roman" w:cs="Times New Roman" w:eastAsia="Times New Roman" w:hAnsi="Times New Roman"/>
          <w:sz w:val="18"/>
          <w:szCs w:val="18"/>
          <w:color w:val="auto"/>
        </w:rPr>
        <w:t>The statistical and market-related data included in the Time of Sale Information and the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are based on or derived from sources that the Company and the Guarantors believe to be reliable and accurate and such data agree with the sources from which they are derived.</w:t>
      </w:r>
    </w:p>
    <w:p>
      <w:pPr>
        <w:spacing w:after="0" w:line="173" w:lineRule="exact"/>
        <w:rPr>
          <w:rFonts w:ascii="Times New Roman" w:cs="Times New Roman" w:eastAsia="Times New Roman" w:hAnsi="Times New Roman"/>
          <w:sz w:val="18"/>
          <w:szCs w:val="18"/>
          <w:color w:val="auto"/>
        </w:rPr>
      </w:pPr>
    </w:p>
    <w:p>
      <w:pPr>
        <w:jc w:val="both"/>
        <w:ind w:firstLine="656"/>
        <w:spacing w:after="0" w:line="257" w:lineRule="auto"/>
        <w:tabs>
          <w:tab w:leader="none" w:pos="10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Permits and Authorizations. </w:t>
      </w:r>
      <w:r>
        <w:rPr>
          <w:rFonts w:ascii="Times New Roman" w:cs="Times New Roman" w:eastAsia="Times New Roman" w:hAnsi="Times New Roman"/>
          <w:sz w:val="18"/>
          <w:szCs w:val="18"/>
          <w:color w:val="auto"/>
        </w:rPr>
        <w:t>Except as otherwise disclosed in the Time of Sale Information and the Offering Memorandum,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Subsidiaries possesses such valid and current material licenses, certificates, authorizations or permits issued by the appropriate state, federal or foreign regulatory agencies or bodies necessary to conduct their respective businesses, and neither the Company nor any Subsidiary has received, or has any reason to believe that it will receive, any notice of proceedings relating to the revocation or modification of, or non-compliance with, any such license, certificate, authorization or permit which, individually or in the aggregate, if the subject of an unfavorable decision, ruling or finding, would reasonably be expected to result in a Material Adverse Effect.</w:t>
      </w:r>
    </w:p>
    <w:p>
      <w:pPr>
        <w:spacing w:after="0" w:line="182" w:lineRule="exact"/>
        <w:rPr>
          <w:rFonts w:ascii="Times New Roman" w:cs="Times New Roman" w:eastAsia="Times New Roman" w:hAnsi="Times New Roman"/>
          <w:sz w:val="18"/>
          <w:szCs w:val="18"/>
          <w:color w:val="auto"/>
        </w:rPr>
      </w:pPr>
    </w:p>
    <w:p>
      <w:pPr>
        <w:jc w:val="both"/>
        <w:ind w:firstLine="656"/>
        <w:spacing w:after="0" w:line="267" w:lineRule="auto"/>
        <w:tabs>
          <w:tab w:leader="none" w:pos="98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Each of the Company and its Subsidiaries has filed all material federal, state and foreign income and franchise tax returns or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properly requested extensions thereof and have paid all material taxes required to be paid by any of them and, if due and payable, any related or similar assessment, fine or penalty levied against any of them except as may be being contested in good faith and by appropriate proceedings.</w:t>
      </w:r>
    </w:p>
    <w:p>
      <w:pPr>
        <w:spacing w:after="0" w:line="173" w:lineRule="exact"/>
        <w:rPr>
          <w:rFonts w:ascii="Times New Roman" w:cs="Times New Roman" w:eastAsia="Times New Roman" w:hAnsi="Times New Roman"/>
          <w:sz w:val="18"/>
          <w:szCs w:val="18"/>
          <w:color w:val="auto"/>
        </w:rPr>
      </w:pPr>
    </w:p>
    <w:p>
      <w:pPr>
        <w:jc w:val="both"/>
        <w:ind w:firstLine="656"/>
        <w:spacing w:after="0" w:line="257" w:lineRule="auto"/>
        <w:tabs>
          <w:tab w:leader="none" w:pos="9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Except as otherwise disclosed in the Time of Sale Information and the Offering Memorandum, each of the Company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maintains insurance issued by nationally recognized insurers covering their respective properties, operations, personnel and businesses, with policies in such amounts and with such deductibles and covering such risks as the Company reasonably deems adequate. The Company and the Guarantors have no reason to believe that they or any of their respective Subsidiaries will not be able (i) to renew their existing insurance coverage as and when such policies expire or (ii) to obtain comparable coverage from similar institutions as may be necessary or appropriate to conduct its business as now conducted and at a cost that would not result in a Material Adverse Effect.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2" w:name="page23"/>
    <w:bookmarkEnd w:id="22"/>
    <w:p>
      <w:pPr>
        <w:ind w:left="1000" w:hanging="344"/>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Solicitation. </w:t>
      </w:r>
      <w:r>
        <w:rPr>
          <w:rFonts w:ascii="Times New Roman" w:cs="Times New Roman" w:eastAsia="Times New Roman" w:hAnsi="Times New Roman"/>
          <w:sz w:val="18"/>
          <w:szCs w:val="18"/>
          <w:color w:val="auto"/>
        </w:rPr>
        <w:t>None of the Company or any of its affiliates or any other person acting on its or their behalf (other than the Initial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to which no representation is made) has (i) solicited offers for, or offered or sold, the Securities by means of any form of general solicitation or general advertising within the meaning of Rule 502(c) of Regulation D or in any manner involving a public offering within the meaning of Section 4(a)(2) of the Securities Act or (ii) engaged in any directed selling efforts within the meaning of Regulation S under the Securities Act (“</w:t>
      </w:r>
      <w:r>
        <w:rPr>
          <w:rFonts w:ascii="Times New Roman" w:cs="Times New Roman" w:eastAsia="Times New Roman" w:hAnsi="Times New Roman"/>
          <w:sz w:val="18"/>
          <w:szCs w:val="18"/>
          <w:b w:val="1"/>
          <w:bCs w:val="1"/>
          <w:color w:val="auto"/>
        </w:rPr>
        <w:t>Regulation S</w:t>
      </w:r>
      <w:r>
        <w:rPr>
          <w:rFonts w:ascii="Times New Roman" w:cs="Times New Roman" w:eastAsia="Times New Roman" w:hAnsi="Times New Roman"/>
          <w:sz w:val="18"/>
          <w:szCs w:val="18"/>
          <w:color w:val="auto"/>
        </w:rPr>
        <w:t>”), and all such persons have complied with the offering restrictions requirement of Regulation S.</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Indenture. </w:t>
      </w:r>
      <w:r>
        <w:rPr>
          <w:rFonts w:ascii="Times New Roman" w:cs="Times New Roman" w:eastAsia="Times New Roman" w:hAnsi="Times New Roman"/>
          <w:sz w:val="18"/>
          <w:szCs w:val="18"/>
          <w:color w:val="auto"/>
        </w:rPr>
        <w:t>The Base Indenture has been duly authorized, executed and delivered by the Company and each of the Guarantors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constitutes a valid and legally binding agreement of the Company and each of the Guarantors enforceable against the Company and each of the Guarantors in accordance with its terms, except as enforceability may be limited by applicable bankruptcy, insolvency or similar laws affecting the enforcement of creditors’ rights generally or by equitable principles relating to enforceability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The Supplemental Indenture has been duly authorized by the Company and each of the Guarantors and on the Closing Date, will be duly executed and delivered by the Company and each of the Guarantors and, when duly executed and delivered in accordance with its terms by each of the parties thereto, will constitute a valid and legally binding agreement of the Company and each of the Guarantors enforceable against the Company and each of the Guarantors in accordance with its terms, except as enforceability may be limited by the Enforceability Exceptions.</w:t>
      </w:r>
    </w:p>
    <w:p>
      <w:pPr>
        <w:spacing w:after="0" w:line="184" w:lineRule="exact"/>
        <w:rPr>
          <w:rFonts w:ascii="Times New Roman" w:cs="Times New Roman" w:eastAsia="Times New Roman" w:hAnsi="Times New Roman"/>
          <w:sz w:val="18"/>
          <w:szCs w:val="18"/>
          <w:color w:val="auto"/>
        </w:rPr>
      </w:pPr>
    </w:p>
    <w:p>
      <w:pPr>
        <w:jc w:val="both"/>
        <w:ind w:firstLine="656"/>
        <w:spacing w:after="0" w:line="256" w:lineRule="auto"/>
        <w:tabs>
          <w:tab w:leader="none" w:pos="91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Securities and the Guarantees. </w:t>
      </w:r>
      <w:r>
        <w:rPr>
          <w:rFonts w:ascii="Times New Roman" w:cs="Times New Roman" w:eastAsia="Times New Roman" w:hAnsi="Times New Roman"/>
          <w:sz w:val="18"/>
          <w:szCs w:val="18"/>
          <w:color w:val="auto"/>
        </w:rPr>
        <w:t>The Securities have been duly authorized by the Company and, when duly executed, authenticated,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delivered as provided in the Indenture and paid for as provided herein, will be duly and validly issued and outstanding and will constitute valid and legally binding obligations of the Company enforceable against the Company in accordance with their terms, subject to the Enforceability Exceptions, and will be entitled to the benefits of the Indenture; and the Guarantees have been duly authorized by each of the Guarantors and, when the Securities have been duly executed, authenticated, issued and delivered as provided in the Indenture and paid for as provided herein, will be valid and legally binding obligations of each of the Guarantors, enforceable against each of the Guarantors in accordance with their terms, subject to the Enforceability Exceptions, and will be entitled to the benefits of the Indenture.</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9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Rule 144A Eligibility. </w:t>
      </w:r>
      <w:r>
        <w:rPr>
          <w:rFonts w:ascii="Times New Roman" w:cs="Times New Roman" w:eastAsia="Times New Roman" w:hAnsi="Times New Roman"/>
          <w:sz w:val="18"/>
          <w:szCs w:val="18"/>
          <w:color w:val="auto"/>
        </w:rPr>
        <w:t>On the Closing Date, the Securities and the Guarantees will not be of the same class as securities listed on a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exchange registered under Section 6 of the Exchange Act or quoted in an automated inter-dealer quotation system; and each of the Preliminary Offering Memorandum and the Offering Memorandum, as of its respective date, contains or will contain all the information that, if requested by a prospective purchaser of the Securities, would be required to be provided to such prospective purchaser pursuant to Rule 144A(d)(4) under the Securities Act.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3" w:name="page24"/>
    <w:bookmarkEnd w:id="23"/>
    <w:p>
      <w:pPr>
        <w:jc w:val="both"/>
        <w:ind w:firstLine="656"/>
        <w:spacing w:after="0" w:line="258" w:lineRule="auto"/>
        <w:tabs>
          <w:tab w:leader="none" w:pos="9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Securities Laws Exemptions. </w:t>
      </w:r>
      <w:r>
        <w:rPr>
          <w:rFonts w:ascii="Times New Roman" w:cs="Times New Roman" w:eastAsia="Times New Roman" w:hAnsi="Times New Roman"/>
          <w:sz w:val="18"/>
          <w:szCs w:val="18"/>
          <w:color w:val="auto"/>
        </w:rPr>
        <w:t>Assuming the accuracy of the representations and warranties of the Initial Purchasers contained in Section 1(b)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hereto) and their compliance with their agreements set forth therein, it is not necessary, in connection with the issuance and sale of the Securities to the Initial Purchasers and the offer, resale and delivery of the Securities by the Initial Purchasers in the manner contemplated by this Agreement, the Time of Sale Information and the Offering Memorandum, to register the Securities under the Securities Act or to qualify the Indenture under the Trust Indenture Act.</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0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No labor problem or dispute with the employees of the Company or its Subsidiaries exists 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Guarantors, is threatened or imminent, and neither the Company nor the Guarantors are aware of any existing or imminent labor disturbance by the employees of the Company’s, the Guarantors’ or any of its Subsidiaries’ principal suppliers, contractors or customers that would have a Material Adverse Effect, except as set forth in or contemplated in the Time of Sale Information and the Offering Memorandum (exclusive of any amendment or supplement thereto).</w:t>
      </w:r>
    </w:p>
    <w:p>
      <w:pPr>
        <w:spacing w:after="0" w:line="183" w:lineRule="exact"/>
        <w:rPr>
          <w:rFonts w:ascii="Times New Roman" w:cs="Times New Roman" w:eastAsia="Times New Roman" w:hAnsi="Times New Roman"/>
          <w:sz w:val="18"/>
          <w:szCs w:val="18"/>
          <w:color w:val="auto"/>
        </w:rPr>
      </w:pPr>
    </w:p>
    <w:p>
      <w:pPr>
        <w:jc w:val="both"/>
        <w:ind w:firstLine="656"/>
        <w:spacing w:after="0" w:line="257" w:lineRule="auto"/>
        <w:tabs>
          <w:tab w:leader="none" w:pos="9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Outbound Investment Security Program. </w:t>
      </w:r>
      <w:r>
        <w:rPr>
          <w:rFonts w:ascii="Times New Roman" w:cs="Times New Roman" w:eastAsia="Times New Roman" w:hAnsi="Times New Roman"/>
          <w:sz w:val="18"/>
          <w:szCs w:val="18"/>
          <w:color w:val="auto"/>
        </w:rPr>
        <w:t>The Company and its Subsidiaries either are (i) not a “person of a country of concern”; or (ii)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engaged in any “covered activity,” as these terms are defined in 31 C.F.R. Part 850, as implemented or revised from time to time (the “</w:t>
      </w:r>
      <w:r>
        <w:rPr>
          <w:rFonts w:ascii="Times New Roman" w:cs="Times New Roman" w:eastAsia="Times New Roman" w:hAnsi="Times New Roman"/>
          <w:sz w:val="18"/>
          <w:szCs w:val="18"/>
          <w:b w:val="1"/>
          <w:bCs w:val="1"/>
          <w:color w:val="auto"/>
        </w:rPr>
        <w:t>Outbound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Investment Security Program</w:t>
      </w:r>
      <w:r>
        <w:rPr>
          <w:rFonts w:ascii="Times New Roman" w:cs="Times New Roman" w:eastAsia="Times New Roman" w:hAnsi="Times New Roman"/>
          <w:sz w:val="18"/>
          <w:szCs w:val="18"/>
          <w:color w:val="auto"/>
        </w:rPr>
        <w:t>”). The Company and its Subsidiaries have no intention of becoming a “person of a country of concern” that engages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activity.” Each of the Company and its Subsidiaries is not a person that directly or indirectly holds a board seat on, a voting or equity interest in, or any contractual power to direct or cause the direction of the management of policies of any “covered foreign person” (as defined in the Outbound Investment Security Program).</w:t>
      </w:r>
    </w:p>
    <w:p>
      <w:pPr>
        <w:spacing w:after="0" w:line="182" w:lineRule="exact"/>
        <w:rPr>
          <w:rFonts w:ascii="Times New Roman" w:cs="Times New Roman" w:eastAsia="Times New Roman" w:hAnsi="Times New Roman"/>
          <w:sz w:val="18"/>
          <w:szCs w:val="18"/>
          <w:color w:val="auto"/>
        </w:rPr>
      </w:pPr>
    </w:p>
    <w:p>
      <w:pPr>
        <w:jc w:val="both"/>
        <w:ind w:firstLine="656"/>
        <w:spacing w:after="0" w:line="267" w:lineRule="auto"/>
        <w:tabs>
          <w:tab w:leader="none" w:pos="9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Restrictions on Guarantors. </w:t>
      </w:r>
      <w:r>
        <w:rPr>
          <w:rFonts w:ascii="Times New Roman" w:cs="Times New Roman" w:eastAsia="Times New Roman" w:hAnsi="Times New Roman"/>
          <w:sz w:val="18"/>
          <w:szCs w:val="18"/>
          <w:color w:val="auto"/>
        </w:rPr>
        <w:t>No Guarantor is currently prohibited, directly or indirectly, from paying any dividends to the Company,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making any other distribution on such Guarantor’s capital stock or membership or other interests, from repaying to the Company any loans or advances to such Guarantor from the Company or from transferring any of such Guarantor’s property or assets to the Company or any Guarantor.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4" w:name="page25"/>
    <w:bookmarkEnd w:id="24"/>
    <w:p>
      <w:pPr>
        <w:jc w:val="both"/>
        <w:ind w:firstLine="656"/>
        <w:spacing w:after="0" w:line="252" w:lineRule="auto"/>
        <w:tabs>
          <w:tab w:leader="none" w:pos="9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ERISA. </w:t>
      </w:r>
      <w:r>
        <w:rPr>
          <w:rFonts w:ascii="Times New Roman" w:cs="Times New Roman" w:eastAsia="Times New Roman" w:hAnsi="Times New Roman"/>
          <w:sz w:val="18"/>
          <w:szCs w:val="18"/>
          <w:color w:val="auto"/>
        </w:rPr>
        <w:t>None of the following events has occurred or exists: (i) a failure to fulfill the obligations, if any, under the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funding standards of Section 302 of the United States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and the regulations and published interpretations thereunder with respect to a Plan,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the Company or any of its Subsidiaries that would reasonably be expected to have a Material Adverse Effect; (iii) any breach of any contractual obligation, or any violation of law or applicable qualification standards, with respect to the employment or compensation of employees by the Company or any of its Subsidiaries that would reasonably be expected to have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other than as a result of the growth in the number of employees;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to have a Material Adverse Effect. For purposes of this paragraph, the term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 plan (within the meaning of Section 3(3) of ERISA) subject to Title IV of ERISA with respect to which the Company or any of its Subsidiaries may have any liability.</w:t>
      </w:r>
    </w:p>
    <w:p>
      <w:pPr>
        <w:spacing w:after="0" w:line="193" w:lineRule="exact"/>
        <w:rPr>
          <w:rFonts w:ascii="Times New Roman" w:cs="Times New Roman" w:eastAsia="Times New Roman" w:hAnsi="Times New Roman"/>
          <w:sz w:val="18"/>
          <w:szCs w:val="18"/>
          <w:color w:val="auto"/>
        </w:rPr>
      </w:pPr>
    </w:p>
    <w:p>
      <w:pPr>
        <w:jc w:val="both"/>
        <w:ind w:firstLine="656"/>
        <w:spacing w:after="0" w:line="253" w:lineRule="auto"/>
        <w:tabs>
          <w:tab w:leader="none" w:pos="100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Data Protection. </w:t>
      </w:r>
      <w:r>
        <w:rPr>
          <w:rFonts w:ascii="Times New Roman" w:cs="Times New Roman" w:eastAsia="Times New Roman" w:hAnsi="Times New Roman"/>
          <w:sz w:val="18"/>
          <w:szCs w:val="18"/>
          <w:color w:val="auto"/>
        </w:rPr>
        <w:t>The Company’s and its Subsidiaries’ information technology assets and equipment, computers,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reasonably adequate in all material respects for the operation of the business of the Company and its Subsidiaries as currently conducted, and, to the knowledge of the Company and the Guarantors, are free and clear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used in connection with their businesses, and, except as would not reasonably be expected to have a Material Adverse Effect, to the knowledge of the Company and the Guarantors,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Solvency. </w:t>
      </w:r>
      <w:r>
        <w:rPr>
          <w:rFonts w:ascii="Times New Roman" w:cs="Times New Roman" w:eastAsia="Times New Roman" w:hAnsi="Times New Roman"/>
          <w:sz w:val="18"/>
          <w:szCs w:val="18"/>
          <w:color w:val="auto"/>
        </w:rPr>
        <w:t>On the date hereof and on and immediately after the Closing Date, the Company and each Guarantor (after giving effect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and sale of the Securities, the issuance of the Guarantees and the other transactions related thereto as described in each of the Time of Sale Information and the Offering Memorandum) will be Solvent. As used in this paragraph, the term “</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a particular date and entity, that on such date (i) the fair value (and present fair saleable value) of the assets of such entity is not less than the total amount required to pay the probable liability of such entity on its total existing debts and liabilities (including contingent liabilities) as they become absolute and matured; (ii) such entity is able to realize upon its assets and pay its debts and other liabilities, contingent obligations and commitments as they mature and become due in the normal course of business; (iii) assuming consummation of the issuance and sale of the Securities and the issuance of the Guarantees as contemplated by this Agreement, the Time of Sale Information and the Offering Memorandum, such entity does not have, intend to incur or believe that it will incur debts or liabilities beyond its ability to pay as such debts and liabilities mature; (iv) such entity is not engaged in any business or transaction, and does not propose to engage in any business or transaction, for which its property would constitute unreasonably small capital; and (v) such entity is not a defendant in any civil action that would result in a judgment that such entity is or would become unable to satisfy.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5" w:name="page26"/>
    <w:bookmarkEnd w:id="25"/>
    <w:p>
      <w:pPr>
        <w:jc w:val="both"/>
        <w:ind w:firstLine="656"/>
        <w:spacing w:after="0" w:line="267" w:lineRule="auto"/>
        <w:tabs>
          <w:tab w:leader="none" w:pos="95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Certificates. </w:t>
      </w:r>
      <w:r>
        <w:rPr>
          <w:rFonts w:ascii="Times New Roman" w:cs="Times New Roman" w:eastAsia="Times New Roman" w:hAnsi="Times New Roman"/>
          <w:sz w:val="18"/>
          <w:szCs w:val="18"/>
          <w:color w:val="auto"/>
        </w:rPr>
        <w:t>Any certificate signed by or on behalf of the Company or the Guarantors and delivered to the Representative or to counsel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Purchasers shall be deemed to be a representation and warranty by the Company and/or the Guarantors to the Initial Purchasers as to the matters covered thereby.</w:t>
      </w:r>
    </w:p>
    <w:p>
      <w:pPr>
        <w:spacing w:after="0" w:line="175" w:lineRule="exact"/>
        <w:rPr>
          <w:sz w:val="20"/>
          <w:szCs w:val="20"/>
          <w:color w:val="auto"/>
        </w:rPr>
      </w:pPr>
    </w:p>
    <w:p>
      <w:pPr>
        <w:ind w:firstLine="656"/>
        <w:spacing w:after="0" w:line="282" w:lineRule="auto"/>
        <w:tabs>
          <w:tab w:leader="none" w:pos="8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Agreements of the Company and the Guarantors</w:t>
      </w:r>
      <w:r>
        <w:rPr>
          <w:rFonts w:ascii="Times New Roman" w:cs="Times New Roman" w:eastAsia="Times New Roman" w:hAnsi="Times New Roman"/>
          <w:sz w:val="18"/>
          <w:szCs w:val="18"/>
          <w:color w:val="auto"/>
        </w:rPr>
        <w:t>. The Company and the Guarantors jointly and severally covenant and agree with each Initial Purchaser that:</w:t>
      </w:r>
    </w:p>
    <w:p>
      <w:pPr>
        <w:spacing w:after="0" w:line="160" w:lineRule="exact"/>
        <w:rPr>
          <w:sz w:val="20"/>
          <w:szCs w:val="20"/>
          <w:color w:val="auto"/>
        </w:rPr>
      </w:pPr>
    </w:p>
    <w:p>
      <w:pPr>
        <w:jc w:val="both"/>
        <w:ind w:firstLine="656"/>
        <w:spacing w:after="0" w:line="267" w:lineRule="auto"/>
        <w:tabs>
          <w:tab w:leader="none" w:pos="93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The Company will deliver, without charge, to the Initial Purchasers as many copies of the Preliminary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any other Time of Sale Information, any Issuer Written Communication and the Offering Memorandum (including all amendments and supplements thereto) as the Representative may reasonably request.</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Offering Memorandum, Amendments or Supplements. </w:t>
      </w:r>
      <w:r>
        <w:rPr>
          <w:rFonts w:ascii="Times New Roman" w:cs="Times New Roman" w:eastAsia="Times New Roman" w:hAnsi="Times New Roman"/>
          <w:sz w:val="18"/>
          <w:szCs w:val="18"/>
          <w:color w:val="auto"/>
        </w:rPr>
        <w:t>Before finalizing the Offering Memorandum or making or distributing any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supplement to any of the Time of Sale Information or the Offering Memorandum or filing with the Commission any document, the Company will furnish to the Representative and counsel for the Initial Purchasers a copy of the proposed Offering Memorandum or such amendment or supplement or document for review, and will not distribute any such proposed Offering Memorandum, amendment or supplement or file any such document with the Commission to which the Representative reasonably objects.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Written Communications. </w:t>
      </w:r>
      <w:r>
        <w:rPr>
          <w:rFonts w:ascii="Times New Roman" w:cs="Times New Roman" w:eastAsia="Times New Roman" w:hAnsi="Times New Roman"/>
          <w:sz w:val="18"/>
          <w:szCs w:val="18"/>
          <w:color w:val="auto"/>
        </w:rPr>
        <w:t>Before making, preparing, using, authorizing, approving or referring to any Issuer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 the Company and the Guarantors will furnish to the Representative and counsel for the Initial Purchasers a copy of such written communication for review and will not make, prepare, use, authorize, approve or refer to any such written communication to which the Representative reasonably objects.</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 </w:t>
      </w:r>
      <w:r>
        <w:rPr>
          <w:rFonts w:ascii="Times New Roman" w:cs="Times New Roman" w:eastAsia="Times New Roman" w:hAnsi="Times New Roman"/>
          <w:sz w:val="18"/>
          <w:szCs w:val="18"/>
          <w:color w:val="auto"/>
        </w:rPr>
        <w:t>The Company will advise the Representative promptly, and confirm such advice in writing, (i) of the issuance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governmental or regulatory authority of any order preventing or suspending the use of any of the Time of Sale Information, any Issuer Written Communication or the Offering Memorandum or the initiation or threatening of any proceeding for that purpose; (ii) of the occurrence of any event at any time prior to the completion of the initial offering of the Securities as a result of which any of the Time of Sale Information, any Issuer Written Communication or the Offering Memorandum as then amended or supplemented would include any untrue statement of a material fact or omit to state a material fact necessary in order to make the statements therein, in the light of the circumstances existing when such Time of Sale Information, Issuer Written Communication or the Offering Memorandum is delivered to a purchaser, not misleading; and (iii)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preventing or suspending the use of any of the Time of Sale Information, any Issuer Written Communication or the Offering Memorandum or suspending any such qualification of the Securities and, if any such order is issued, will use its reasonable best efforts to obtain as soon as possible the withdrawal thereof.</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6" w:name="page27"/>
    <w:bookmarkEnd w:id="26"/>
    <w:p>
      <w:pPr>
        <w:jc w:val="both"/>
        <w:ind w:firstLine="656"/>
        <w:spacing w:after="0" w:line="255" w:lineRule="auto"/>
        <w:tabs>
          <w:tab w:leader="none" w:pos="89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Time of Sale Information. </w:t>
      </w:r>
      <w:r>
        <w:rPr>
          <w:rFonts w:ascii="Times New Roman" w:cs="Times New Roman" w:eastAsia="Times New Roman" w:hAnsi="Times New Roman"/>
          <w:sz w:val="18"/>
          <w:szCs w:val="18"/>
          <w:color w:val="auto"/>
        </w:rPr>
        <w:t>If at any time prior to the Closing Date (i) any event shall occur or condition shall exist as a result of which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promptly notify the Initial Purchasers thereof and forthwith prepare and, subject to paragraph (b) above, furnish to the Initial Purchasers such amendments or supplements to the Time of Sale Information (or any document to be filed with the Commission) as may be necessary so that the statements in any of the Time of Sale Information as so amended or supplemented will not, in the light of the circumstances under which they were made, be misleading or so that any of the Time of Sale Information will comply with law.</w:t>
      </w:r>
    </w:p>
    <w:p>
      <w:pPr>
        <w:spacing w:after="0" w:line="184" w:lineRule="exact"/>
        <w:rPr>
          <w:rFonts w:ascii="Times New Roman" w:cs="Times New Roman" w:eastAsia="Times New Roman" w:hAnsi="Times New Roman"/>
          <w:sz w:val="18"/>
          <w:szCs w:val="18"/>
          <w:color w:val="auto"/>
        </w:rPr>
      </w:pPr>
    </w:p>
    <w:p>
      <w:pPr>
        <w:jc w:val="both"/>
        <w:ind w:firstLine="656"/>
        <w:spacing w:after="0" w:line="255" w:lineRule="auto"/>
        <w:tabs>
          <w:tab w:leader="none" w:pos="87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If at any time prior to the completion of the initial offering of the Securities (i) any event shall occur or condition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as a result of which the Offering Memorandum as then amended or supplemented would include any untrue statement of a material fact or omit to state any material fact necessary in order to make the statements therein, in the light of the circumstances existing when the Offering Memorandum is delivered to a purchaser, not misleading or (ii) it is necessary to amend or supplement the Offering Memorandum to comply with law, the Company will promptly notify the Initial Purchasers thereof and forthwith prepare and, subject to paragraph (b) above, furnish to the Initial Purchasers such amendments or supplements to the Offering Memorandum (or any document to be filed with the Commission) as may be necessary so that the statements in the Offering Memorandum as so amended or supplemented will not, in the light of the circumstances existing when the Offering Memorandum is delivered to a purchaser, be misleading or so that the Offering Memorandum will comply with law.</w:t>
      </w:r>
    </w:p>
    <w:p>
      <w:pPr>
        <w:spacing w:after="0" w:line="184"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qualify the Securities for offer and sale under the securities or Blue Sky laws of such jurisdictions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Representative shall reasonably request and will continue such qualifications in effect so long as required for the offering and resale of the Securities;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neither the Company nor any Guarantor shall be required to (i) qualify as a foreign corporation or other entity or as a dealer in securities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such jurisdiction where it would not otherwise be required to so qualify, (ii) file any general consent to service of process in any such jurisdiction or</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itself to taxation in any such jurisdiction if it is not otherwise so subject.</w:t>
      </w:r>
    </w:p>
    <w:p>
      <w:pPr>
        <w:spacing w:after="0" w:line="204"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During the period from the date hereof through and including the date that is 90 days after the date hereof,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Guarantors will not, without the prior written consent of the Representative, directly or indirectly, issue, sell, offer to, contract or grant any option to sell, pledge, transfer or otherwise dispose of, any debt securities or securities exchangeable for or convertible into debt securities, in each case, that have a tenor of more than one year.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7" w:name="page28"/>
    <w:bookmarkEnd w:id="27"/>
    <w:p>
      <w:pPr>
        <w:ind w:right="20" w:firstLine="656"/>
        <w:spacing w:after="0" w:line="284" w:lineRule="auto"/>
        <w:tabs>
          <w:tab w:leader="none" w:pos="8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will apply the net proceeds from the sale of the Securities as described in each of the Time of Sale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Offering Memorandum under the heading “Use of Proceeds.”</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Supplying Information. </w:t>
      </w:r>
      <w:r>
        <w:rPr>
          <w:rFonts w:ascii="Times New Roman" w:cs="Times New Roman" w:eastAsia="Times New Roman" w:hAnsi="Times New Roman"/>
          <w:sz w:val="18"/>
          <w:szCs w:val="18"/>
          <w:color w:val="auto"/>
        </w:rPr>
        <w:t>While the Securities remain outstanding and are “restricted securities” within the meaning of Rule 144(a)(3)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the Company and each of the Guarantors will, during any period in which the Company is not subject to and in compliance with Section 13 or 15(d) of the Exchange Act, furnish to holders of the Securities and prospective purchasers of the Securities designated by such holders, upon the request of such holders or such prospective purchasers, the information required to be delivered pursuant to Rule 144A(d)(4) under the Securities Act.</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DTC. </w:t>
      </w:r>
      <w:r>
        <w:rPr>
          <w:rFonts w:ascii="Times New Roman" w:cs="Times New Roman" w:eastAsia="Times New Roman" w:hAnsi="Times New Roman"/>
          <w:sz w:val="18"/>
          <w:szCs w:val="18"/>
          <w:color w:val="auto"/>
        </w:rPr>
        <w:t>The Company will assist the Initial Purchasers in arranging for the Securities to be eligible for clearance and settlement through DTC.</w:t>
      </w:r>
    </w:p>
    <w:p>
      <w:pPr>
        <w:spacing w:after="0" w:line="225" w:lineRule="exact"/>
        <w:rPr>
          <w:rFonts w:ascii="Times New Roman" w:cs="Times New Roman" w:eastAsia="Times New Roman" w:hAnsi="Times New Roman"/>
          <w:sz w:val="18"/>
          <w:szCs w:val="18"/>
          <w:color w:val="auto"/>
        </w:rPr>
      </w:pPr>
    </w:p>
    <w:p>
      <w:pPr>
        <w:jc w:val="both"/>
        <w:ind w:firstLine="656"/>
        <w:spacing w:after="0" w:line="267" w:lineRule="auto"/>
        <w:tabs>
          <w:tab w:leader="none" w:pos="87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Resales by the Company. </w:t>
      </w:r>
      <w:r>
        <w:rPr>
          <w:rFonts w:ascii="Times New Roman" w:cs="Times New Roman" w:eastAsia="Times New Roman" w:hAnsi="Times New Roman"/>
          <w:sz w:val="18"/>
          <w:szCs w:val="18"/>
          <w:color w:val="auto"/>
        </w:rPr>
        <w:t>The Company will not, and will not permit any of its affiliates (as defined in Rule 144) to, resell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have been acquired by any of them, except for Securities purchased by the Company or any of its affiliates and resold in a transaction registered under the Securities Act.</w:t>
      </w:r>
    </w:p>
    <w:p>
      <w:pPr>
        <w:spacing w:after="0" w:line="173" w:lineRule="exact"/>
        <w:rPr>
          <w:rFonts w:ascii="Times New Roman" w:cs="Times New Roman" w:eastAsia="Times New Roman" w:hAnsi="Times New Roman"/>
          <w:sz w:val="18"/>
          <w:szCs w:val="18"/>
          <w:color w:val="auto"/>
        </w:rPr>
      </w:pPr>
    </w:p>
    <w:p>
      <w:pPr>
        <w:jc w:val="both"/>
        <w:ind w:right="20" w:firstLine="656"/>
        <w:spacing w:after="0" w:line="267" w:lineRule="auto"/>
        <w:tabs>
          <w:tab w:leader="none" w:pos="95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Integration. </w:t>
      </w:r>
      <w:r>
        <w:rPr>
          <w:rFonts w:ascii="Times New Roman" w:cs="Times New Roman" w:eastAsia="Times New Roman" w:hAnsi="Times New Roman"/>
          <w:sz w:val="18"/>
          <w:szCs w:val="18"/>
          <w:color w:val="auto"/>
        </w:rPr>
        <w:t>Neither the Company nor any of its affiliates (as defined in Rule 501(b) of Regulation D) will, directly or through any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offer for sale, solicit offers to buy or otherwise negotiate in respect of, any security (as defined in the Securities Act), that is or will be integrated with the sale of the Securities in a manner that would require registration of the Securities under the Securities Act.</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General Solicitation or Directed Selling Efforts. </w:t>
      </w:r>
      <w:r>
        <w:rPr>
          <w:rFonts w:ascii="Times New Roman" w:cs="Times New Roman" w:eastAsia="Times New Roman" w:hAnsi="Times New Roman"/>
          <w:sz w:val="18"/>
          <w:szCs w:val="18"/>
          <w:color w:val="auto"/>
        </w:rPr>
        <w:t>None of the Company or any of its affiliates or any other person acting on its or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(other than the Initial Purchasers, as to which no covenant is given) will (i) solicit offers for, or offer or sell, the Securities by means of any form of general solicitation or general advertising within the meaning of Rule 502(c) of Regulation D or in any manner involving a public offering within the meaning of Section 4(a)(2) of the Securities Act or (ii) engage in any directed selling efforts within the meaning of Regulation S, and all such persons will comply with the offering restrictions requirement of Regulation S.</w:t>
      </w:r>
    </w:p>
    <w:p>
      <w:pPr>
        <w:spacing w:after="0" w:line="183" w:lineRule="exact"/>
        <w:rPr>
          <w:rFonts w:ascii="Times New Roman" w:cs="Times New Roman" w:eastAsia="Times New Roman" w:hAnsi="Times New Roman"/>
          <w:sz w:val="18"/>
          <w:szCs w:val="18"/>
          <w:color w:val="auto"/>
        </w:rPr>
      </w:pPr>
    </w:p>
    <w:p>
      <w:pPr>
        <w:ind w:firstLine="656"/>
        <w:spacing w:after="0" w:line="284" w:lineRule="auto"/>
        <w:tabs>
          <w:tab w:leader="none" w:pos="9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any of the Guarantors will take, directly or indirectly, any action designed to or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any stabilization or manipulation of the price of the Securities.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8" w:name="page29"/>
    <w:bookmarkEnd w:id="28"/>
    <w:p>
      <w:pPr>
        <w:jc w:val="both"/>
        <w:ind w:firstLine="656"/>
        <w:spacing w:after="0" w:line="254" w:lineRule="auto"/>
        <w:tabs>
          <w:tab w:leader="none" w:pos="8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Initial Purchasers</w:t>
      </w:r>
      <w:r>
        <w:rPr>
          <w:rFonts w:ascii="Times New Roman" w:cs="Times New Roman" w:eastAsia="Times New Roman" w:hAnsi="Times New Roman"/>
          <w:sz w:val="18"/>
          <w:szCs w:val="18"/>
          <w:color w:val="auto"/>
        </w:rPr>
        <w:t xml:space="preserve">. Each Initial Purchaser hereby represents and agrees that it has not and will not use, authorize use of, refer to, or participate in the planning for use of, any written communication that constitutes an offer to sell or the solicitation of an offer to buy the Securities other than (i) the Preliminary Offering Memorandum and the Offering Memorandum, (ii) any written communication that contains either (a) no “issuer information” (as defined in Rule 433(h)(2) under the Securities Act) or (b) “issuer information” that was included in the Time of Sale Information or the Offering Memorandum, (iii) any written communication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or prepared pursuant to Section 4(c) (including any electronic road show) above, (iv) any written communication prepared by such Initial Purchaser and approved by the Company and the Representative in advance in writing, (v) any written communication relating to or that contains the terms of the Securities and/or other information that was included in the Time of Sale Information or the Offering Memorandum or (vi) any written communication relating to or that contains the preliminary or final terms of the Securities or their offering and/or other information that was included in the Time of Sale Information or the Offering Memorandum.</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Initial Purchasers’ Obligations.</w:t>
      </w:r>
      <w:r>
        <w:rPr>
          <w:rFonts w:ascii="Times New Roman" w:cs="Times New Roman" w:eastAsia="Times New Roman" w:hAnsi="Times New Roman"/>
          <w:sz w:val="18"/>
          <w:szCs w:val="18"/>
          <w:color w:val="auto"/>
        </w:rPr>
        <w:t xml:space="preserve"> The obligation of each Initial Purchaser, and the closing of the sale of the Securities, are subject to the accuracy, when made and as of the date hereof and at the Closing Date, of the representations and warranties of the Company and the Guarantors contained herein, to the accuracy of the statements of the Company, the Guarantors and their respective officers made in any certificates pursuant to the provisions hereof, to the performance by the Company and the Guarantors, in all material respects, of its obligations hereunder, and to each of the following additional terms and conditions:</w:t>
      </w:r>
    </w:p>
    <w:p>
      <w:pPr>
        <w:spacing w:after="0" w:line="181" w:lineRule="exact"/>
        <w:rPr>
          <w:sz w:val="20"/>
          <w:szCs w:val="20"/>
          <w:color w:val="auto"/>
        </w:rPr>
      </w:pPr>
    </w:p>
    <w:p>
      <w:pPr>
        <w:jc w:val="both"/>
        <w:ind w:firstLine="656"/>
        <w:spacing w:after="0" w:line="257" w:lineRule="auto"/>
        <w:tabs>
          <w:tab w:leader="none" w:pos="89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Downgrade. </w:t>
      </w:r>
      <w:r>
        <w:rPr>
          <w:rFonts w:ascii="Times New Roman" w:cs="Times New Roman" w:eastAsia="Times New Roman" w:hAnsi="Times New Roman"/>
          <w:sz w:val="18"/>
          <w:szCs w:val="18"/>
          <w:color w:val="auto"/>
        </w:rPr>
        <w:t>Subsequent to the earlier of (A) the Time of Sale and (B) the execution and delivery of this Agreement, (i) no downgrading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occurred in the rating accorded the Securities or any other debt securities or preferred stock issued or guaranteed by the Company or any of the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the Securities or of any other debt securities or preferred stock issued or guaranteed by the Company or any of its Subsidiaries (other than an announcement with positive implications of a possible upgrading).</w:t>
      </w:r>
    </w:p>
    <w:p>
      <w:pPr>
        <w:spacing w:after="0" w:line="182" w:lineRule="exact"/>
        <w:rPr>
          <w:rFonts w:ascii="Times New Roman" w:cs="Times New Roman" w:eastAsia="Times New Roman" w:hAnsi="Times New Roman"/>
          <w:sz w:val="18"/>
          <w:szCs w:val="18"/>
          <w:color w:val="auto"/>
        </w:rPr>
      </w:pPr>
    </w:p>
    <w:p>
      <w:pPr>
        <w:jc w:val="both"/>
        <w:ind w:firstLine="656"/>
        <w:spacing w:after="0" w:line="254" w:lineRule="auto"/>
        <w:tabs>
          <w:tab w:leader="none" w:pos="93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Since the date of the latest audited financial statements with respect to the Company and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Time of Sale Information and the Offering Memorandum as of the date hereof, (i) none of the Company, its Subsidiaries, nor the Guarantors shall have sustained any loss or interference with its business from fire, explosion, flood or other calamity, whether or not covered by insurance, or from any labor dispute or court or governmental action, order or decree, otherwise than as set forth in the Time of Sale Information and the Offering Memorandum and (ii) there shall not have been any change in the capital stock of the Company or any change in the long-term debt of the Company, any of its Subsidiaries or the Guarantors, taken as a whole, or any change or any development in or affecting the business, general affairs, management, financial position, stockholders’ equity or results of operations of the Company, any of its Subsidiaries and the Guarantors, taken as a whole, otherwise than as set forth in the Time of Sale Information and the Offering Memorandum, the effect of which, in any such case described in clause (i) or (ii) of this Section 6(b), would result in a Material Adverse Effect.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firstLine="656"/>
        <w:spacing w:after="0" w:line="253" w:lineRule="auto"/>
        <w:tabs>
          <w:tab w:leader="none" w:pos="9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The Company shall have furnished to the Representative a certificate, dated the Closing Date, of its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and its Chief Financial Officer (i) confirming that such officer has carefully reviewed the Time of Sale Information and the Offering Memorandum and, to the best knowledge of such officer, the representations set forth in Sections 3(a) and 3(b) hereof are true and correct, (ii) to the best of their knowledge after reasonable investigation, as of such date, the representations and warranties of the Company in this Agreement are true and correct, except for inaccuracies that would not result in a Material Adverse Effect, and the Company has complied, in all material respects, with all agreements and satisfied all conditions on its part to be performed or satisfied hereunder at or prior to such date, and (iii) there has not been, subsequent to the date of the most recent audited financial statements included in the Time of Sale Information or the Offering Memorandum, any material adverse change in the financial position or results of operations of the Company, the Guarantors and their respective Subsidiaries, taken as a whole, or any change or development that, individually or in the aggregate, would reasonably be expected to involve a material adverse change in or affecting the condition (financial or otherwise), results of operations, business or assets of the Company, the Guarantors and their respective Subsidiaries, taken as a whole, except as set forth in the Time of Sale Information and the Offering Memorandum.</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The Representative shall have received from (i) Deloitte &amp; Touche LLP; (ii) Crowe LLP; and (iii) KMJ Corbin &amp;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LLP letters dated, respectively, the date hereof and the Closing Date, in form and substance reasonably satisfactory to the Representative containing statements and information of the type ordinarily included in accountants’ “comfort letters” to initial purchasers with respect to the financial statements and certain financial information contained in each of the Time of Sale Information and the Offering Memorandum;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letter delivered on the Closing Date shall use a “cut-off” date no more than three business days prior to the Closing Date.</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Opinions and Negative Assurance Letter of Counsel for the Company and the Guarantors. </w:t>
      </w:r>
      <w:r>
        <w:rPr>
          <w:rFonts w:ascii="Times New Roman" w:cs="Times New Roman" w:eastAsia="Times New Roman" w:hAnsi="Times New Roman"/>
          <w:sz w:val="18"/>
          <w:szCs w:val="18"/>
          <w:color w:val="auto"/>
        </w:rPr>
        <w:t>The Representative shall have received (i)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and negative assurance letter of Holland &amp; Knight LLP, counsel for the Company and the Guarantors and (ii) an opinion of Polsinelli PC, intellectual property counsel for the Company and the Guarantors, dated the Closing Date, consistent in form and substance with the opinion and negative assurance letter delivered in connection with the issuance of the Existing Securities, and covering such matters as the Representative shall reasonably request.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8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Negative Assurance Letter of Counsel for the Initial Purchasers. </w:t>
      </w:r>
      <w:r>
        <w:rPr>
          <w:rFonts w:ascii="Times New Roman" w:cs="Times New Roman" w:eastAsia="Times New Roman" w:hAnsi="Times New Roman"/>
          <w:sz w:val="18"/>
          <w:szCs w:val="18"/>
          <w:color w:val="auto"/>
        </w:rPr>
        <w:t>The Representative shall have received an opinion and negative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assurance letter of Goodwin Procter LLP, counsel for the Initial Purchasers, dated as of the Closing Date, consistent in form and substance with the opinion and negative assurance letter delivered in connection with the issuance of the Existing Securities, and and covering such matters as the Representative shall reasonably request.</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9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CFO Certificate</w:t>
      </w:r>
      <w:r>
        <w:rPr>
          <w:rFonts w:ascii="Times New Roman" w:cs="Times New Roman" w:eastAsia="Times New Roman" w:hAnsi="Times New Roman"/>
          <w:sz w:val="18"/>
          <w:szCs w:val="18"/>
          <w:color w:val="auto"/>
        </w:rPr>
        <w:t>. On the date hereof and on the Closing Date, the Representative shall have received a certificate of the Company’s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with respect to certain financial data contained in the Time of Sale Information, the Offering Memorandum and investor presentation providing “management comfort” with respect to such information, in form and substance reasonably satisfactory to the Representative.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0" w:name="page31"/>
    <w:bookmarkEnd w:id="30"/>
    <w:p>
      <w:pPr>
        <w:jc w:val="both"/>
        <w:ind w:firstLine="656"/>
        <w:spacing w:after="0" w:line="258" w:lineRule="auto"/>
        <w:tabs>
          <w:tab w:leader="none" w:pos="9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law, statute, rule, regulation or order shall have been enacted,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issued by any governmental agency or body which would prevent the issuance or sale of the Securities or the issuance of the Guarantees or result in a Material Adverse Effect; and no injunction, restraining order or order of any other nature by any United States federal or state court of competent jurisdiction shall have been issued which would prevent the issuance or sale of the Securities or the issuance of the Guarantees or result in a Material Adverse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8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Conditions. </w:t>
      </w:r>
      <w:r>
        <w:rPr>
          <w:rFonts w:ascii="Times New Roman" w:cs="Times New Roman" w:eastAsia="Times New Roman" w:hAnsi="Times New Roman"/>
          <w:sz w:val="18"/>
          <w:szCs w:val="18"/>
          <w:color w:val="auto"/>
        </w:rPr>
        <w:t>Subsequent to the execution and delivery of this Agreement there shall not have occurred any of the following: (i)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securities generally on the New York Stock Exchange or the Nasdaq Stock Market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Commission, by such exchange or market or by any other regulatory body or governmental authority having jurisdiction; (ii) a banking moratorium shall have been declared by United States federal or state authorities or a material disruption has occurred in commercial banking or securities settlement or clearance services in the United States; (iii) the United States shall have become engaged in hostilities, or the subject of an act of terrorism, or there shall have been an outbreak of or escalation in hostilities involving the United States, or there shall have been a declaration of a national emergency or war by the United States; (iv) if there has been, in the judgment of the Representative, since the time of execution of this Agreement or since the respective dates as of which information is given in the Time of Sale Information and the Offering Memorandum, any material adverse change in the condition, financial or otherwise, or in the earnings, business affairs or business prospects of the Company and its Subsidiaries, considered as one enterprise, whether or not arising in the ordinary course of business, or (v) there shall have occurred such a material adverse change in general economic, political or financial conditions (or the effect of international conditions on the financial markets in the United States shall be such) as to make it, in the reasonable judgment of the Representative, impracticable or inadvisable to proceed with the sale or delivery of the Securities on the terms and in the manner contemplated in the Time of Sale Information and the Offering Memorandum.</w:t>
      </w:r>
    </w:p>
    <w:p>
      <w:pPr>
        <w:spacing w:after="0" w:line="185" w:lineRule="exact"/>
        <w:rPr>
          <w:rFonts w:ascii="Times New Roman" w:cs="Times New Roman" w:eastAsia="Times New Roman" w:hAnsi="Times New Roman"/>
          <w:sz w:val="18"/>
          <w:szCs w:val="18"/>
          <w:color w:val="auto"/>
        </w:rPr>
      </w:pPr>
    </w:p>
    <w:p>
      <w:pPr>
        <w:jc w:val="both"/>
        <w:ind w:firstLine="656"/>
        <w:spacing w:after="0" w:line="267" w:lineRule="auto"/>
        <w:tabs>
          <w:tab w:leader="none" w:pos="89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Standings</w:t>
      </w:r>
      <w:r>
        <w:rPr>
          <w:rFonts w:ascii="Times New Roman" w:cs="Times New Roman" w:eastAsia="Times New Roman" w:hAnsi="Times New Roman"/>
          <w:sz w:val="18"/>
          <w:szCs w:val="18"/>
          <w:color w:val="auto"/>
        </w:rPr>
        <w:t>. The Representative shall have received on and as of the Closing Date satisfactory evidence of the good standing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Guarantors in their respective jurisdictions of organization and their good standing in such other jurisdictions as the Representative may reasonably request, in each case in writing or any standard form of telecommunication from the appropriate governmental authorities of such jurisdictions.</w:t>
      </w:r>
    </w:p>
    <w:p>
      <w:pPr>
        <w:spacing w:after="0" w:line="17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Securities shall be eligible for clearance and settlement through DTC.</w:t>
      </w:r>
    </w:p>
    <w:p>
      <w:pPr>
        <w:spacing w:after="0" w:line="225" w:lineRule="exact"/>
        <w:rPr>
          <w:rFonts w:ascii="Times New Roman" w:cs="Times New Roman" w:eastAsia="Times New Roman" w:hAnsi="Times New Roman"/>
          <w:sz w:val="18"/>
          <w:szCs w:val="18"/>
          <w:color w:val="auto"/>
        </w:rPr>
      </w:pPr>
    </w:p>
    <w:p>
      <w:pPr>
        <w:jc w:val="both"/>
        <w:ind w:firstLine="656"/>
        <w:spacing w:after="0" w:line="267" w:lineRule="auto"/>
        <w:tabs>
          <w:tab w:leader="none" w:pos="8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Duly Executed</w:t>
      </w:r>
      <w:r>
        <w:rPr>
          <w:rFonts w:ascii="Times New Roman" w:cs="Times New Roman" w:eastAsia="Times New Roman" w:hAnsi="Times New Roman"/>
          <w:sz w:val="18"/>
          <w:szCs w:val="18"/>
          <w:color w:val="auto"/>
        </w:rPr>
        <w:t>. The Supplemental Indenture shall have been duly executed and delivered by a duly authorized officer of the Company,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Guarantors and the Trustee, and the Securities shall have been duly executed and delivered by a duly authorized officer of the Company and duly authenticated by the Trustee.</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On or prior to the Closing Date, the Company and the Guarantors shall have furnished to the Representative such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customary certificates and documents as the Representative may reasonably request.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1" w:name="page32"/>
    <w:bookmarkEnd w:id="31"/>
    <w:p>
      <w:pPr>
        <w:ind w:firstLine="648"/>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Initial Purchasers.</w:t>
      </w:r>
    </w:p>
    <w:p>
      <w:pPr>
        <w:spacing w:after="0" w:line="162" w:lineRule="exact"/>
        <w:rPr>
          <w:sz w:val="20"/>
          <w:szCs w:val="20"/>
          <w:color w:val="auto"/>
        </w:rPr>
      </w:pPr>
    </w:p>
    <w:p>
      <w:pPr>
        <w:ind w:left="840" w:hanging="184"/>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p>
    <w:p>
      <w:pPr>
        <w:spacing w:after="0" w:line="223" w:lineRule="exact"/>
        <w:rPr>
          <w:sz w:val="20"/>
          <w:szCs w:val="20"/>
          <w:color w:val="auto"/>
        </w:rPr>
      </w:pPr>
    </w:p>
    <w:p>
      <w:pPr>
        <w:jc w:val="both"/>
        <w:ind w:firstLine="656"/>
        <w:spacing w:after="0" w:line="252" w:lineRule="auto"/>
        <w:tabs>
          <w:tab w:leader="none" w:pos="8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Initial Purchasers. </w:t>
      </w:r>
      <w:r>
        <w:rPr>
          <w:rFonts w:ascii="Times New Roman" w:cs="Times New Roman" w:eastAsia="Times New Roman" w:hAnsi="Times New Roman"/>
          <w:sz w:val="18"/>
          <w:szCs w:val="18"/>
          <w:color w:val="auto"/>
        </w:rPr>
        <w:t>The Company and each of the Guarantors jointly and severally agree to indemnify and hold harmless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Initial Purchaser, its respective affiliates and each of their respective directors, officers, members, employees, representatives and agents and their respective affiliates, and each person, if any, who controls such Initial Purchaser within the meaning of Section 15 of the Securities Act or Section 20 of the Exchange Act (collectively the “</w:t>
      </w:r>
      <w:r>
        <w:rPr>
          <w:rFonts w:ascii="Times New Roman" w:cs="Times New Roman" w:eastAsia="Times New Roman" w:hAnsi="Times New Roman"/>
          <w:sz w:val="18"/>
          <w:szCs w:val="18"/>
          <w:b w:val="1"/>
          <w:bCs w:val="1"/>
          <w:color w:val="auto"/>
        </w:rPr>
        <w:t>Initial Purchaser Indemnified Parties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Initial Purchaser Indemnified Party</w:t>
      </w:r>
      <w:r>
        <w:rPr>
          <w:rFonts w:ascii="Times New Roman" w:cs="Times New Roman" w:eastAsia="Times New Roman" w:hAnsi="Times New Roman"/>
          <w:sz w:val="18"/>
          <w:szCs w:val="18"/>
          <w:color w:val="auto"/>
        </w:rPr>
        <w:t xml:space="preserve">”) against any loss, claim, damage, expense or liability whatsoever (or any action, investigation or proceeding in respect thereof), joint or several, to which such Initial Purchaser Indemnified Party may become subject, under the Securities Act or otherwise, insofar as such loss, claim, damage, expense, liability, action, investigation or proceeding arises out of or is based upon (A) any untrue statement or alleged untrue statement of a material fact contained in the Preliminary Offering Memorandum, any of the other Time of Sale Information, any Issuer Written Communication or the Offering Memorandum (or any amendment or supplement thereto), (B) the omission or alleged omission to state therein a material fact required to be stated therein or necessary to make the statements therein not misleading, or (C) any breach of the representations and warranties of the Company and/or the Guarantors contained herein or failure of the Company or the Guarantors to perform their obligations hereunder or pursuant to any law, and shall reimburse the Initial Purchaser Indemnified Party promptly upon demand for any legal fees or other expenses reasonably incurred by such Initial Purchaser Indemnified Party in connection with investigating, or preparing to defend, or defending against, or appearing as a third party witness in respect of, or otherwise incurred in connection with, any such loss, claim, damage, expense, liability, action, investigation or proceeding, as such fees and expenses are incurred;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and the Guarantors shall not be liable in any such case to the extent that any such loss, claim, damage, expense or liability arises out of or is based upon an untrue statement or alleged untrue statement in, or omission or alleged omission from, the Preliminary Offering Memorandum, any of the other Time of Sale Information, any Issuer Written Communication or the Offering Memorandum (or any amendment or supplement thereto) made in reliance upon and in conformity with written information concerning the Initial Purchasers furnished to the Company by or on behalf of the Initial Purchasers specifically for use therein. This indemnity agreement is not exclusive and will be in addition to any liability, which the Company and the Guarantors may otherwise have and shall not limit any rights or remedies which may otherwise be available at law or in equity to each Initial Purchaser Indemnified Party.</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and the Guarantors. </w:t>
      </w:r>
      <w:r>
        <w:rPr>
          <w:rFonts w:ascii="Times New Roman" w:cs="Times New Roman" w:eastAsia="Times New Roman" w:hAnsi="Times New Roman"/>
          <w:sz w:val="18"/>
          <w:szCs w:val="18"/>
          <w:color w:val="auto"/>
        </w:rPr>
        <w:t>Each Initial Purchaser severally and not jointly agrees to indemnify and hold harmless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each of the Guarantors and their respective directors, officers and each person, if any, who controls the Company within the meaning of Section 15 of the Securities Act or Section 20 of the Exchange Act (collectively the “</w:t>
      </w:r>
      <w:r>
        <w:rPr>
          <w:rFonts w:ascii="Times New Roman" w:cs="Times New Roman" w:eastAsia="Times New Roman" w:hAnsi="Times New Roman"/>
          <w:sz w:val="18"/>
          <w:szCs w:val="18"/>
          <w:b w:val="1"/>
          <w:bCs w:val="1"/>
          <w:color w:val="auto"/>
        </w:rPr>
        <w:t>Company Indemnified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Company 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against any loss, claim, damage, expense or liability whatsoever (or any action, investigation or proceeding in respect thereof), joint or several,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such Company Indemnified Party may become subject, under the Securities Act or otherwise, insofar as such loss, claim, damage, expense, liability, action, investigation or proceeding arises out of or is based upon (A) any untrue statement or alleged untrue statement of a material fact contained in the Preliminary Offering Memorandum, any of the other Time of Sale Information, any Issuer Written Communication or the Offering Memorandum (or any amendment or supplement thereto) or (B) the omission or alleged omission to state in any Preliminary Offering Memorandum, any of the other Time of Sale Information, any Issuer Written Communication or the Offering Memorandum (or any amendment or supplement thereto), a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furnished to the Company by or on behalf of such Initial Purchaser specifically for use therein, it being understood and agreed that the only such information consists of the following paragraphs in the section titled “Plan of Distribution” in the Preliminary Offering Memorandum and the Offering Memorandum: the first sentence of the fourth paragraph and the third sentence of the sixth paragraph. Each Initial Purchaser severally and not jointly shall reimburse the Company Indemnified Parties for any legal fees or other expenses reasonably incurred by such party in connection with investigating or preparing to defend or defending against or appearing as third party witness in connection with any such loss, claim, damage, liability, action, investigation or proceeding, as such fees and expenses are incurred. This indemnity agreement is not exclusive and will be in addition to any liability which such Initial Purchaser might otherwise have and shall not limit any rights or remedies which may otherwise be available under this Agreement, at law or in equity to the Company Indemnified Parties.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firstLine="656"/>
        <w:spacing w:after="0" w:line="251" w:lineRule="auto"/>
        <w:tabs>
          <w:tab w:leader="none" w:pos="9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brought or asserted against any person in respect of which indemnification may be sought pursuant to either paragraph (a) or (b) above, such person (the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promptly notify the person in writing against whom such indemnification may be sought (the “</w:t>
      </w:r>
      <w:r>
        <w:rPr>
          <w:rFonts w:ascii="Times New Roman" w:cs="Times New Roman" w:eastAsia="Times New Roman" w:hAnsi="Times New Roman"/>
          <w:sz w:val="18"/>
          <w:szCs w:val="18"/>
          <w:b w:val="1"/>
          <w:bCs w:val="1"/>
          <w:color w:val="auto"/>
        </w:rPr>
        <w:t>Indemnifying Person</w:t>
      </w:r>
      <w:r>
        <w:rPr>
          <w:rFonts w:ascii="Times New Roman" w:cs="Times New Roman" w:eastAsia="Times New Roman" w:hAnsi="Times New Roman"/>
          <w:sz w:val="18"/>
          <w:szCs w:val="18"/>
          <w:color w:val="auto"/>
        </w:rPr>
        <w:t xml:space="preserve">”), of the commencement of that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notify the Indemnifying Person shall not relieve it from any liability which it may have under this Section 7 except to the extent it has been materially prejudiced by such failure;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failure to notify an Indemnifying Person shall not relieve it from any liability which it may have to an Indemnified Person otherwise than under this Section 7. If any such action shall be brought against an Indemnified Person, and it shall notify the Indemnifying Person thereof, the Indemnifying Person shall be entitled to participate therein and, to the extent that it wishes, jointly with any other similarly notified Indemnifying Person, to assume the defense of such action with counsel reasonably satisfactory to the Indemnified Person (which counsel shall not, except with the written consent of the Indemnified Person, be counsel to the Indemnifying Person). After notice from the Indemnifying Person to the Indemnified Person of its election to assume the defense of such action and approval by the Indemnified Person of counsel as set forth herein, except as provided herein, the Indemnifying Person shall not be liable to the Indemnified Person under Section 7 for any legal or other expenses subsequently incurred by the Indemnified Person in connection with the defense of such action other than reasonable costs of investigation; provided, however, that any Indemnified Person shall have the right to employ separate counsel in any such action and to participate in the defense of such action but the fees and expenses of such counsel (other than reasonable costs of investigation which shall remain the expense of the Company and the Guarantors) shall be at the expense of such Indemnified Person unless (i) in the case of an Initial Purchaser Indemnified Party, the employment thereof has been specifically authorized in writing by the Company in the case of a claim for indemnification under Section 7(a), or (ii) such Indemnified Person shall have been advised by its counsel that there may be one or more legal defenses available to it which are different from or additional to those available to the Indemnifying Person or (iii) the Indemnifying Person has failed to assume the defense of such action and employ counsel reasonably satisfactory to the Indemnified Person within a reasonable period of time after notice of the commencement of the action or the Indemnifying Person does not diligently defend the action after assumption of the defense, in which case, if such Indemnified Person notifies the Indemnifying Person in writing that it elects to employ separate counsel at the expense of the Indemnifying Person, the Indemnifying Person shall not have the right to assume the defense of (or, in the case of a failure to diligently defend the action after assumption of the defense, to continue to defend) such action on behalf of such Indemnified Person and the Indemnifying Person shall be responsible for legal or other expenses subsequently incurred by such Indemnified Person in connection with the defense of such action; provided, however, that the Indemnifying Person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at any time for all such Indemnified Persons (in addition to any local counsel), which firm shall be designated in writing by the Initial Purchaser if the Indemnified Persons under this Section 7 consist of any Initial Purchaser Indemnified Party or by the Company and the Guarantors if the Indemnified Persons under this Section 7 consist of any Company Indemnified Persons. Subject to this Section 7(c), the amount payable by an Indemnifying Person under Section 7 shall include, but not be limited to, (x) reasonable legal fees and expenses of counsel to the Indemnified Person and any other expenses in investigating, or preparing to defend or defending against, or appearing as a third party witness in respect of, or otherwise incurred in connection with, any action, investigation, proceeding or claim, and (y) all amounts paid in settlement of any of the foregoing. No Indemnifying Person shall, without the prior written consent of the Indemnified Persons, settle or compromise or consent to the entry of judgment with respect to any pending or threatened action or any claim whatsoever, in respect of which indemnification or contribution could be sought under this Section 7 (whether or not the Indemnified Persons are actual or potential parties thereto), unless such settlement, compromise or consent (i) includes an unconditional release of each Indemnified Person in form and substance reasonably satisfactory to such Indemnified Person from all liability arising out of such action or claim and (ii) does not include a statement as to or an admission of fault, culpability or a failure to act by or on behalf of any Indemnified Person. Subject to the provisions of the following sentence, no Indemnifying Person shall be liable for settlement of any pending or threatened action or any claim whatsoever that is effected without its written consent (which consent shall not be unreasonably withheld or delayed), but if settled with its written consent, or if its consent has been unreasonably withheld or delayed, or if there be a judgment for the plaintiff in any such matter, the Indemnifying Person agrees to indemnify and hold harmless any Indemnified Person from and against any loss or liability by reason of such settlement or judgment. In addition, if at any time an Indemnified Person shall have requested that an Indemnifying Person reimburse the Indemnified Person for reasonable fees and expenses of counsel, such Indemnifying Person agrees that it shall be liable for any settlement of the nature contemplated herein effected without its written consent if (i) such settlement is entered into more than forty-five (45) days after receipt by such Indemnifying Person of the request for reimbursement, (ii) such Indemnifying Person shall have received notice of the terms of such settlement at least thirty (30) days prior to such settlement being entered into and (iii) such Indemnifying Person shall not have reimbursed such Indemnified Person in accordance with such request prior to the date of such settlement.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3" w:name="page34"/>
    <w:bookmarkEnd w:id="33"/>
    <w:p>
      <w:pPr>
        <w:jc w:val="both"/>
        <w:ind w:firstLine="656"/>
        <w:spacing w:after="0" w:line="251" w:lineRule="auto"/>
        <w:tabs>
          <w:tab w:leader="none" w:pos="9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this Section 7 is unavailable or insufficient to hold harmless an Indemnified Person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7(a) or Section 7(b), then each applicable Indemnifying Person shall, in lieu of indemnifying such Indemnified Person, contribute to the amount paid, payable or otherwise incurred by such Indemnified Person as a result of such loss, claim, damage, expense or liability (or any action, investigation or proceeding in respect thereof), as incurred, (i) in such proportion as shall be appropriate to reflect the relative benefits received by the Company and the Guarantors on the one hand and the Initial Purchasers on the other hand from the offering and sale of the Securities or (ii) if the allocation provided by clause (i) of this Section 7(d) is not permitted by applicable law, in such proportion as is appropriate to reflect not only the relative benefits referred to in clause (i) of this Section 7(d) but also the relative fault of the Company and the Guarantors on the one hand and each of the respective Initial Purchasers on the other with respect to the statements, omissions, acts or failures to act which resulted in such loss, claim, damage, expense or liability (or any action, investigation or proceeding in respect thereof) as well as any other relevant equitable considerations. The relative benefits received by the Company and the Guarantors on the one hand and the Initial Purchasers on the other hand with respect to such offering and sale of the Securities shall be deemed to be in the same proportion as the total net proceeds from the offering and sale of the Securities pursuant to this Agreement (before deducting expenses) received by the Company and the Guarantors bear to the total compensation received by the Initial Purchasers in connection with the offering and sale of the Securities. The relative fault of the Company and the Guarantors on the one hand and the Initial Purchasers on the other hand shall be determined by reference to, among other things, whether the untrue or alleged untrue statement of a material fact or the omission or alleged omission to state a material fact relates to information supplied by the Company and/or the Guarantors on the one hand or the Initial Purchasers on the other hand, the intent of the parties and their relative knowledge, access to information and opportunity to correct or prevent such untrue statement, omission, act or failure to act. The Company and the Initial Purchasers agree that it would not be just and equitable if contributions pursuant to this Section 7(d) were to be determined by pro rata allocation or by any other method of allocation that does not take into account the equitable considerations referred to herein. The amount paid or payable by an Indemnified Person as a result of the loss, claim, damage, expense, liability, action, investigation or proceeding referred to above in this Section 7(d) shall be deemed to include, for purposes of this Section 7(d), any legal or other expenses reasonably incurred by such Indemnified Person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Section 7(d), no Initial Purchaser shall be required to contribute any amount in excess of the total compensation received by such Initial Purchaser hereunder less the amount of any damages which such Initial Purchaser has otherwise paid or become liable to pay by reason of any untrue or alleged untrue statement, omission or alleged omission, act or alleged act or failure to act or alleged failure to act. No person guilty of fraudulent misrepresentation (within the meaning of Section 10(f) of the Securities Act) shall be entitled to contribution from any person who was not guilty of such fraudulent misrepresentation.</w:t>
      </w:r>
    </w:p>
    <w:p>
      <w:pPr>
        <w:spacing w:after="0" w:line="206" w:lineRule="exact"/>
        <w:rPr>
          <w:sz w:val="20"/>
          <w:szCs w:val="20"/>
          <w:color w:val="auto"/>
        </w:rPr>
      </w:pPr>
    </w:p>
    <w:p>
      <w:pPr>
        <w:jc w:val="both"/>
        <w:ind w:firstLine="656"/>
        <w:spacing w:after="0" w:line="254" w:lineRule="auto"/>
        <w:tabs>
          <w:tab w:leader="none" w:pos="8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 by notice to the Company, if after the execution and delivery of this Agreement and on or prior to the Closing Date (i) trading generally shall have been suspended or materially limited on the New York Stock Exchange, the Nasdaq Stock Market or the over-the-counter market; (ii) trading of any securities issued or guaranteed by the Company or any of the Guarantors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Securities on the terms and in the manner contemplated by this Agreement, the Time of Sale Information and the Offering Memorandum.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4" w:name="page35"/>
    <w:bookmarkEnd w:id="34"/>
    <w:p>
      <w:pPr>
        <w:ind w:left="840" w:hanging="184"/>
        <w:spacing w:after="0"/>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Initial Purchaser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0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Initial Purchaser defaults on its obligation to purchase the Securities that it has agreed to purchase hereunder, the non-defaulting Initial Purchasers may in their discretion arrange for the purchase of such Securities by other persons satisfactory to the Company on the terms contained in this Agreement. If, within 36 hours after any such default by any Initial Purchaser, the non-defaulting Initial Purchasers do not arrange for the purchase of such Securities, then the Company shall be entitled to a further period of 36 hours within which to procure other persons satisfactory to the non-defaulting Initial Purchasers to purchase such Securities on such terms. If other persons become obligated or agree to purchase the Securities of a defaulting Initial Purchaser, either the non-defaulting Initial Purchasers or the Company may postpone the Closing Date for up to five full business days in order to effect any changes that in the opinion of counsel for the Company and the Guarantors or counsel for the Initial Purchasers may be necessary in the Time of Sale Information, the Offering Memorandum or in any other document or arrangement, and the Company agrees to promptly prepare any amendment or supplement to the Time of Sale Information or the Offering Memorandum that effects any such changes. As used in this Agreement, the term “Initial Purchaser” includes, for all purposes of this Agreement unless the context otherwise requires, any person not listed in Schedule 1 hereto that, pursuant to this Section 9, purchases Securities that a defaulting Initial Purchaser agreed but failed to purchase.</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91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arrangements for the purchase of the Securities of a defaulting Initial Purchaser or Initial Purchasers by the non-defaulting Initial Purchasers and the Company as provided in paragraph (a) above, the aggregate principal amount of such Securities that remains unpurchased does not exceed one-eleventh of the aggregate principal amount of all the Securities, then the Company shall have the right to require each non-defaulting Initial Purchaser to purchase the principal amount of Securities that such Initial Purchaser agreed to purchase hereunder plus such Initial Purchaser’s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(based on the principal amount of Securities that such Initial Purchaser agreed to purchase hereunder) of the Securities of such defaulting Initial Purchaser or Initial Purchasers for which such arrangements have not been made.</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0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Initial Purchaser or Initial Purchasers by the non-defaulting Initial Purchasers and the Company 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shall terminate without liability on the part of the non-defaulting Initial Purchasers. Any termination of this Agreement pursuant to this Section 9 shall be without liability on the part of the Company or the Guarantors, except that the Company and each of the Guarantors will continue to be liable for the payment of expenses as set forth in Section 10 hereof and except that the provisions of Section 7 hereof shall not terminate and shall remain in effect.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ind w:firstLine="656"/>
        <w:spacing w:after="0" w:line="282" w:lineRule="auto"/>
        <w:tabs>
          <w:tab w:leader="none" w:pos="91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Initial Purchaser of any liability it may have to the Company, the Guarantors or any non-defaulting Initial Purchaser for damages caused by its default.</w:t>
      </w:r>
    </w:p>
    <w:p>
      <w:pPr>
        <w:spacing w:after="0" w:line="162" w:lineRule="exact"/>
        <w:rPr>
          <w:sz w:val="20"/>
          <w:szCs w:val="20"/>
          <w:color w:val="auto"/>
        </w:rPr>
      </w:pPr>
    </w:p>
    <w:p>
      <w:pPr>
        <w:ind w:left="920" w:hanging="264"/>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p>
    <w:p>
      <w:pPr>
        <w:spacing w:after="0" w:line="225" w:lineRule="exact"/>
        <w:rPr>
          <w:sz w:val="20"/>
          <w:szCs w:val="20"/>
          <w:color w:val="auto"/>
        </w:rPr>
      </w:pPr>
    </w:p>
    <w:p>
      <w:pPr>
        <w:jc w:val="both"/>
        <w:ind w:firstLine="656"/>
        <w:spacing w:after="0" w:line="253" w:lineRule="auto"/>
        <w:tabs>
          <w:tab w:leader="none" w:pos="8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and each of the Guarantors jointly and severally agree to pay or cause to be paid all costs and expenses incident to the performance of their respective obligations hereunder, including without limitation, (i) the costs incident to the authorization, issuance, sale, preparation and delivery of the Securities, including any stamp, transfer, issuance or similar taxes payable in respect of the sale of the Securities to the Initial Purchasers and the resale by the Initial Purchasers to the initial investors; (ii) the costs incident to the preparation and printing of the Preliminary Offering Memorandum, any other Time of Sale Information, any Issuer Written Communication and the Offering Memorandum (including any amendment or supplement thereto) and the distribution thereof; (iii) the costs of reproducing and distributing each of the Transaction Documents; (iv) the fees and expenses of the Company’s and the Guarantors’ counsel and independent accountants; (v) the fees and expenses incurred in connection with the registration or qualification and determination of eligibility for investment of the Securities under the laws of such jurisdictions as the Representative may designate and the preparation, printing and distribution of a Blue Sky Memorandum (including the related reasonable fees and expenses of counsel for the Initial Purchasers); (vi) any fees charged by rating agencies for rating the Securities; (vii) the fees and expenses of the Trustee and any paying agent (including related fees and expenses of any counsel to such parties); (viii) all expenses and application fees incurred in connection with the approval of the Securities for book-entry transfer by DTC; and (ix) all expenses incurred by the Company in connection with any “road show” presentation to potential investors.</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set forth in that certain Engagement Letter, dated August 20, 2025, by and between the Representative and the Company, whether or not the offering and sale of the Securities is consummated or this Agreement is terminated, the Company and each of the Guarantors jointly and severally agree to pay or cause to be paid all reasonable and documented out-of-pocket expenses incurred by the Representative in connection with the offering and sale of the Securities, including reasonable and documented travel expenses, miscellaneous printing, shipping/delivery and other expenses such as background checks and other third party services including the reasonable and documented fees and disbursements of its counsel, promptly upon request and, in any case, within 30 days after the Representative submits an invoice in respect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ind w:firstLine="656"/>
        <w:spacing w:after="0" w:line="258" w:lineRule="auto"/>
        <w:tabs>
          <w:tab w:leader="none" w:pos="93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Initial Purchaser referred to in Section 7 hereof. Nothing in this Agreement is intended or shall be construed to give any other person any legal or equitable right, remedy or claim under or in respect of this Agreement or any provision contained herein. No purchaser of Securities from any Initial Purchaser shall be deemed to be a successor merely by reason of such purchase.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Guarantors and the Initial Purchasers contained in this Agreement or made by or on behalf of the Company, the Guarantors or the Initial Purchasers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Guarantors or the Initial Purchasers.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“written communication” has the meaning set forth in Rule 405 under the Securities Act.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Initial Purchasers are required to obtain, verify and record information that identifies their respective clients, including the Company, which information may include the name and address of their respective clients, as well as other information that will allow the Initial Purchasers to properly identify their respective clients.</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3" w:lineRule="exact"/>
        <w:rPr>
          <w:sz w:val="20"/>
          <w:szCs w:val="20"/>
          <w:color w:val="auto"/>
        </w:rPr>
      </w:pPr>
    </w:p>
    <w:p>
      <w:pPr>
        <w:ind w:firstLine="656"/>
        <w:spacing w:after="0" w:line="284" w:lineRule="auto"/>
        <w:tabs>
          <w:tab w:leader="none" w:pos="8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Authority of the Representative. </w:t>
      </w:r>
      <w:r>
        <w:rPr>
          <w:rFonts w:ascii="Times New Roman" w:cs="Times New Roman" w:eastAsia="Times New Roman" w:hAnsi="Times New Roman"/>
          <w:sz w:val="18"/>
          <w:szCs w:val="18"/>
          <w:color w:val="auto"/>
        </w:rPr>
        <w:t>Any action by the Initial Purchasers hereunder may be taken by BTIG, LLC on behalf of the Initial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any such action taken by BTIG, LLC shall be binding upon the Initial Purchasers.</w:t>
      </w:r>
    </w:p>
    <w:p>
      <w:pPr>
        <w:spacing w:after="0" w:line="158" w:lineRule="exact"/>
        <w:rPr>
          <w:rFonts w:ascii="Times New Roman" w:cs="Times New Roman" w:eastAsia="Times New Roman" w:hAnsi="Times New Roman"/>
          <w:sz w:val="18"/>
          <w:szCs w:val="18"/>
          <w:color w:val="auto"/>
        </w:rPr>
      </w:pPr>
    </w:p>
    <w:p>
      <w:pPr>
        <w:jc w:val="both"/>
        <w:ind w:firstLine="656"/>
        <w:spacing w:after="0" w:line="262" w:lineRule="auto"/>
        <w:tabs>
          <w:tab w:leader="none" w:pos="93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Initial Purchasers shall be given to the Representative c/o BTIG,</w:t>
      </w:r>
    </w:p>
    <w:p>
      <w:pPr>
        <w:spacing w:after="0" w:line="192" w:lineRule="auto"/>
        <w:rPr>
          <w:sz w:val="20"/>
          <w:szCs w:val="20"/>
          <w:color w:val="auto"/>
        </w:rPr>
      </w:pPr>
      <w:r>
        <w:rPr>
          <w:rFonts w:ascii="Times New Roman" w:cs="Times New Roman" w:eastAsia="Times New Roman" w:hAnsi="Times New Roman"/>
          <w:sz w:val="17"/>
          <w:szCs w:val="17"/>
          <w:color w:val="auto"/>
        </w:rPr>
        <w:t>LLC, 350 Bush Street, 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San Francisco, CA 94104, Attention: Forrest Koenig, with a copy to 350 Bush Street, 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San Francisco, CA 94104,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IBLegal@btig.com, Attention: General Counsel (which shall not constitute notice hereunder) and with a copy to Goodwin Procter LLP, 620 Eighth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Avenue, New York, New York 10018 (fax: 617-523-1231), Attention: James P. Barri (which shall not constitute notice hereunder). Notices to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Guarantors shall be given to them at Harrow, Inc., 1A Burton Hills Blvd., Suite 200, Nashville, TN 37215, Attention: Andrew R. Boll, with a copy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Holland &amp; Knight, LLP, 511 Union Street, Suite 2700, Nashville, TN 37219, Attention: James H. Nixon III (which shall not constitute notice hereunder).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ind w:firstLine="656"/>
        <w:spacing w:after="0" w:line="284" w:lineRule="auto"/>
        <w:tabs>
          <w:tab w:leader="none" w:pos="90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jc w:val="both"/>
        <w:ind w:firstLine="656"/>
        <w:spacing w:after="0" w:line="257" w:lineRule="auto"/>
        <w:tabs>
          <w:tab w:leader="none" w:pos="9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The Company and each of the Guarantors hereby submit to the exclusive jurisdiction of the U.S. federal and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state courts in the Borough of Manhattan in The City of New York in any suit or proceeding arising out of or relating to this Agreement or the transactions contemplated hereby. Each of the Company and each of the Guarantors waive any objection which it may now or hereafter have to the laying of venue of any such suit or proceeding in such courts. The Company and each of the Guarantors agrees that final judgment in any such suit, action or proceeding brought in such court shall be conclusive and binding upon the Company and each Guarantor, as applicable, and may be enforced in any court to the jurisdiction of which the Company and each Guarantor, as applicable, is subject by a suit upon such judgment.</w:t>
      </w:r>
    </w:p>
    <w:p>
      <w:pPr>
        <w:spacing w:after="0" w:line="182" w:lineRule="exact"/>
        <w:rPr>
          <w:rFonts w:ascii="Times New Roman" w:cs="Times New Roman" w:eastAsia="Times New Roman" w:hAnsi="Times New Roman"/>
          <w:sz w:val="18"/>
          <w:szCs w:val="18"/>
          <w:color w:val="auto"/>
        </w:rPr>
      </w:pPr>
    </w:p>
    <w:p>
      <w:pPr>
        <w:ind w:firstLine="656"/>
        <w:spacing w:after="0" w:line="284" w:lineRule="auto"/>
        <w:tabs>
          <w:tab w:leader="none" w:pos="89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58" w:lineRule="exact"/>
        <w:rPr>
          <w:rFonts w:ascii="Times New Roman" w:cs="Times New Roman" w:eastAsia="Times New Roman" w:hAnsi="Times New Roman"/>
          <w:sz w:val="18"/>
          <w:szCs w:val="18"/>
          <w:color w:val="auto"/>
        </w:rPr>
      </w:pPr>
    </w:p>
    <w:p>
      <w:pPr>
        <w:jc w:val="both"/>
        <w:ind w:firstLine="656"/>
        <w:spacing w:after="0" w:line="254" w:lineRule="auto"/>
        <w:tabs>
          <w:tab w:leader="none" w:pos="9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 The words “execution,” “signed,” “signature,” “delivery,” and words of like import in or relating to any document to be signed in connection with this Agreement and the transactions contemplated hereby shall be deemed to include an electronic symbol or process attached to a contract or other record and adopted by a person with the intent to sign, authenticate or accept such contract or record (each an “</w:t>
      </w:r>
      <w:r>
        <w:rPr>
          <w:rFonts w:ascii="Times New Roman" w:cs="Times New Roman" w:eastAsia="Times New Roman" w:hAnsi="Times New Roman"/>
          <w:sz w:val="18"/>
          <w:szCs w:val="18"/>
          <w:b w:val="1"/>
          <w:bCs w:val="1"/>
          <w:color w:val="auto"/>
        </w:rPr>
        <w:t>Electronic Signature</w:t>
      </w:r>
      <w:r>
        <w:rPr>
          <w:rFonts w:ascii="Times New Roman" w:cs="Times New Roman" w:eastAsia="Times New Roman" w:hAnsi="Times New Roman"/>
          <w:sz w:val="18"/>
          <w:szCs w:val="18"/>
          <w:color w:val="auto"/>
        </w:rPr>
        <w:t xml:space="preserve">”),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nothing herein shall require the Representative to accept Electronic Signatures in any form or format without its prior written consent.</w:t>
      </w:r>
    </w:p>
    <w:p>
      <w:pPr>
        <w:spacing w:after="0" w:line="185" w:lineRule="exact"/>
        <w:rPr>
          <w:rFonts w:ascii="Times New Roman" w:cs="Times New Roman" w:eastAsia="Times New Roman" w:hAnsi="Times New Roman"/>
          <w:sz w:val="18"/>
          <w:szCs w:val="18"/>
          <w:color w:val="auto"/>
        </w:rPr>
      </w:pPr>
    </w:p>
    <w:p>
      <w:pPr>
        <w:ind w:right="20" w:firstLine="656"/>
        <w:spacing w:after="0" w:line="284" w:lineRule="auto"/>
        <w:tabs>
          <w:tab w:leader="none" w:pos="9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9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If the foregoing is in accordance with your understanding, please indicate your acceptance of this Agreement by signing in the space provided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R. Boll</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bl>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HARROW IP,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HARROW EYE,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HARROW ANALYTICAL SERVICES,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34"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Harrow, Inc.</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Sole Member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R. Boll</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IMPRIMISRX,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IMPRIMIS NJOF,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New Jersey limited liability company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IMPRIMISRX NJ,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New Jersey limited liability company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IMPRIMISRX NASHVILLE,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Harrow, Inc.</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Sole Member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R. Boll</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BTIG, LLC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Initial Purchasers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Forrest Koenig</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Forrest Koenig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6"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Schedule 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Initial Purchaser</w:t>
            </w:r>
          </w:p>
        </w:tc>
        <w:tc>
          <w:tcPr>
            <w:tcW w:w="10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1680" w:type="dxa"/>
            <w:vAlign w:val="bottom"/>
          </w:tcPr>
          <w:p>
            <w:pPr>
              <w:spacing w:after="0"/>
              <w:rPr>
                <w:sz w:val="20"/>
                <w:szCs w:val="20"/>
                <w:color w:val="auto"/>
              </w:rPr>
            </w:pPr>
          </w:p>
        </w:tc>
      </w:tr>
      <w:tr>
        <w:trPr>
          <w:trHeight w:val="210"/>
        </w:trPr>
        <w:tc>
          <w:tcPr>
            <w:tcW w:w="7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BTIG, LLC</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38,900,000</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11,100,000</w:t>
            </w:r>
          </w:p>
        </w:tc>
        <w:tc>
          <w:tcPr>
            <w:tcW w:w="168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50,000,000</w:t>
            </w:r>
          </w:p>
        </w:tc>
        <w:tc>
          <w:tcPr>
            <w:tcW w:w="1680" w:type="dxa"/>
            <w:vAlign w:val="bottom"/>
          </w:tcPr>
          <w:p>
            <w:pPr>
              <w:spacing w:after="0"/>
              <w:rPr>
                <w:sz w:val="20"/>
                <w:szCs w:val="20"/>
                <w:color w:val="auto"/>
              </w:rPr>
            </w:pPr>
          </w:p>
        </w:tc>
      </w:tr>
      <w:tr>
        <w:trPr>
          <w:trHeight w:val="414"/>
        </w:trPr>
        <w:tc>
          <w:tcPr>
            <w:tcW w:w="7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Schedule 2</w:t>
      </w:r>
    </w:p>
    <w:p>
      <w:pPr>
        <w:spacing w:after="0" w:line="22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Guarantors</w:t>
      </w:r>
    </w:p>
    <w:p>
      <w:pPr>
        <w:spacing w:after="0" w:line="229" w:lineRule="exact"/>
        <w:rPr>
          <w:sz w:val="20"/>
          <w:szCs w:val="20"/>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IP,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Eye,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Analytical Services,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ImprimisRx,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Imprimis NJOF,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ImprimisRx NJ, LLC; and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ImprimisRx Nashville,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291465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ANNEX A</w:t>
      </w:r>
    </w:p>
    <w:p>
      <w:pPr>
        <w:spacing w:after="0" w:line="2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Time of Sale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Term sheet containing the terms of the Securities, substantially in the form of 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ind w:left="10440"/>
        <w:spacing w:after="0"/>
        <w:rPr>
          <w:sz w:val="20"/>
          <w:szCs w:val="20"/>
          <w:color w:val="auto"/>
        </w:rPr>
      </w:pPr>
      <w:r>
        <w:rPr>
          <w:rFonts w:ascii="Times New Roman" w:cs="Times New Roman" w:eastAsia="Times New Roman" w:hAnsi="Times New Roman"/>
          <w:sz w:val="18"/>
          <w:szCs w:val="18"/>
          <w:color w:val="auto"/>
        </w:rPr>
        <w:t>ANNEX B</w:t>
      </w:r>
    </w:p>
    <w:p>
      <w:pPr>
        <w:spacing w:after="0" w:line="221" w:lineRule="exact"/>
        <w:rPr>
          <w:sz w:val="20"/>
          <w:szCs w:val="20"/>
          <w:color w:val="auto"/>
        </w:rPr>
      </w:pPr>
    </w:p>
    <w:p>
      <w:pPr>
        <w:spacing w:after="0"/>
        <w:tabs>
          <w:tab w:leader="none" w:pos="8880" w:val="left"/>
        </w:tabs>
        <w:rPr>
          <w:sz w:val="20"/>
          <w:szCs w:val="20"/>
          <w:color w:val="auto"/>
        </w:rPr>
      </w:pPr>
      <w:r>
        <w:rPr>
          <w:rFonts w:ascii="Times New Roman" w:cs="Times New Roman" w:eastAsia="Times New Roman" w:hAnsi="Times New Roman"/>
          <w:sz w:val="18"/>
          <w:szCs w:val="18"/>
          <w:b w:val="1"/>
          <w:bCs w:val="1"/>
          <w:color w:val="auto"/>
        </w:rPr>
        <w:t>PRICING SUPPLEMENT</w:t>
      </w:r>
      <w:r>
        <w:rPr>
          <w:sz w:val="20"/>
          <w:szCs w:val="20"/>
          <w:color w:val="auto"/>
        </w:rPr>
        <w:tab/>
      </w:r>
      <w:r>
        <w:rPr>
          <w:rFonts w:ascii="Times New Roman" w:cs="Times New Roman" w:eastAsia="Times New Roman" w:hAnsi="Times New Roman"/>
          <w:sz w:val="17"/>
          <w:szCs w:val="17"/>
          <w:b w:val="1"/>
          <w:bCs w:val="1"/>
          <w:color w:val="auto"/>
        </w:rPr>
        <w:t>STRICTLY CONFIDENTIAL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ANNEX C</w:t>
      </w:r>
    </w:p>
    <w:p>
      <w:pPr>
        <w:spacing w:after="0" w:line="22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u w:val="single" w:color="auto"/>
          <w:color w:val="auto"/>
        </w:rPr>
        <w:t>Restrictions on Offers and Sales Outside the United States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offers and sales of Securities outside the United States:</w:t>
      </w:r>
    </w:p>
    <w:p>
      <w:pPr>
        <w:spacing w:after="0" w:line="225" w:lineRule="exact"/>
        <w:rPr>
          <w:sz w:val="20"/>
          <w:szCs w:val="20"/>
          <w:color w:val="auto"/>
        </w:rPr>
      </w:pPr>
    </w:p>
    <w:p>
      <w:pPr>
        <w:jc w:val="both"/>
        <w:ind w:firstLine="656"/>
        <w:spacing w:after="0" w:line="266" w:lineRule="auto"/>
        <w:tabs>
          <w:tab w:leader="none" w:pos="89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Initial Purchaser acknowledges that the Securities have not been registered under the Securities Act and may not be offered or sold within the United States or to, or for the account or benefit of, U.S. persons except pursuant to an exemption from, or in transactions not subject to, the registration requirements of the Securities Act.</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Initial Purchaser, severally and not jointly, represents, warrants and agrees that: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2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Initial Purchaser has offered and sold the Securities, and will offer and sell the Securities, (A) as part of their distribution at any time and (B) otherwise until 40 days after the later of the commencement of the offering of the Securities and the Closing Date, only in accordance with Regulation S or Rule 144A or any other available exemption from registration under the Securities Act.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such Initial Purchaser or any of its affiliates or any other person acting on its or their behalf has engaged or will engage in any directed selling efforts with respect to the Securities, and all such persons have complied and will comply with the offering restrictions requirement of Regulation 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1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confirmation of sale of any Securities sold in reliance on Regulation S, such Initial Purchaser will have sent to each distributor, dealer or other person receiving a selling concession, fee or other remuneration that purchases Securities from it during the distribution compliance period a confirmation or notice to substantially the following effect:</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Securities covered hereby have not been registered under the Securities Act, and may not be offered or sold within the United States or to, or for the account or benefit of, U.S. persons (i) as part of their distribution at any time or (ii) otherwise until 40 days after the later of the commencement of the offering of the Securities and the date of original issuance of the Securities, except in accordance with Regulation S or Rule 144A or any other available exemption from registration under the Securities Act. Terms used above have the meanings given to them by Regulation S.</w:t>
      </w:r>
    </w:p>
    <w:p>
      <w:pPr>
        <w:spacing w:after="0" w:line="183" w:lineRule="exact"/>
        <w:rPr>
          <w:sz w:val="20"/>
          <w:szCs w:val="20"/>
          <w:color w:val="auto"/>
        </w:rPr>
      </w:pPr>
    </w:p>
    <w:p>
      <w:pPr>
        <w:ind w:left="660" w:firstLine="644"/>
        <w:spacing w:after="0" w:line="282" w:lineRule="auto"/>
        <w:tabs>
          <w:tab w:leader="none" w:pos="16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Initial Purchaser has not and will not enter into any contractual arrangement with any distributor with respect to the distribution of the Securities, except with its affiliates or with the prior written consent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used in paragraph (a) and this paragraph (b) and not otherwise defined in this Agreement have the meanings given to them by Regulation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lowerLetter"/>
      <w:start w:val="4"/>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3"/>
    </w:lvl>
  </w:abstractNum>
  <w:abstractNum w:abstractNumId="5">
    <w:nsid w:val="7C3DBD3D"/>
    <w:multiLevelType w:val="hybridMultilevel"/>
    <w:lvl w:ilvl="0">
      <w:lvlJc w:val="left"/>
      <w:lvlText w:val="(%1)"/>
      <w:numFmt w:val="lowerLetter"/>
      <w:start w:val="1"/>
    </w:lvl>
    <w:lvl w:ilvl="1">
      <w:lvlJc w:val="left"/>
      <w:lvlText w:val="(%2)"/>
      <w:numFmt w:val="lowerRoman"/>
      <w:start w:val="1"/>
    </w:lvl>
  </w:abstractNum>
  <w:abstractNum w:abstractNumId="6">
    <w:nsid w:val="737B8DDC"/>
    <w:multiLevelType w:val="hybridMultilevel"/>
    <w:lvl w:ilvl="0">
      <w:lvlJc w:val="left"/>
      <w:lvlText w:val="%1"/>
      <w:numFmt w:val="decimal"/>
      <w:start w:val="1"/>
    </w:lvl>
    <w:lvl w:ilvl="1">
      <w:lvlJc w:val="left"/>
      <w:lvlText w:val="(%2)"/>
      <w:numFmt w:val="lowerLetter"/>
      <w:start w:val="2"/>
    </w:lvl>
  </w:abstractNum>
  <w:abstractNum w:abstractNumId="7">
    <w:nsid w:val="6CEAF087"/>
    <w:multiLevelType w:val="hybridMultilevel"/>
    <w:lvl w:ilvl="0">
      <w:lvlJc w:val="left"/>
      <w:lvlText w:val="(%1)"/>
      <w:numFmt w:val="decimal"/>
      <w:start w:val="5"/>
    </w:lvl>
    <w:lvl w:ilvl="1">
      <w:lvlJc w:val="left"/>
      <w:lvlText w:val="%2"/>
      <w:numFmt w:val="lowerLetter"/>
      <w:start w:val="1"/>
    </w:lvl>
  </w:abstractNum>
  <w:abstractNum w:abstractNumId="8">
    <w:nsid w:val="22221A70"/>
    <w:multiLevelType w:val="hybridMultilevel"/>
    <w:lvl w:ilvl="0">
      <w:lvlJc w:val="left"/>
      <w:lvlText w:val="(%1)"/>
      <w:numFmt w:val="decimal"/>
      <w:start w:val="9"/>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lowerLetter"/>
      <w:start w:val="1"/>
    </w:lvl>
    <w:lvl w:ilvl="1">
      <w:lvlJc w:val="left"/>
      <w:lvlText w:val="(%2)"/>
      <w:numFmt w:val="lowerRoman"/>
      <w:start w:val="1"/>
    </w:lvl>
  </w:abstractNum>
  <w:abstractNum w:abstractNumId="11">
    <w:nsid w:val="614FD4A1"/>
    <w:multiLevelType w:val="hybridMultilevel"/>
    <w:lvl w:ilvl="0">
      <w:lvlJc w:val="left"/>
      <w:lvlText w:val="%1"/>
      <w:numFmt w:val="lowerLetter"/>
      <w:start w:val="1"/>
    </w:lvl>
    <w:lvl w:ilvl="1">
      <w:lvlJc w:val="left"/>
      <w:lvlText w:val="(%2)"/>
      <w:numFmt w:val="lowerLetter"/>
      <w:start w:val="61"/>
    </w:lvl>
  </w:abstractNum>
  <w:abstractNum w:abstractNumId="12">
    <w:nsid w:val="419AC241"/>
    <w:multiLevelType w:val="hybridMultilevel"/>
    <w:lvl w:ilvl="0">
      <w:lvlJc w:val="left"/>
      <w:lvlText w:val="(%1)"/>
      <w:numFmt w:val="lowerLetter"/>
      <w:start w:val="3"/>
    </w:lvl>
    <w:lvl w:ilvl="1">
      <w:lvlJc w:val="left"/>
      <w:lvlText w:val="%2"/>
      <w:numFmt w:val="lowerLetter"/>
      <w:start w:val="1"/>
    </w:lvl>
  </w:abstractNum>
  <w:abstractNum w:abstractNumId="13">
    <w:nsid w:val="5577F8E1"/>
    <w:multiLevelType w:val="hybridMultilevel"/>
    <w:lvl w:ilvl="0">
      <w:lvlJc w:val="left"/>
      <w:lvlText w:val="%1."/>
      <w:numFmt w:val="decimal"/>
      <w:start w:val="2"/>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1."/>
      <w:numFmt w:val="decimal"/>
      <w:start w:val="3"/>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1)"/>
      <w:numFmt w:val="lowerLetter"/>
      <w:start w:val="4"/>
    </w:lvl>
  </w:abstractNum>
  <w:abstractNum w:abstractNumId="18">
    <w:nsid w:val="7724C67E"/>
    <w:multiLevelType w:val="hybridMultilevel"/>
    <w:lvl w:ilvl="0">
      <w:lvlJc w:val="left"/>
      <w:lvlText w:val="(%1)"/>
      <w:numFmt w:val="lowerLetter"/>
      <w:start w:val="8"/>
    </w:lvl>
  </w:abstractNum>
  <w:abstractNum w:abstractNumId="19">
    <w:nsid w:val="5C482A97"/>
    <w:multiLevelType w:val="hybridMultilevel"/>
    <w:lvl w:ilvl="0">
      <w:lvlJc w:val="left"/>
      <w:lvlText w:val="%1"/>
      <w:numFmt w:val="lowerLetter"/>
      <w:start w:val="1"/>
    </w:lvl>
    <w:lvl w:ilvl="1">
      <w:lvlJc w:val="left"/>
      <w:lvlText w:val="(%2)"/>
      <w:numFmt w:val="lowerLetter"/>
      <w:start w:val="13"/>
    </w:lvl>
  </w:abstractNum>
  <w:abstractNum w:abstractNumId="20">
    <w:nsid w:val="2463B9EA"/>
    <w:multiLevelType w:val="hybridMultilevel"/>
    <w:lvl w:ilvl="0">
      <w:lvlJc w:val="left"/>
      <w:lvlText w:val="(%1)"/>
      <w:numFmt w:val="lowerLetter"/>
      <w:start w:val="9"/>
    </w:lvl>
    <w:lvl w:ilvl="1">
      <w:lvlJc w:val="left"/>
      <w:lvlText w:val="(%2)"/>
      <w:numFmt w:val="lowerLetter"/>
      <w:start w:val="14"/>
    </w:lvl>
  </w:abstractNum>
  <w:abstractNum w:abstractNumId="21">
    <w:nsid w:val="5E884ADC"/>
    <w:multiLevelType w:val="hybridMultilevel"/>
    <w:lvl w:ilvl="0">
      <w:lvlJc w:val="left"/>
      <w:lvlText w:val="(%1)"/>
      <w:numFmt w:val="lowerLetter"/>
      <w:start w:val="17"/>
    </w:lvl>
  </w:abstractNum>
  <w:abstractNum w:abstractNumId="22">
    <w:nsid w:val="51EAD36B"/>
    <w:multiLevelType w:val="hybridMultilevel"/>
    <w:lvl w:ilvl="0">
      <w:lvlJc w:val="left"/>
      <w:lvlText w:val="(%1)"/>
      <w:numFmt w:val="lowerLetter"/>
      <w:start w:val="19"/>
    </w:lvl>
  </w:abstractNum>
  <w:abstractNum w:abstractNumId="23">
    <w:nsid w:val="2D517796"/>
    <w:multiLevelType w:val="hybridMultilevel"/>
    <w:lvl w:ilvl="0">
      <w:lvlJc w:val="left"/>
      <w:lvlText w:val="%1"/>
      <w:numFmt w:val="lowerLetter"/>
      <w:start w:val="1"/>
    </w:lvl>
    <w:lvl w:ilvl="1">
      <w:lvlJc w:val="left"/>
      <w:lvlText w:val="(%2)"/>
      <w:numFmt w:val="lowerLetter"/>
      <w:start w:val="22"/>
    </w:lvl>
  </w:abstractNum>
  <w:abstractNum w:abstractNumId="24">
    <w:nsid w:val="580BD78F"/>
    <w:multiLevelType w:val="hybridMultilevel"/>
    <w:lvl w:ilvl="0">
      <w:lvlJc w:val="left"/>
      <w:lvlText w:val="(%1)"/>
      <w:numFmt w:val="lowerLetter"/>
      <w:start w:val="3"/>
    </w:lvl>
    <w:lvl w:ilvl="1">
      <w:lvlJc w:val="left"/>
      <w:lvlText w:val="%2"/>
      <w:numFmt w:val="lowerLetter"/>
      <w:start w:val="1"/>
    </w:lvl>
  </w:abstractNum>
  <w:abstractNum w:abstractNumId="25">
    <w:nsid w:val="153EA438"/>
    <w:multiLevelType w:val="hybridMultilevel"/>
    <w:lvl w:ilvl="0">
      <w:lvlJc w:val="left"/>
      <w:lvlText w:val="(%1)"/>
      <w:numFmt w:val="lowerLetter"/>
      <w:start w:val="26"/>
    </w:lvl>
  </w:abstractNum>
  <w:abstractNum w:abstractNumId="26">
    <w:nsid w:val="3855585C"/>
    <w:multiLevelType w:val="hybridMultilevel"/>
    <w:lvl w:ilvl="0">
      <w:lvlJc w:val="left"/>
      <w:lvlText w:val="(%1)"/>
      <w:numFmt w:val="lowerLetter"/>
      <w:start w:val="27"/>
    </w:lvl>
  </w:abstractNum>
  <w:abstractNum w:abstractNumId="27">
    <w:nsid w:val="70A64E2A"/>
    <w:multiLevelType w:val="hybridMultilevel"/>
    <w:lvl w:ilvl="0">
      <w:lvlJc w:val="left"/>
      <w:lvlText w:val="(%1)"/>
      <w:numFmt w:val="lowerLetter"/>
      <w:start w:val="33"/>
    </w:lvl>
  </w:abstractNum>
  <w:abstractNum w:abstractNumId="28">
    <w:nsid w:val="6A2342EC"/>
    <w:multiLevelType w:val="hybridMultilevel"/>
    <w:lvl w:ilvl="0">
      <w:lvlJc w:val="left"/>
      <w:lvlText w:val="(%1)"/>
      <w:numFmt w:val="lowerLetter"/>
      <w:start w:val="38"/>
    </w:lvl>
  </w:abstractNum>
  <w:abstractNum w:abstractNumId="29">
    <w:nsid w:val="2A487CB0"/>
    <w:multiLevelType w:val="hybridMultilevel"/>
    <w:lvl w:ilvl="0">
      <w:lvlJc w:val="left"/>
      <w:lvlText w:val="(%1)"/>
      <w:numFmt w:val="lowerLetter"/>
      <w:start w:val="42"/>
    </w:lvl>
  </w:abstractNum>
  <w:abstractNum w:abstractNumId="30">
    <w:nsid w:val="1D4ED43B"/>
    <w:multiLevelType w:val="hybridMultilevel"/>
    <w:lvl w:ilvl="0">
      <w:lvlJc w:val="left"/>
      <w:lvlText w:val="(%1)"/>
      <w:numFmt w:val="lowerLetter"/>
      <w:start w:val="45"/>
    </w:lvl>
  </w:abstractNum>
  <w:abstractNum w:abstractNumId="31">
    <w:nsid w:val="725A06FB"/>
    <w:multiLevelType w:val="hybridMultilevel"/>
    <w:lvl w:ilvl="0">
      <w:lvlJc w:val="left"/>
      <w:lvlText w:val="%1."/>
      <w:numFmt w:val="decimal"/>
      <w:start w:val="4"/>
    </w:lvl>
  </w:abstractNum>
  <w:abstractNum w:abstractNumId="32">
    <w:nsid w:val="2CD89A32"/>
    <w:multiLevelType w:val="hybridMultilevel"/>
    <w:lvl w:ilvl="0">
      <w:lvlJc w:val="left"/>
      <w:lvlText w:val="(%1)"/>
      <w:numFmt w:val="lowerLetter"/>
      <w:start w:val="1"/>
    </w:lvl>
  </w:abstractNum>
  <w:abstractNum w:abstractNumId="33">
    <w:nsid w:val="57E4CCAF"/>
    <w:multiLevelType w:val="hybridMultilevel"/>
    <w:lvl w:ilvl="0">
      <w:lvlJc w:val="left"/>
      <w:lvlText w:val="%1"/>
      <w:numFmt w:val="lowerLetter"/>
      <w:start w:val="1"/>
    </w:lvl>
    <w:lvl w:ilvl="1">
      <w:lvlJc w:val="left"/>
      <w:lvlText w:val="(%2)"/>
      <w:numFmt w:val="lowerLetter"/>
      <w:start w:val="5"/>
    </w:lvl>
  </w:abstractNum>
  <w:abstractNum w:abstractNumId="34">
    <w:nsid w:val="7A6D8D3C"/>
    <w:multiLevelType w:val="hybridMultilevel"/>
    <w:lvl w:ilvl="0">
      <w:lvlJc w:val="left"/>
      <w:lvlText w:val="(%1)"/>
      <w:numFmt w:val="lowerLetter"/>
      <w:start w:val="61"/>
    </w:lvl>
    <w:lvl w:ilvl="1">
      <w:lvlJc w:val="left"/>
      <w:lvlText w:val="(%2)"/>
      <w:numFmt w:val="lowerLetter"/>
      <w:start w:val="8"/>
    </w:lvl>
  </w:abstractNum>
  <w:abstractNum w:abstractNumId="35">
    <w:nsid w:val="4B588F54"/>
    <w:multiLevelType w:val="hybridMultilevel"/>
    <w:lvl w:ilvl="0">
      <w:lvlJc w:val="left"/>
      <w:lvlText w:val="(%1)"/>
      <w:numFmt w:val="lowerLetter"/>
      <w:start w:val="9"/>
    </w:lvl>
  </w:abstractNum>
  <w:abstractNum w:abstractNumId="36">
    <w:nsid w:val="542289EC"/>
    <w:multiLevelType w:val="hybridMultilevel"/>
    <w:lvl w:ilvl="0">
      <w:lvlJc w:val="left"/>
      <w:lvlText w:val="%1."/>
      <w:numFmt w:val="decimal"/>
      <w:start w:val="5"/>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1)"/>
      <w:numFmt w:val="lowerLetter"/>
      <w:start w:val="3"/>
    </w:lvl>
  </w:abstractNum>
  <w:abstractNum w:abstractNumId="39">
    <w:nsid w:val="7644A45C"/>
    <w:multiLevelType w:val="hybridMultilevel"/>
    <w:lvl w:ilvl="0">
      <w:lvlJc w:val="left"/>
      <w:lvlText w:val="(%1)"/>
      <w:numFmt w:val="lowerLetter"/>
      <w:start w:val="8"/>
    </w:lvl>
  </w:abstractNum>
  <w:abstractNum w:abstractNumId="40">
    <w:nsid w:val="32FFF902"/>
    <w:multiLevelType w:val="hybridMultilevel"/>
    <w:lvl w:ilvl="0">
      <w:lvlJc w:val="left"/>
      <w:lvlText w:val="%1."/>
      <w:numFmt w:val="decimal"/>
      <w:start w:val="7"/>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lowerLetter"/>
      <w:start w:val="3"/>
    </w:lvl>
  </w:abstractNum>
  <w:abstractNum w:abstractNumId="43">
    <w:nsid w:val="749ABB43"/>
    <w:multiLevelType w:val="hybridMultilevel"/>
    <w:lvl w:ilvl="0">
      <w:lvlJc w:val="left"/>
      <w:lvlText w:val="(%1)"/>
      <w:numFmt w:val="lowerLetter"/>
      <w:start w:val="4"/>
    </w:lvl>
  </w:abstractNum>
  <w:abstractNum w:abstractNumId="44">
    <w:nsid w:val="3DC240FB"/>
    <w:multiLevelType w:val="hybridMultilevel"/>
    <w:lvl w:ilvl="0">
      <w:lvlJc w:val="left"/>
      <w:lvlText w:val="%1."/>
      <w:numFmt w:val="decimal"/>
      <w:start w:val="8"/>
    </w:lvl>
  </w:abstractNum>
  <w:abstractNum w:abstractNumId="45">
    <w:nsid w:val="1BA026FA"/>
    <w:multiLevelType w:val="hybridMultilevel"/>
    <w:lvl w:ilvl="0">
      <w:lvlJc w:val="left"/>
      <w:lvlText w:val="%1."/>
      <w:numFmt w:val="decimal"/>
      <w:start w:val="9"/>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lowerLetter"/>
      <w:start w:val="4"/>
    </w:lvl>
  </w:abstractNum>
  <w:abstractNum w:abstractNumId="48">
    <w:nsid w:val="12E685FB"/>
    <w:multiLevelType w:val="hybridMultilevel"/>
    <w:lvl w:ilvl="0">
      <w:lvlJc w:val="left"/>
      <w:lvlText w:val="%1."/>
      <w:numFmt w:val="decimal"/>
      <w:start w:val="10"/>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decimal"/>
      <w:start w:val="11"/>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lowerLetter"/>
      <w:start w:val="3"/>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1)"/>
      <w:numFmt w:val="lowerLetter"/>
      <w:start w:val="1"/>
    </w:lvl>
    <w:lvl w:ilvl="1">
      <w:lvlJc w:val="left"/>
      <w:lvlText w:val="(%2)"/>
      <w:numFmt w:val="lowerRoman"/>
      <w:start w:val="1"/>
    </w:lvl>
  </w:abstractNum>
  <w:abstractNum w:abstractNumId="55">
    <w:nsid w:val="275AC794"/>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14" Type="http://schemas.openxmlformats.org/officeDocument/2006/relationships/hyperlink" Target="https://www.sec.gov/Archives/edgar/data/1360214/000149315225013268/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2026-03-27T15:40:34Z</dcterms:created>
  <dcterms:modified xsi:type="dcterms:W3CDTF">2026-03-27T15:40:34Z</dcterms:modified>
</cp:coreProperties>
</file>