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460" w:type="dxa"/>
            <w:vAlign w:val="bottom"/>
            <w:gridSpan w:val="25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jc w:val="center"/>
              <w:ind w:righ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980" w:type="dxa"/>
            <w:vAlign w:val="bottom"/>
            <w:gridSpan w:val="23"/>
            <w:vMerge w:val="restart"/>
          </w:tcPr>
          <w:p>
            <w:pPr>
              <w:jc w:val="center"/>
              <w:ind w:right="49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98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98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180" w:type="dxa"/>
            <w:vAlign w:val="bottom"/>
            <w:gridSpan w:val="20"/>
            <w:vMerge w:val="restart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gridSpan w:val="2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1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 w:line="24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Longboard Capital Advisors, LLC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5"/>
          </w:tcPr>
          <w:p>
            <w:pPr>
              <w:jc w:val="center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Imprimis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IMMY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0000EE"/>
            </w:tcBorders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80" w:type="dxa"/>
            <w:vAlign w:val="bottom"/>
            <w:gridSpan w:val="1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Institutional Investor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1312 CEDAR STREET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90405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120" w:type="dxa"/>
            <w:vAlign w:val="bottom"/>
            <w:gridSpan w:val="1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8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8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1,416,000</w:t>
            </w:r>
          </w:p>
        </w:tc>
        <w:tc>
          <w:tcPr>
            <w:tcW w:w="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20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8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8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1.79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06/27/2017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12/27/2019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1,416,000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Longboard Capital Advisors,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1312 CEDAR STREET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MONICA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90405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Conrad Brett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1312 CEDAR ST.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MONICA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90405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-9181465</wp:posOffset>
            </wp:positionV>
            <wp:extent cx="7322820" cy="9263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26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$0.125/warrant; $1.915/unit (common stock and warrant)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Brett Conrad, sole managing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03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member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-15875</wp:posOffset>
            </wp:positionV>
            <wp:extent cx="36385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5807710</wp:posOffset>
            </wp:positionH>
            <wp:positionV relativeFrom="paragraph">
              <wp:posOffset>-84455</wp:posOffset>
            </wp:positionV>
            <wp:extent cx="50609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Brett Conrad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02/08/2018</w:t>
            </w:r>
          </w:p>
        </w:tc>
      </w:tr>
    </w:tbl>
    <w:p>
      <w:pPr>
        <w:spacing w:after="0" w:line="80" w:lineRule="exact"/>
        <w:rPr>
          <w:sz w:val="20"/>
          <w:szCs w:val="20"/>
          <w:color w:val="auto"/>
        </w:rPr>
      </w:pPr>
    </w:p>
    <w:p>
      <w:pPr>
        <w:sectPr>
          <w:pgSz w:w="11900" w:h="16908" w:orient="portrait"/>
          <w:cols w:equalWidth="0" w:num="1">
            <w:col w:w="11520"/>
          </w:cols>
          <w:pgMar w:left="240" w:top="226" w:right="139" w:bottom="0" w:gutter="0" w:footer="0" w:header="0"/>
        </w:sect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90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2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80"/>
      </w:cols>
      <w:pgMar w:left="280" w:top="193" w:right="1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04815" TargetMode="External"/><Relationship Id="rId9" Type="http://schemas.openxmlformats.org/officeDocument/2006/relationships/hyperlink" Target="http://www.sec.gov/cgi-bin/browse-edgar?action=getcompany&amp;CIK=0001360214" TargetMode="External"/><Relationship Id="rId10" Type="http://schemas.openxmlformats.org/officeDocument/2006/relationships/hyperlink" Target="http://www.sec.gov/cgi-bin/browse-edgar?action=getcompany&amp;CIK=00017308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2020-01-13T22:37:37Z</dcterms:created>
  <dcterms:modified xsi:type="dcterms:W3CDTF">2020-01-13T22:37:37Z</dcterms:modified>
</cp:coreProperties>
</file>