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comments.xml" ContentType="application/vnd.openxmlformats-officedocument.wordprocessingml.commen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s1_s1mef.htm"/>
      <w:bookmarkStart w:id="1" w:name="kss1_s1mef"/>
      <w:bookmarkStart w:id="2" w:name="s1_s1mef.htm"/>
      <w:bookmarkStart w:id="3" w:name="kss1_s1mef"/>
      <w:bookmarkEnd w:id="2"/>
      <w:bookmarkEnd w:id="3"/>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 xml:space="preserve">As filed with the Securities and Exchange Commission on February 7, 2013 </w:t>
      </w:r>
    </w:p>
    <w:p>
      <w:pPr>
        <w:pStyle w:val="TextBody"/>
        <w:spacing w:before="0" w:after="0"/>
        <w:ind w:left="0" w:right="0" w:hanging="0"/>
        <w:jc w:val="right"/>
        <w:rPr>
          <w:b/>
        </w:rPr>
      </w:pPr>
      <w:r>
        <w:rPr>
          <w:b/>
        </w:rPr>
        <w:t>No. 333-                </w:t>
      </w:r>
    </w:p>
    <w:p>
      <w:pPr>
        <w:pStyle w:val="TextBody"/>
        <w:spacing w:before="0" w:after="0"/>
        <w:ind w:left="0" w:right="0" w:hanging="0"/>
        <w:jc w:val="center"/>
        <w:rPr/>
      </w:pPr>
      <w:r>
        <w:rPr/>
        <w:t>____________________________________________________________________________________________________________</w:t>
      </w:r>
    </w:p>
    <w:p>
      <w:pPr>
        <w:pStyle w:val="TextBody"/>
        <w:spacing w:before="0" w:after="0"/>
        <w:ind w:left="0" w:right="0" w:hanging="0"/>
        <w:rPr/>
      </w:pPr>
      <w:r>
        <w:rPr/>
      </w:r>
    </w:p>
    <w:p>
      <w:pPr>
        <w:pStyle w:val="TextBody"/>
        <w:spacing w:before="0" w:after="0"/>
        <w:ind w:left="0" w:right="0" w:hanging="0"/>
        <w:jc w:val="center"/>
        <w:rPr>
          <w:b/>
          <w:sz w:val="20"/>
        </w:rPr>
      </w:pPr>
      <w:r>
        <w:rPr>
          <w:b/>
          <w:sz w:val="20"/>
        </w:rPr>
        <w:t>UNITED STATES</w:t>
      </w:r>
    </w:p>
    <w:p>
      <w:pPr>
        <w:pStyle w:val="TextBody"/>
        <w:spacing w:before="0" w:after="0"/>
        <w:ind w:left="0" w:right="0" w:hanging="0"/>
        <w:jc w:val="center"/>
        <w:rPr>
          <w:b/>
          <w:sz w:val="20"/>
        </w:rPr>
      </w:pPr>
      <w:r>
        <w:rPr>
          <w:b/>
          <w:sz w:val="20"/>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sz w:val="23"/>
        </w:rPr>
      </w:pPr>
      <w:r>
        <w:rPr>
          <w:sz w:val="23"/>
        </w:rPr>
        <w:t>___________________</w:t>
      </w:r>
    </w:p>
    <w:p>
      <w:pPr>
        <w:pStyle w:val="TextBody"/>
        <w:spacing w:before="0" w:after="0"/>
        <w:ind w:left="0" w:right="0" w:hanging="0"/>
        <w:jc w:val="center"/>
        <w:rPr>
          <w:b/>
          <w:sz w:val="23"/>
        </w:rPr>
      </w:pPr>
      <w:r>
        <w:rPr>
          <w:b/>
          <w:sz w:val="23"/>
        </w:rPr>
        <w:t>FORM S-1</w:t>
      </w:r>
    </w:p>
    <w:p>
      <w:pPr>
        <w:pStyle w:val="TextBody"/>
        <w:spacing w:before="0" w:after="0"/>
        <w:ind w:left="0" w:right="0" w:hanging="0"/>
        <w:jc w:val="center"/>
        <w:rPr>
          <w:b/>
        </w:rPr>
      </w:pPr>
      <w:r>
        <w:rPr>
          <w:b/>
        </w:rPr>
        <w:t>REGISTRATION STATEMENT UNDER THE SECURITIES ACT OF 1933</w:t>
      </w:r>
    </w:p>
    <w:p>
      <w:pPr>
        <w:pStyle w:val="TextBody"/>
        <w:spacing w:before="0" w:after="0"/>
        <w:ind w:left="0" w:right="0" w:hanging="0"/>
        <w:jc w:val="center"/>
        <w:rPr/>
      </w:pPr>
      <w:r>
        <w:rPr/>
        <w:t>__________________________</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t>___________________________</w:t>
      </w:r>
    </w:p>
    <w:p>
      <w:pPr>
        <w:pStyle w:val="TextBody"/>
        <w:spacing w:before="0" w:after="0"/>
        <w:ind w:left="0" w:right="0" w:hanging="0"/>
        <w:jc w:val="center"/>
        <w:rPr/>
      </w:pPr>
      <w:r>
        <w:rPr/>
      </w:r>
    </w:p>
    <w:tbl>
      <w:tblPr>
        <w:tblW w:w="9165" w:type="dxa"/>
        <w:jc w:val="center"/>
        <w:tblInd w:w="0" w:type="dxa"/>
        <w:tblCellMar>
          <w:top w:w="0" w:type="dxa"/>
          <w:left w:w="0" w:type="dxa"/>
          <w:bottom w:w="0" w:type="dxa"/>
          <w:right w:w="0" w:type="dxa"/>
        </w:tblCellMar>
      </w:tblPr>
      <w:tblGrid>
        <w:gridCol w:w="2760"/>
        <w:gridCol w:w="450"/>
        <w:gridCol w:w="2745"/>
        <w:gridCol w:w="450"/>
        <w:gridCol w:w="2760"/>
      </w:tblGrid>
      <w:tr>
        <w:trPr/>
        <w:tc>
          <w:tcPr>
            <w:tcW w:w="276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r>
      <w:tr>
        <w:trPr/>
        <w:tc>
          <w:tcPr>
            <w:tcW w:w="2760" w:type="dxa"/>
            <w:tcBorders>
              <w:bottom w:val="single" w:sz="12" w:space="0" w:color="000000"/>
            </w:tcBorders>
            <w:shd w:fill="auto" w:val="clear"/>
            <w:tcMar>
              <w:bottom w:w="28" w:type="dxa"/>
            </w:tcMar>
          </w:tcPr>
          <w:p>
            <w:pPr>
              <w:pStyle w:val="TableContents"/>
              <w:spacing w:before="0" w:after="0"/>
              <w:ind w:left="0" w:right="0" w:hanging="0"/>
              <w:jc w:val="center"/>
              <w:rPr>
                <w:b/>
              </w:rPr>
            </w:pPr>
            <w:r>
              <w:rPr>
                <w:b/>
              </w:rPr>
              <w:t>Delaware</w:t>
            </w:r>
          </w:p>
        </w:tc>
        <w:tc>
          <w:tcPr>
            <w:tcW w:w="450" w:type="dxa"/>
            <w:tcBorders/>
            <w:shd w:fill="auto" w:val="clear"/>
            <w:vAlign w:val="bottom"/>
          </w:tcPr>
          <w:p>
            <w:pPr>
              <w:pStyle w:val="TableContents"/>
              <w:pBdr/>
              <w:spacing w:before="0" w:after="0"/>
              <w:ind w:left="0" w:right="0" w:hanging="0"/>
              <w:rPr/>
            </w:pPr>
            <w:r>
              <w:rPr/>
              <w:t> </w:t>
            </w:r>
          </w:p>
        </w:tc>
        <w:tc>
          <w:tcPr>
            <w:tcW w:w="2745" w:type="dxa"/>
            <w:tcBorders>
              <w:bottom w:val="single" w:sz="12" w:space="0" w:color="000000"/>
            </w:tcBorders>
            <w:shd w:fill="auto" w:val="clear"/>
            <w:tcMar>
              <w:bottom w:w="28" w:type="dxa"/>
            </w:tcMar>
          </w:tcPr>
          <w:p>
            <w:pPr>
              <w:pStyle w:val="TableContents"/>
              <w:spacing w:before="0" w:after="0"/>
              <w:ind w:left="0" w:right="0" w:hanging="0"/>
              <w:jc w:val="center"/>
              <w:rPr>
                <w:b/>
              </w:rPr>
            </w:pPr>
            <w:r>
              <w:rPr>
                <w:b/>
              </w:rPr>
              <w:t>2834</w:t>
            </w:r>
          </w:p>
        </w:tc>
        <w:tc>
          <w:tcPr>
            <w:tcW w:w="450" w:type="dxa"/>
            <w:tcBorders/>
            <w:shd w:fill="auto" w:val="clear"/>
            <w:vAlign w:val="bottom"/>
          </w:tcPr>
          <w:p>
            <w:pPr>
              <w:pStyle w:val="TableContents"/>
              <w:pBdr/>
              <w:spacing w:before="0" w:after="0"/>
              <w:ind w:left="0" w:right="0" w:hanging="0"/>
              <w:rPr/>
            </w:pPr>
            <w:r>
              <w:rPr/>
              <w:t> </w:t>
            </w:r>
          </w:p>
        </w:tc>
        <w:tc>
          <w:tcPr>
            <w:tcW w:w="2760" w:type="dxa"/>
            <w:tcBorders>
              <w:bottom w:val="single" w:sz="12" w:space="0" w:color="000000"/>
            </w:tcBorders>
            <w:shd w:fill="auto" w:val="clear"/>
            <w:tcMar>
              <w:bottom w:w="28" w:type="dxa"/>
            </w:tcMar>
          </w:tcPr>
          <w:p>
            <w:pPr>
              <w:pStyle w:val="TableContents"/>
              <w:spacing w:before="0" w:after="0"/>
              <w:ind w:left="0" w:right="0" w:hanging="0"/>
              <w:jc w:val="center"/>
              <w:rPr>
                <w:b/>
              </w:rPr>
            </w:pPr>
            <w:r>
              <w:rPr>
                <w:b/>
              </w:rPr>
              <w:t>45-0567010</w:t>
            </w:r>
          </w:p>
        </w:tc>
      </w:tr>
      <w:tr>
        <w:trPr/>
        <w:tc>
          <w:tcPr>
            <w:tcW w:w="2760" w:type="dxa"/>
            <w:tcBorders/>
            <w:shd w:fill="auto" w:val="clear"/>
          </w:tcPr>
          <w:p>
            <w:pPr>
              <w:pStyle w:val="TableContents"/>
              <w:spacing w:before="0" w:after="0"/>
              <w:ind w:left="0" w:right="0" w:hanging="0"/>
              <w:jc w:val="center"/>
              <w:rPr/>
            </w:pPr>
            <w:r>
              <w:rPr/>
              <w:t>(State or other jurisdiction of</w:t>
            </w:r>
          </w:p>
          <w:p>
            <w:pPr>
              <w:pStyle w:val="TableContents"/>
              <w:spacing w:before="0" w:after="0"/>
              <w:ind w:left="0" w:right="0" w:hanging="0"/>
              <w:jc w:val="center"/>
              <w:rPr/>
            </w:pPr>
            <w:r>
              <w:rPr/>
              <w:t>incorporation or organization)</w:t>
            </w:r>
          </w:p>
        </w:tc>
        <w:tc>
          <w:tcPr>
            <w:tcW w:w="450" w:type="dxa"/>
            <w:tcBorders/>
            <w:shd w:fill="auto" w:val="clear"/>
            <w:vAlign w:val="bottom"/>
          </w:tcPr>
          <w:p>
            <w:pPr>
              <w:pStyle w:val="TableContents"/>
              <w:pBdr/>
              <w:spacing w:before="0" w:after="0"/>
              <w:ind w:left="0" w:right="0" w:hanging="0"/>
              <w:rPr/>
            </w:pPr>
            <w:r>
              <w:rPr/>
              <w:t> </w:t>
            </w:r>
          </w:p>
        </w:tc>
        <w:tc>
          <w:tcPr>
            <w:tcW w:w="2745" w:type="dxa"/>
            <w:tcBorders/>
            <w:shd w:fill="auto" w:val="clear"/>
          </w:tcPr>
          <w:p>
            <w:pPr>
              <w:pStyle w:val="TableContents"/>
              <w:spacing w:before="0" w:after="0"/>
              <w:ind w:left="0" w:right="0" w:hanging="0"/>
              <w:jc w:val="center"/>
              <w:rPr/>
            </w:pPr>
            <w:r>
              <w:rPr/>
              <w:t>(Primary Standard Industrial</w:t>
            </w:r>
          </w:p>
          <w:p>
            <w:pPr>
              <w:pStyle w:val="TableContents"/>
              <w:spacing w:before="0" w:after="0"/>
              <w:ind w:left="0" w:right="0" w:hanging="0"/>
              <w:jc w:val="center"/>
              <w:rPr/>
            </w:pPr>
            <w:r>
              <w:rPr/>
              <w:t>Classification Code Number)</w:t>
            </w:r>
          </w:p>
        </w:tc>
        <w:tc>
          <w:tcPr>
            <w:tcW w:w="450" w:type="dxa"/>
            <w:tcBorders/>
            <w:shd w:fill="auto" w:val="clear"/>
            <w:vAlign w:val="bottom"/>
          </w:tcPr>
          <w:p>
            <w:pPr>
              <w:pStyle w:val="TableContents"/>
              <w:pBdr/>
              <w:spacing w:before="0" w:after="0"/>
              <w:ind w:left="0" w:right="0" w:hanging="0"/>
              <w:rPr/>
            </w:pPr>
            <w:r>
              <w:rPr/>
              <w:t> </w:t>
            </w:r>
          </w:p>
        </w:tc>
        <w:tc>
          <w:tcPr>
            <w:tcW w:w="2760" w:type="dxa"/>
            <w:tcBorders/>
            <w:shd w:fill="auto" w:val="clear"/>
          </w:tcPr>
          <w:p>
            <w:pPr>
              <w:pStyle w:val="TableContents"/>
              <w:spacing w:before="0" w:after="0"/>
              <w:ind w:left="0" w:right="0" w:hanging="0"/>
              <w:jc w:val="center"/>
              <w:rPr/>
            </w:pPr>
            <w:r>
              <w:rPr/>
              <w:t>(I.R.S. Employer</w:t>
            </w:r>
          </w:p>
          <w:p>
            <w:pPr>
              <w:pStyle w:val="TableContents"/>
              <w:spacing w:before="0" w:after="0"/>
              <w:ind w:left="0" w:right="0" w:hanging="0"/>
              <w:jc w:val="center"/>
              <w:rPr/>
            </w:pPr>
            <w:r>
              <w:rPr/>
              <w:t>Identification Number)</w:t>
            </w:r>
          </w:p>
        </w:tc>
      </w:tr>
    </w:tbl>
    <w:p>
      <w:pPr>
        <w:pStyle w:val="TextBody"/>
        <w:spacing w:before="0" w:after="0"/>
        <w:ind w:left="0" w:right="0" w:hanging="0"/>
        <w:jc w:val="center"/>
        <w:rPr/>
      </w:pPr>
      <w:r>
        <w:rPr/>
      </w:r>
    </w:p>
    <w:p>
      <w:pPr>
        <w:pStyle w:val="TextBody"/>
        <w:spacing w:before="0" w:after="0"/>
        <w:ind w:left="0" w:right="0" w:hanging="0"/>
        <w:jc w:val="center"/>
        <w:rPr>
          <w:b/>
        </w:rPr>
      </w:pPr>
      <w:r>
        <w:rPr>
          <w:b/>
        </w:rPr>
        <w:t>437 S. Hwy 101, Suite 209</w:t>
      </w:r>
    </w:p>
    <w:p>
      <w:pPr>
        <w:pStyle w:val="TextBody"/>
        <w:spacing w:before="0" w:after="0"/>
        <w:ind w:left="0" w:right="0" w:hanging="0"/>
        <w:jc w:val="center"/>
        <w:rPr>
          <w:b/>
        </w:rPr>
      </w:pPr>
      <w:r>
        <w:rPr>
          <w:b/>
        </w:rPr>
        <w:t>Solana Beach, CA 92075</w:t>
      </w:r>
    </w:p>
    <w:p>
      <w:pPr>
        <w:pStyle w:val="TextBody"/>
        <w:spacing w:before="0" w:after="0"/>
        <w:ind w:left="0" w:right="0" w:hanging="0"/>
        <w:jc w:val="center"/>
        <w:rPr>
          <w:b/>
        </w:rPr>
      </w:pPr>
      <w:r>
        <w:rPr>
          <w:b/>
        </w:rPr>
        <w:t>(858) 433-2800</w:t>
      </w:r>
    </w:p>
    <w:p>
      <w:pPr>
        <w:pStyle w:val="TextBody"/>
        <w:spacing w:before="0" w:after="0"/>
        <w:ind w:left="0" w:right="0" w:hanging="0"/>
        <w:jc w:val="center"/>
        <w:rPr/>
      </w:pPr>
      <w:r>
        <w:rPr/>
        <w:t>(Address, including zip code, and telephone number, including</w:t>
      </w:r>
    </w:p>
    <w:p>
      <w:pPr>
        <w:pStyle w:val="TextBody"/>
        <w:spacing w:before="0" w:after="0"/>
        <w:ind w:left="0" w:right="0" w:hanging="0"/>
        <w:jc w:val="center"/>
        <w:rPr/>
      </w:pPr>
      <w:r>
        <w:rPr/>
        <w:t>area code, of registrants principal executive offices)</w:t>
      </w:r>
    </w:p>
    <w:p>
      <w:pPr>
        <w:pStyle w:val="TextBody"/>
        <w:spacing w:before="0" w:after="0"/>
        <w:ind w:left="0" w:right="0" w:hanging="0"/>
        <w:jc w:val="center"/>
        <w:rPr/>
      </w:pPr>
      <w:r>
        <w:rPr/>
        <w:t>___________________________</w:t>
      </w:r>
    </w:p>
    <w:p>
      <w:pPr>
        <w:pStyle w:val="TextBody"/>
        <w:spacing w:before="0" w:after="0"/>
        <w:ind w:left="0" w:right="0" w:hanging="0"/>
        <w:jc w:val="center"/>
        <w:rPr/>
      </w:pPr>
      <w:r>
        <w:rPr/>
      </w:r>
    </w:p>
    <w:p>
      <w:pPr>
        <w:pStyle w:val="TextBody"/>
        <w:spacing w:before="0" w:after="0"/>
        <w:ind w:left="0" w:right="0" w:hanging="0"/>
        <w:jc w:val="center"/>
        <w:rPr>
          <w:b/>
        </w:rPr>
      </w:pPr>
      <w:r>
        <w:rPr>
          <w:b/>
        </w:rPr>
        <w:t>Mark L. Baum</w:t>
      </w:r>
    </w:p>
    <w:p>
      <w:pPr>
        <w:pStyle w:val="TextBody"/>
        <w:spacing w:before="0" w:after="0"/>
        <w:ind w:left="0" w:right="0" w:hanging="0"/>
        <w:jc w:val="center"/>
        <w:rPr>
          <w:b/>
        </w:rPr>
      </w:pPr>
      <w:r>
        <w:rPr>
          <w:b/>
        </w:rPr>
        <w:t>Chief Executive Officer</w:t>
      </w:r>
    </w:p>
    <w:p>
      <w:pPr>
        <w:pStyle w:val="TextBody"/>
        <w:spacing w:before="0" w:after="0"/>
        <w:ind w:left="0" w:right="0" w:hanging="0"/>
        <w:jc w:val="center"/>
        <w:rPr>
          <w:b/>
        </w:rPr>
      </w:pPr>
      <w:r>
        <w:rPr>
          <w:b/>
        </w:rPr>
        <w:t>437 S. Hwy 101, Suite 209</w:t>
      </w:r>
    </w:p>
    <w:p>
      <w:pPr>
        <w:pStyle w:val="TextBody"/>
        <w:spacing w:before="0" w:after="0"/>
        <w:ind w:left="0" w:right="0" w:hanging="0"/>
        <w:jc w:val="center"/>
        <w:rPr>
          <w:b/>
        </w:rPr>
      </w:pPr>
      <w:r>
        <w:rPr>
          <w:b/>
        </w:rPr>
        <w:t>Solana Beach, CA 92075</w:t>
      </w:r>
    </w:p>
    <w:p>
      <w:pPr>
        <w:pStyle w:val="TextBody"/>
        <w:spacing w:before="0" w:after="0"/>
        <w:ind w:left="0" w:right="0" w:hanging="0"/>
        <w:jc w:val="center"/>
        <w:rPr>
          <w:b/>
        </w:rPr>
      </w:pPr>
      <w:r>
        <w:rPr>
          <w:b/>
        </w:rPr>
        <w:t>(858) 433-2800</w:t>
      </w:r>
    </w:p>
    <w:p>
      <w:pPr>
        <w:pStyle w:val="TextBody"/>
        <w:spacing w:before="0" w:after="0"/>
        <w:ind w:left="0" w:right="0" w:hanging="0"/>
        <w:jc w:val="center"/>
        <w:rPr/>
      </w:pPr>
      <w:r>
        <w:rPr/>
        <w:t>(Name, address, including zip code, and telephone number, including</w:t>
      </w:r>
    </w:p>
    <w:p>
      <w:pPr>
        <w:pStyle w:val="TextBody"/>
        <w:spacing w:before="0" w:after="0"/>
        <w:ind w:left="0" w:right="0" w:hanging="0"/>
        <w:jc w:val="center"/>
        <w:rPr/>
      </w:pPr>
      <w:r>
        <w:rPr/>
        <w:t>area code, of agent for service)</w:t>
      </w:r>
    </w:p>
    <w:p>
      <w:pPr>
        <w:pStyle w:val="TextBody"/>
        <w:spacing w:before="0" w:after="0"/>
        <w:ind w:left="0" w:right="0" w:hanging="0"/>
        <w:jc w:val="center"/>
        <w:rPr/>
      </w:pPr>
      <w:r>
        <w:rPr/>
        <w:t>___________________________</w:t>
      </w:r>
    </w:p>
    <w:p>
      <w:pPr>
        <w:pStyle w:val="TextBody"/>
        <w:spacing w:before="0" w:after="0"/>
        <w:ind w:left="0" w:right="0" w:hanging="0"/>
        <w:jc w:val="center"/>
        <w:rPr/>
      </w:pPr>
      <w:r>
        <w:rPr/>
      </w:r>
    </w:p>
    <w:p>
      <w:pPr>
        <w:pStyle w:val="TextBody"/>
        <w:spacing w:before="0" w:after="0"/>
        <w:ind w:left="0" w:right="0" w:hanging="0"/>
        <w:jc w:val="center"/>
        <w:rPr>
          <w:b/>
        </w:rPr>
      </w:pPr>
      <w:r>
        <w:rPr>
          <w:b/>
        </w:rPr>
        <w:t>Copies to:</w:t>
      </w:r>
    </w:p>
    <w:tbl>
      <w:tblPr>
        <w:tblW w:w="5000" w:type="pct"/>
        <w:jc w:val="left"/>
        <w:tblInd w:w="0" w:type="dxa"/>
        <w:tblCellMar>
          <w:top w:w="0" w:type="dxa"/>
          <w:left w:w="0" w:type="dxa"/>
          <w:bottom w:w="0" w:type="dxa"/>
          <w:right w:w="0" w:type="dxa"/>
        </w:tblCellMar>
      </w:tblPr>
      <w:tblGrid>
        <w:gridCol w:w="3900"/>
        <w:gridCol w:w="6305"/>
      </w:tblGrid>
      <w:tr>
        <w:trPr/>
        <w:tc>
          <w:tcPr>
            <w:tcW w:w="3900" w:type="dxa"/>
            <w:tcBorders/>
            <w:shd w:fill="auto" w:val="clear"/>
            <w:vAlign w:val="center"/>
          </w:tcPr>
          <w:p>
            <w:pPr>
              <w:pStyle w:val="TableContents"/>
              <w:spacing w:before="0" w:after="283"/>
              <w:rPr>
                <w:sz w:val="4"/>
                <w:szCs w:val="4"/>
              </w:rPr>
            </w:pPr>
            <w:r>
              <w:rPr>
                <w:sz w:val="4"/>
                <w:szCs w:val="4"/>
              </w:rPr>
            </w:r>
          </w:p>
        </w:tc>
        <w:tc>
          <w:tcPr>
            <w:tcW w:w="6305" w:type="dxa"/>
            <w:tcBorders/>
            <w:shd w:fill="auto" w:val="clear"/>
            <w:vAlign w:val="center"/>
          </w:tcPr>
          <w:p>
            <w:pPr>
              <w:pStyle w:val="TableContents"/>
              <w:spacing w:before="0" w:after="283"/>
              <w:rPr>
                <w:sz w:val="4"/>
                <w:szCs w:val="4"/>
              </w:rPr>
            </w:pPr>
            <w:r>
              <w:rPr>
                <w:sz w:val="4"/>
                <w:szCs w:val="4"/>
              </w:rPr>
            </w:r>
          </w:p>
        </w:tc>
      </w:tr>
      <w:tr>
        <w:trPr/>
        <w:tc>
          <w:tcPr>
            <w:tcW w:w="3900" w:type="dxa"/>
            <w:tcBorders/>
            <w:shd w:fill="auto" w:val="clear"/>
            <w:vAlign w:val="center"/>
          </w:tcPr>
          <w:p>
            <w:pPr>
              <w:pStyle w:val="TableContents"/>
              <w:pBdr/>
              <w:spacing w:before="0" w:after="0"/>
              <w:ind w:left="0" w:right="0" w:hanging="0"/>
              <w:rPr/>
            </w:pPr>
            <w:r>
              <w:rPr/>
              <w:t> </w:t>
            </w:r>
          </w:p>
        </w:tc>
        <w:tc>
          <w:tcPr>
            <w:tcW w:w="6305" w:type="dxa"/>
            <w:tcBorders/>
            <w:shd w:fill="auto" w:val="clear"/>
            <w:vAlign w:val="center"/>
          </w:tcPr>
          <w:p>
            <w:pPr>
              <w:pStyle w:val="TableContents"/>
              <w:pBdr/>
              <w:spacing w:before="0" w:after="0"/>
              <w:ind w:left="0" w:right="0" w:hanging="0"/>
              <w:rPr/>
            </w:pPr>
            <w:r>
              <w:rPr/>
              <w:t> </w:t>
            </w:r>
          </w:p>
        </w:tc>
      </w:tr>
      <w:tr>
        <w:trPr/>
        <w:tc>
          <w:tcPr>
            <w:tcW w:w="3900" w:type="dxa"/>
            <w:vMerge w:val="restart"/>
            <w:tcBorders/>
            <w:shd w:fill="auto" w:val="clear"/>
          </w:tcPr>
          <w:p>
            <w:pPr>
              <w:pStyle w:val="TableContents"/>
              <w:spacing w:before="0" w:after="0"/>
              <w:ind w:left="0" w:right="0" w:hanging="0"/>
              <w:jc w:val="center"/>
              <w:rPr/>
            </w:pPr>
            <w:r>
              <w:rPr/>
              <w:t>Steven G. Rowles, Esq.</w:t>
            </w:r>
          </w:p>
          <w:p>
            <w:pPr>
              <w:pStyle w:val="TableContents"/>
              <w:spacing w:before="0" w:after="0"/>
              <w:ind w:left="0" w:right="0" w:hanging="0"/>
              <w:jc w:val="center"/>
              <w:rPr/>
            </w:pPr>
            <w:r>
              <w:rPr/>
              <w:t>Jeannette V. Filippone, Esq.</w:t>
            </w:r>
          </w:p>
          <w:p>
            <w:pPr>
              <w:pStyle w:val="TableContents"/>
              <w:spacing w:before="0" w:after="0"/>
              <w:ind w:left="0" w:right="0" w:hanging="0"/>
              <w:jc w:val="center"/>
              <w:rPr/>
            </w:pPr>
            <w:r>
              <w:rPr/>
              <w:t>Morrison &amp; Foerster LLP</w:t>
            </w:r>
          </w:p>
          <w:p>
            <w:pPr>
              <w:pStyle w:val="TableContents"/>
              <w:spacing w:before="0" w:after="0"/>
              <w:ind w:left="0" w:right="0" w:hanging="0"/>
              <w:jc w:val="center"/>
              <w:rPr/>
            </w:pPr>
            <w:r>
              <w:rPr/>
              <w:t>12531 High Bluff Drive, Suite 100</w:t>
            </w:r>
          </w:p>
          <w:p>
            <w:pPr>
              <w:pStyle w:val="TableContents"/>
              <w:spacing w:before="0" w:after="0"/>
              <w:ind w:left="0" w:right="0" w:hanging="0"/>
              <w:jc w:val="center"/>
              <w:rPr/>
            </w:pPr>
            <w:r>
              <w:rPr/>
              <w:t>San Diego, California 92130</w:t>
            </w:r>
          </w:p>
          <w:p>
            <w:pPr>
              <w:pStyle w:val="TableContents"/>
              <w:spacing w:before="0" w:after="0"/>
              <w:ind w:left="0" w:right="0" w:hanging="0"/>
              <w:jc w:val="center"/>
              <w:rPr/>
            </w:pPr>
            <w:r>
              <w:rPr/>
              <w:t>Tel: (858) 720-5100</w:t>
            </w:r>
          </w:p>
          <w:p>
            <w:pPr>
              <w:pStyle w:val="TableContents"/>
              <w:spacing w:before="0" w:after="0"/>
              <w:ind w:left="0" w:right="0" w:hanging="0"/>
              <w:jc w:val="center"/>
              <w:rPr/>
            </w:pPr>
            <w:r>
              <w:rPr/>
              <w:t>Fax: (858) 720-5125</w:t>
            </w:r>
          </w:p>
        </w:tc>
        <w:tc>
          <w:tcPr>
            <w:tcW w:w="6305" w:type="dxa"/>
            <w:tcBorders/>
            <w:shd w:fill="auto" w:val="clear"/>
          </w:tcPr>
          <w:p>
            <w:pPr>
              <w:pStyle w:val="TableContents"/>
              <w:spacing w:before="0" w:after="0"/>
              <w:ind w:left="0" w:right="0" w:hanging="0"/>
              <w:jc w:val="center"/>
              <w:rPr/>
            </w:pPr>
            <w:r>
              <w:rPr/>
              <w:t>Kevin Friedmann, Esq.</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Marc A. Jones, Esq.</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Richardson &amp; Patel LLP</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405 Lexington Avenue, 49</w:t>
            </w:r>
            <w:r>
              <w:rPr>
                <w:position w:val="8"/>
                <w:sz w:val="19"/>
              </w:rPr>
              <w:t>th</w:t>
            </w:r>
            <w:r>
              <w:rPr/>
              <w:t xml:space="preserve"> Floor</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New York, New York 10174</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Tel: (212) 561-5559</w:t>
            </w:r>
          </w:p>
        </w:tc>
      </w:tr>
      <w:tr>
        <w:trPr/>
        <w:tc>
          <w:tcPr>
            <w:tcW w:w="3900" w:type="dxa"/>
            <w:vMerge w:val="continue"/>
            <w:tcBorders/>
            <w:shd w:fill="auto" w:val="clear"/>
          </w:tcPr>
          <w:p>
            <w:pPr>
              <w:pStyle w:val="Normal"/>
              <w:rPr/>
            </w:pPr>
            <w:r>
              <w:rPr/>
            </w:r>
          </w:p>
        </w:tc>
        <w:tc>
          <w:tcPr>
            <w:tcW w:w="6305" w:type="dxa"/>
            <w:tcBorders/>
            <w:shd w:fill="auto" w:val="clear"/>
          </w:tcPr>
          <w:p>
            <w:pPr>
              <w:pStyle w:val="TableContents"/>
              <w:spacing w:before="0" w:after="0"/>
              <w:ind w:left="0" w:right="0" w:hanging="0"/>
              <w:jc w:val="center"/>
              <w:rPr/>
            </w:pPr>
            <w:r>
              <w:rPr/>
              <w:t>Fax: (917) 591-6898</w:t>
            </w:r>
          </w:p>
        </w:tc>
      </w:tr>
    </w:tbl>
    <w:p>
      <w:pPr>
        <w:pStyle w:val="TextBody"/>
        <w:spacing w:before="0" w:after="0"/>
        <w:ind w:left="0" w:right="0" w:hanging="0"/>
        <w:jc w:val="center"/>
        <w:rPr/>
      </w:pPr>
      <w:r>
        <w:rPr/>
        <w:t> </w:t>
      </w:r>
      <w:r>
        <w:rPr/>
        <w:t>__________________________</w:t>
      </w:r>
    </w:p>
    <w:p>
      <w:pPr>
        <w:pStyle w:val="TextBody"/>
        <w:spacing w:before="0" w:after="0"/>
        <w:ind w:left="0" w:right="0" w:hanging="0"/>
        <w:jc w:val="both"/>
        <w:rPr/>
      </w:pPr>
      <w:r>
        <w:rPr/>
      </w:r>
    </w:p>
    <w:p>
      <w:pPr>
        <w:pStyle w:val="TextBody"/>
        <w:spacing w:before="0" w:after="0"/>
        <w:ind w:left="0" w:right="0" w:hanging="0"/>
        <w:jc w:val="both"/>
        <w:rPr/>
      </w:pPr>
      <w:r>
        <w:rPr/>
        <w:t>Approximate date of commencement of proposed sale to the public: As soon as possible after the effective date hereof.</w:t>
      </w:r>
    </w:p>
    <w:p>
      <w:pPr>
        <w:pStyle w:val="TextBody"/>
        <w:spacing w:before="0" w:after="15"/>
        <w:ind w:left="0" w:right="0" w:hanging="0"/>
        <w:jc w:val="both"/>
        <w:rPr/>
      </w:pPr>
      <w:r>
        <w:rPr/>
        <w:t xml:space="preserve">If any of the securities being registered on this Form are to be offered on a delayed or continuous basis pursuant to Rule 415 under the Securities Act of 1933 check the following box.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15"/>
        <w:ind w:left="0" w:right="0" w:hanging="0"/>
        <w:jc w:val="both"/>
        <w:rPr/>
      </w:pPr>
      <w: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bdr w:val="single" w:sz="2" w:space="1" w:color="000000"/>
        </w:rPr>
        <w:t> </w:t>
      </w:r>
      <w:r>
        <w:rPr>
          <w:sz w:val="10"/>
          <w:bdr w:val="single" w:sz="2" w:space="1" w:color="000000"/>
        </w:rPr>
        <w:t xml:space="preserve">X </w:t>
      </w:r>
      <w:r>
        <w:rPr>
          <w:color w:val="FFFFFF"/>
          <w:sz w:val="10"/>
        </w:rPr>
        <w:t xml:space="preserve">. </w:t>
      </w:r>
      <w:r>
        <w:rPr/>
        <w:t>    Registration No. 333-182846</w:t>
      </w:r>
    </w:p>
    <w:p>
      <w:pPr>
        <w:pStyle w:val="TextBody"/>
        <w:spacing w:before="0" w:after="0"/>
        <w:ind w:left="0" w:right="0" w:hanging="0"/>
        <w:jc w:val="both"/>
        <w:rPr/>
      </w:pPr>
      <w:r>
        <w:rPr/>
      </w:r>
    </w:p>
    <w:p>
      <w:pPr>
        <w:pStyle w:val="TextBody"/>
        <w:spacing w:before="0" w:after="15"/>
        <w:ind w:left="0" w:right="0" w:hanging="0"/>
        <w:jc w:val="both"/>
        <w:rPr/>
      </w:pPr>
      <w:r>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bdr w:val="single" w:sz="2" w:space="1" w:color="000000"/>
        </w:rPr>
        <w:t>     </w:t>
      </w:r>
      <w:r>
        <w:rPr>
          <w:color w:val="FFFFFF"/>
          <w:sz w:val="10"/>
        </w:rPr>
        <w:t>.</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15"/>
        <w:ind w:left="0" w:right="0" w:hanging="0"/>
        <w:jc w:val="both"/>
        <w:rPr/>
      </w:pPr>
      <w:r>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0"/>
        <w:ind w:left="0" w:right="0" w:hanging="0"/>
        <w:jc w:val="both"/>
        <w:rPr/>
      </w:pPr>
      <w:r>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firstLine="360"/>
        <w:rPr/>
      </w:pPr>
      <w:r>
        <w:rPr/>
        <w:t> </w:t>
      </w:r>
      <w:bookmarkStart w:id="4" w:name="FIS_UNIDENTIFIED_TABLE_2"/>
      <w:bookmarkEnd w:id="4"/>
    </w:p>
    <w:tbl>
      <w:tblPr>
        <w:tblW w:w="5000" w:type="pct"/>
        <w:jc w:val="left"/>
        <w:tblInd w:w="0" w:type="dxa"/>
        <w:tblCellMar>
          <w:top w:w="0" w:type="dxa"/>
          <w:left w:w="0" w:type="dxa"/>
          <w:bottom w:w="0" w:type="dxa"/>
          <w:right w:w="0" w:type="dxa"/>
        </w:tblCellMar>
      </w:tblPr>
      <w:tblGrid>
        <w:gridCol w:w="6741"/>
        <w:gridCol w:w="408"/>
        <w:gridCol w:w="3056"/>
      </w:tblGrid>
      <w:tr>
        <w:trPr/>
        <w:tc>
          <w:tcPr>
            <w:tcW w:w="6741"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r>
      <w:tr>
        <w:trPr/>
        <w:tc>
          <w:tcPr>
            <w:tcW w:w="6741" w:type="dxa"/>
            <w:tcBorders/>
            <w:shd w:fill="auto" w:val="clear"/>
          </w:tcPr>
          <w:p>
            <w:pPr>
              <w:pStyle w:val="TableContents"/>
              <w:pBdr/>
              <w:spacing w:before="0" w:after="15"/>
              <w:ind w:left="0" w:right="0" w:hanging="0"/>
              <w:rPr/>
            </w:pPr>
            <w:r>
              <w:rPr/>
              <w:t>Large accelerated filer  </w:t>
            </w:r>
            <w:r>
              <w:rPr>
                <w:bdr w:val="single" w:sz="2" w:space="1" w:color="000000"/>
              </w:rPr>
              <w:t>     </w:t>
            </w:r>
            <w:r>
              <w:rPr>
                <w:color w:val="FFFFFF"/>
                <w:sz w:val="10"/>
              </w:rPr>
              <w:t>.</w:t>
            </w:r>
          </w:p>
        </w:tc>
        <w:tc>
          <w:tcPr>
            <w:tcW w:w="408" w:type="dxa"/>
            <w:tcBorders/>
            <w:shd w:fill="auto" w:val="clear"/>
          </w:tcPr>
          <w:p>
            <w:pPr>
              <w:pStyle w:val="TableContents"/>
              <w:pBdr/>
              <w:spacing w:before="0" w:after="0"/>
              <w:ind w:left="0" w:right="0" w:hanging="0"/>
              <w:rPr/>
            </w:pPr>
            <w:r>
              <w:rPr/>
              <w:t> </w:t>
            </w:r>
          </w:p>
        </w:tc>
        <w:tc>
          <w:tcPr>
            <w:tcW w:w="3056" w:type="dxa"/>
            <w:tcBorders/>
            <w:shd w:fill="auto" w:val="clear"/>
          </w:tcPr>
          <w:p>
            <w:pPr>
              <w:pStyle w:val="TableContents"/>
              <w:pBdr/>
              <w:spacing w:before="0" w:after="15"/>
              <w:ind w:left="0" w:right="0" w:hanging="0"/>
              <w:rPr/>
            </w:pPr>
            <w:r>
              <w:rPr/>
              <w:t>Accelerated filer  </w:t>
            </w:r>
            <w:r>
              <w:rPr>
                <w:bdr w:val="single" w:sz="2" w:space="1" w:color="000000"/>
              </w:rPr>
              <w:t>     </w:t>
            </w:r>
            <w:r>
              <w:rPr>
                <w:color w:val="FFFFFF"/>
                <w:sz w:val="10"/>
              </w:rPr>
              <w:t>.</w:t>
            </w:r>
          </w:p>
        </w:tc>
      </w:tr>
      <w:tr>
        <w:trPr/>
        <w:tc>
          <w:tcPr>
            <w:tcW w:w="6741" w:type="dxa"/>
            <w:tcBorders/>
            <w:shd w:fill="auto" w:val="clear"/>
          </w:tcPr>
          <w:p>
            <w:pPr>
              <w:pStyle w:val="TableContents"/>
              <w:pBdr/>
              <w:spacing w:before="0" w:after="0"/>
              <w:ind w:left="0" w:right="0" w:hanging="0"/>
              <w:rPr/>
            </w:pPr>
            <w:r>
              <w:rPr/>
              <w:t> </w:t>
            </w:r>
          </w:p>
        </w:tc>
        <w:tc>
          <w:tcPr>
            <w:tcW w:w="408" w:type="dxa"/>
            <w:tcBorders/>
            <w:shd w:fill="auto" w:val="clear"/>
          </w:tcPr>
          <w:p>
            <w:pPr>
              <w:pStyle w:val="TableContents"/>
              <w:pBdr/>
              <w:spacing w:before="0" w:after="0"/>
              <w:ind w:left="0" w:right="0" w:hanging="0"/>
              <w:rPr/>
            </w:pPr>
            <w:r>
              <w:rPr/>
              <w:t> </w:t>
            </w:r>
          </w:p>
        </w:tc>
        <w:tc>
          <w:tcPr>
            <w:tcW w:w="3056" w:type="dxa"/>
            <w:tcBorders/>
            <w:shd w:fill="auto" w:val="clear"/>
          </w:tcPr>
          <w:p>
            <w:pPr>
              <w:pStyle w:val="TableContents"/>
              <w:pBdr/>
              <w:spacing w:before="0" w:after="0"/>
              <w:ind w:left="0" w:right="0" w:hanging="0"/>
              <w:rPr/>
            </w:pPr>
            <w:r>
              <w:rPr/>
              <w:t> </w:t>
            </w:r>
          </w:p>
        </w:tc>
      </w:tr>
      <w:tr>
        <w:trPr/>
        <w:tc>
          <w:tcPr>
            <w:tcW w:w="6741" w:type="dxa"/>
            <w:tcBorders/>
            <w:shd w:fill="auto" w:val="clear"/>
          </w:tcPr>
          <w:p>
            <w:pPr>
              <w:pStyle w:val="TableContents"/>
              <w:pBdr/>
              <w:spacing w:before="0" w:after="15"/>
              <w:ind w:left="0" w:right="0" w:hanging="0"/>
              <w:rPr/>
            </w:pPr>
            <w:r>
              <w:rPr/>
              <w:t>Non-accelerated filer  </w:t>
            </w:r>
            <w:r>
              <w:rPr>
                <w:bdr w:val="single" w:sz="2" w:space="1" w:color="000000"/>
              </w:rPr>
              <w:t>     </w:t>
            </w:r>
            <w:r>
              <w:rPr>
                <w:color w:val="FFFFFF"/>
                <w:sz w:val="10"/>
              </w:rPr>
              <w:t xml:space="preserve">. </w:t>
            </w:r>
            <w:r>
              <w:rPr/>
              <w:t> (Do not check if a smaller reporting company)</w:t>
            </w:r>
          </w:p>
        </w:tc>
        <w:tc>
          <w:tcPr>
            <w:tcW w:w="408" w:type="dxa"/>
            <w:tcBorders/>
            <w:shd w:fill="auto" w:val="clear"/>
          </w:tcPr>
          <w:p>
            <w:pPr>
              <w:pStyle w:val="TableContents"/>
              <w:pBdr/>
              <w:spacing w:before="0" w:after="0"/>
              <w:ind w:left="0" w:right="0" w:hanging="0"/>
              <w:rPr/>
            </w:pPr>
            <w:r>
              <w:rPr/>
              <w:t> </w:t>
            </w:r>
          </w:p>
        </w:tc>
        <w:tc>
          <w:tcPr>
            <w:tcW w:w="3056" w:type="dxa"/>
            <w:tcBorders/>
            <w:shd w:fill="auto" w:val="clear"/>
          </w:tcPr>
          <w:p>
            <w:pPr>
              <w:pStyle w:val="TableContents"/>
              <w:pBdr/>
              <w:spacing w:before="0" w:after="15"/>
              <w:ind w:left="0" w:right="0" w:hanging="0"/>
              <w:rPr/>
            </w:pPr>
            <w:r>
              <w:rPr/>
              <w:t>Smaller reporting company  </w:t>
            </w:r>
            <w:r>
              <w:rPr>
                <w:bdr w:val="single" w:sz="2" w:space="1" w:color="000000"/>
              </w:rPr>
              <w:t> </w:t>
            </w:r>
            <w:r>
              <w:rPr>
                <w:sz w:val="10"/>
                <w:bdr w:val="single" w:sz="2" w:space="1" w:color="000000"/>
              </w:rPr>
              <w:t xml:space="preserve">X </w:t>
            </w:r>
            <w:r>
              <w:rPr>
                <w:color w:val="FFFFFF"/>
                <w:sz w:val="10"/>
              </w:rPr>
              <w:t>.</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CALCULATION OF REGISTRATION FEE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99"/>
        <w:gridCol w:w="212"/>
        <w:gridCol w:w="213"/>
        <w:gridCol w:w="517"/>
        <w:gridCol w:w="2959"/>
        <w:gridCol w:w="213"/>
        <w:gridCol w:w="213"/>
        <w:gridCol w:w="727"/>
        <w:gridCol w:w="1952"/>
      </w:tblGrid>
      <w:tr>
        <w:trPr/>
        <w:tc>
          <w:tcPr>
            <w:tcW w:w="319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95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r>
      <w:tr>
        <w:trPr/>
        <w:tc>
          <w:tcPr>
            <w:tcW w:w="3199" w:type="dxa"/>
            <w:tcBorders/>
            <w:shd w:fill="auto" w:val="clear"/>
            <w:vAlign w:val="bottom"/>
          </w:tcPr>
          <w:p>
            <w:pPr>
              <w:pStyle w:val="TableContents"/>
              <w:pBdr/>
              <w:spacing w:before="0" w:after="0"/>
              <w:ind w:left="0" w:right="0" w:hanging="0"/>
              <w:jc w:val="center"/>
              <w:rPr>
                <w:b/>
              </w:rPr>
            </w:pPr>
            <w:r>
              <w:rPr>
                <w:b/>
              </w:rPr>
              <w:t>Title of Each Class of</w:t>
            </w:r>
          </w:p>
          <w:p>
            <w:pPr>
              <w:pStyle w:val="TableContents"/>
              <w:pBdr/>
              <w:spacing w:before="0" w:after="0"/>
              <w:ind w:left="0" w:right="0" w:hanging="0"/>
              <w:jc w:val="center"/>
              <w:rPr>
                <w:b/>
              </w:rPr>
            </w:pPr>
            <w:r>
              <w:rPr>
                <w:b/>
              </w:rPr>
              <w:t>Securities to be Registered</w:t>
            </w:r>
          </w:p>
        </w:tc>
        <w:tc>
          <w:tcPr>
            <w:tcW w:w="212" w:type="dxa"/>
            <w:tcBorders/>
            <w:shd w:fill="auto" w:val="clear"/>
            <w:vAlign w:val="bottom"/>
          </w:tcPr>
          <w:p>
            <w:pPr>
              <w:pStyle w:val="TableContents"/>
              <w:pBdr/>
              <w:spacing w:before="0" w:after="0"/>
              <w:ind w:left="0" w:right="0" w:hanging="0"/>
              <w:rPr/>
            </w:pPr>
            <w:r>
              <w:rPr/>
              <w:t> </w:t>
            </w:r>
          </w:p>
        </w:tc>
        <w:tc>
          <w:tcPr>
            <w:tcW w:w="213" w:type="dxa"/>
            <w:tcBorders/>
            <w:shd w:fill="auto" w:val="clear"/>
            <w:vAlign w:val="bottom"/>
          </w:tcPr>
          <w:p>
            <w:pPr>
              <w:pStyle w:val="TableContents"/>
              <w:pBdr/>
              <w:spacing w:before="0" w:after="0"/>
              <w:ind w:left="0" w:right="0" w:hanging="0"/>
              <w:rPr/>
            </w:pPr>
            <w:r>
              <w:rPr/>
              <w:t> </w:t>
            </w:r>
          </w:p>
        </w:tc>
        <w:tc>
          <w:tcPr>
            <w:tcW w:w="3476" w:type="dxa"/>
            <w:gridSpan w:val="2"/>
            <w:tcBorders/>
            <w:shd w:fill="auto" w:val="clear"/>
            <w:vAlign w:val="bottom"/>
          </w:tcPr>
          <w:p>
            <w:pPr>
              <w:pStyle w:val="TableContents"/>
              <w:pBdr/>
              <w:spacing w:before="0" w:after="0"/>
              <w:ind w:left="0" w:right="0" w:hanging="0"/>
              <w:jc w:val="center"/>
              <w:rPr>
                <w:b/>
              </w:rPr>
            </w:pPr>
            <w:r>
              <w:rPr>
                <w:b/>
              </w:rPr>
              <w:t>Proposed Maximum</w:t>
              <w:br/>
              <w:t>Aggregate</w:t>
            </w:r>
          </w:p>
          <w:p>
            <w:pPr>
              <w:pStyle w:val="TableContents"/>
              <w:pBdr/>
              <w:spacing w:before="0" w:after="0"/>
              <w:ind w:left="0" w:right="0" w:hanging="0"/>
              <w:jc w:val="center"/>
              <w:rPr>
                <w:b/>
              </w:rPr>
            </w:pPr>
            <w:r>
              <w:rPr>
                <w:b/>
              </w:rPr>
              <w:t>Offering Price (1)</w:t>
            </w:r>
          </w:p>
        </w:tc>
        <w:tc>
          <w:tcPr>
            <w:tcW w:w="213" w:type="dxa"/>
            <w:tcBorders/>
            <w:shd w:fill="auto" w:val="clear"/>
            <w:vAlign w:val="bottom"/>
          </w:tcPr>
          <w:p>
            <w:pPr>
              <w:pStyle w:val="TableContents"/>
              <w:pBdr/>
              <w:spacing w:before="0" w:after="0"/>
              <w:ind w:left="0" w:right="0" w:hanging="0"/>
              <w:rPr/>
            </w:pPr>
            <w:r>
              <w:rPr/>
              <w:t> </w:t>
            </w:r>
          </w:p>
        </w:tc>
        <w:tc>
          <w:tcPr>
            <w:tcW w:w="213" w:type="dxa"/>
            <w:tcBorders/>
            <w:shd w:fill="auto" w:val="clear"/>
            <w:vAlign w:val="bottom"/>
          </w:tcPr>
          <w:p>
            <w:pPr>
              <w:pStyle w:val="TableContents"/>
              <w:pBdr/>
              <w:spacing w:before="0" w:after="0"/>
              <w:ind w:left="0" w:right="0" w:hanging="0"/>
              <w:rPr/>
            </w:pPr>
            <w:r>
              <w:rPr/>
              <w:t> </w:t>
            </w:r>
          </w:p>
        </w:tc>
        <w:tc>
          <w:tcPr>
            <w:tcW w:w="2679" w:type="dxa"/>
            <w:gridSpan w:val="2"/>
            <w:tcBorders/>
            <w:shd w:fill="auto" w:val="clear"/>
            <w:vAlign w:val="bottom"/>
          </w:tcPr>
          <w:p>
            <w:pPr>
              <w:pStyle w:val="TableContents"/>
              <w:pBdr/>
              <w:spacing w:before="0" w:after="0"/>
              <w:ind w:left="0" w:right="0" w:hanging="0"/>
              <w:jc w:val="center"/>
              <w:rPr>
                <w:b/>
              </w:rPr>
            </w:pPr>
            <w:r>
              <w:rPr>
                <w:b/>
              </w:rPr>
              <w:t>Amount of</w:t>
            </w:r>
          </w:p>
          <w:p>
            <w:pPr>
              <w:pStyle w:val="TableContents"/>
              <w:pBdr/>
              <w:spacing w:before="0" w:after="0"/>
              <w:ind w:left="0" w:right="0" w:hanging="0"/>
              <w:jc w:val="center"/>
              <w:rPr>
                <w:b/>
              </w:rPr>
            </w:pPr>
            <w:r>
              <w:rPr>
                <w:b/>
              </w:rPr>
              <w:t>Registration</w:t>
              <w:br/>
              <w:t>Fee (1)(2)</w:t>
            </w:r>
          </w:p>
        </w:tc>
      </w:tr>
      <w:tr>
        <w:trPr/>
        <w:tc>
          <w:tcPr>
            <w:tcW w:w="3199" w:type="dxa"/>
            <w:tcBorders/>
            <w:shd w:fill="FFFFFF" w:val="clear"/>
            <w:vAlign w:val="bottom"/>
          </w:tcPr>
          <w:p>
            <w:pPr>
              <w:pStyle w:val="TableContents"/>
              <w:pBdr/>
              <w:spacing w:before="0" w:after="0"/>
              <w:ind w:left="0" w:right="0" w:hanging="0"/>
              <w:rPr/>
            </w:pPr>
            <w:r>
              <w:rPr/>
              <w:t xml:space="preserve">Common Stock </w:t>
            </w:r>
          </w:p>
        </w:tc>
        <w:tc>
          <w:tcPr>
            <w:tcW w:w="212" w:type="dxa"/>
            <w:tcBorders/>
            <w:shd w:fill="FFFFFF" w:val="clear"/>
            <w:vAlign w:val="bottom"/>
          </w:tcPr>
          <w:p>
            <w:pPr>
              <w:pStyle w:val="TableContents"/>
              <w:pBdr/>
              <w:spacing w:before="0" w:after="0"/>
              <w:ind w:left="0" w:right="0" w:hanging="0"/>
              <w:rPr/>
            </w:pPr>
            <w:r>
              <w:rPr/>
              <w:t> </w:t>
            </w:r>
          </w:p>
        </w:tc>
        <w:tc>
          <w:tcPr>
            <w:tcW w:w="213" w:type="dxa"/>
            <w:tcBorders/>
            <w:shd w:fill="FFFFFF" w:val="clear"/>
            <w:vAlign w:val="bottom"/>
          </w:tcPr>
          <w:p>
            <w:pPr>
              <w:pStyle w:val="TableContents"/>
              <w:pBdr/>
              <w:spacing w:before="0" w:after="0"/>
              <w:ind w:left="0" w:right="0" w:hanging="0"/>
              <w:jc w:val="both"/>
              <w:rPr/>
            </w:pPr>
            <w:r>
              <w:rPr/>
              <w:t> </w:t>
            </w:r>
          </w:p>
        </w:tc>
        <w:tc>
          <w:tcPr>
            <w:tcW w:w="517" w:type="dxa"/>
            <w:tcBorders>
              <w:bottom w:val="single" w:sz="2" w:space="0" w:color="000000"/>
            </w:tcBorders>
            <w:shd w:fill="FFFFFF" w:val="clear"/>
            <w:tcMar>
              <w:bottom w:w="28" w:type="dxa"/>
            </w:tcMar>
            <w:vAlign w:val="bottom"/>
          </w:tcPr>
          <w:p>
            <w:pPr>
              <w:pStyle w:val="TableContents"/>
              <w:pBdr/>
              <w:spacing w:before="0" w:after="0"/>
              <w:ind w:left="0" w:right="0" w:hanging="0"/>
              <w:jc w:val="both"/>
              <w:rPr/>
            </w:pPr>
            <w:r>
              <w:rPr/>
              <w:t>$</w:t>
            </w:r>
          </w:p>
        </w:tc>
        <w:tc>
          <w:tcPr>
            <w:tcW w:w="2959" w:type="dxa"/>
            <w:tcBorders>
              <w:bottom w:val="single" w:sz="2" w:space="0" w:color="000000"/>
            </w:tcBorders>
            <w:shd w:fill="FFFFFF" w:val="clear"/>
            <w:tcMar>
              <w:bottom w:w="28" w:type="dxa"/>
            </w:tcMar>
            <w:vAlign w:val="bottom"/>
          </w:tcPr>
          <w:p>
            <w:pPr>
              <w:pStyle w:val="TableContents"/>
              <w:pBdr/>
              <w:spacing w:before="0" w:after="0"/>
              <w:ind w:left="0" w:right="0" w:hanging="0"/>
              <w:jc w:val="right"/>
              <w:rPr/>
            </w:pPr>
            <w:r>
              <w:rPr/>
              <w:t>1,334,004</w:t>
            </w:r>
          </w:p>
        </w:tc>
        <w:tc>
          <w:tcPr>
            <w:tcW w:w="213" w:type="dxa"/>
            <w:tcBorders/>
            <w:shd w:fill="FFFFFF" w:val="clear"/>
            <w:vAlign w:val="bottom"/>
          </w:tcPr>
          <w:p>
            <w:pPr>
              <w:pStyle w:val="TableContents"/>
              <w:pBdr/>
              <w:spacing w:before="0" w:after="0"/>
              <w:ind w:left="0" w:right="0" w:hanging="0"/>
              <w:rPr/>
            </w:pPr>
            <w:r>
              <w:rPr/>
              <w:t> </w:t>
            </w:r>
          </w:p>
        </w:tc>
        <w:tc>
          <w:tcPr>
            <w:tcW w:w="213" w:type="dxa"/>
            <w:tcBorders/>
            <w:shd w:fill="FFFFFF" w:val="clear"/>
            <w:vAlign w:val="bottom"/>
          </w:tcPr>
          <w:p>
            <w:pPr>
              <w:pStyle w:val="TableContents"/>
              <w:pBdr/>
              <w:spacing w:before="0" w:after="0"/>
              <w:ind w:left="0" w:right="0" w:hanging="0"/>
              <w:rPr/>
            </w:pPr>
            <w:r>
              <w:rPr/>
              <w:t> </w:t>
            </w:r>
          </w:p>
        </w:tc>
        <w:tc>
          <w:tcPr>
            <w:tcW w:w="727" w:type="dxa"/>
            <w:tcBorders>
              <w:bottom w:val="single" w:sz="2" w:space="0" w:color="000000"/>
            </w:tcBorders>
            <w:shd w:fill="FFFFFF" w:val="clear"/>
            <w:tcMar>
              <w:bottom w:w="28" w:type="dxa"/>
            </w:tcMar>
            <w:vAlign w:val="bottom"/>
          </w:tcPr>
          <w:p>
            <w:pPr>
              <w:pStyle w:val="TableContents"/>
              <w:pBdr/>
              <w:spacing w:before="0" w:after="0"/>
              <w:ind w:left="0" w:right="0" w:hanging="0"/>
              <w:rPr/>
            </w:pPr>
            <w:r>
              <w:rPr/>
              <w:t>$</w:t>
            </w:r>
          </w:p>
        </w:tc>
        <w:tc>
          <w:tcPr>
            <w:tcW w:w="1952" w:type="dxa"/>
            <w:tcBorders>
              <w:bottom w:val="single" w:sz="2" w:space="0" w:color="000000"/>
            </w:tcBorders>
            <w:shd w:fill="FFFFFF" w:val="clear"/>
            <w:tcMar>
              <w:bottom w:w="28" w:type="dxa"/>
            </w:tcMar>
            <w:vAlign w:val="bottom"/>
          </w:tcPr>
          <w:p>
            <w:pPr>
              <w:pStyle w:val="TableContents"/>
              <w:pBdr/>
              <w:spacing w:before="0" w:after="0"/>
              <w:ind w:left="0" w:right="0" w:hanging="0"/>
              <w:jc w:val="right"/>
              <w:rPr/>
            </w:pPr>
            <w:r>
              <w:rPr/>
              <w:t>181.96</w:t>
            </w:r>
          </w:p>
        </w:tc>
      </w:tr>
      <w:tr>
        <w:trPr/>
        <w:tc>
          <w:tcPr>
            <w:tcW w:w="3199" w:type="dxa"/>
            <w:tcBorders/>
            <w:shd w:fill="CCFFCC" w:val="clear"/>
            <w:vAlign w:val="bottom"/>
          </w:tcPr>
          <w:p>
            <w:pPr>
              <w:pStyle w:val="TableContents"/>
              <w:pBdr/>
              <w:spacing w:before="0" w:after="0"/>
              <w:ind w:left="0" w:right="0" w:firstLine="540"/>
              <w:rPr/>
            </w:pPr>
            <w:r>
              <w:rPr/>
              <w:t>Total:</w:t>
            </w:r>
          </w:p>
        </w:tc>
        <w:tc>
          <w:tcPr>
            <w:tcW w:w="212" w:type="dxa"/>
            <w:tcBorders/>
            <w:shd w:fill="CCFFCC" w:val="clear"/>
            <w:vAlign w:val="bottom"/>
          </w:tcPr>
          <w:p>
            <w:pPr>
              <w:pStyle w:val="TableContents"/>
              <w:pBdr/>
              <w:spacing w:before="0" w:after="0"/>
              <w:ind w:left="0" w:right="0" w:hanging="0"/>
              <w:rPr/>
            </w:pPr>
            <w:r>
              <w:rPr/>
              <w:t> </w:t>
            </w:r>
          </w:p>
        </w:tc>
        <w:tc>
          <w:tcPr>
            <w:tcW w:w="213" w:type="dxa"/>
            <w:tcBorders/>
            <w:shd w:fill="CCFFCC" w:val="clear"/>
            <w:vAlign w:val="bottom"/>
          </w:tcPr>
          <w:p>
            <w:pPr>
              <w:pStyle w:val="TableContents"/>
              <w:pBdr/>
              <w:spacing w:before="0" w:after="0"/>
              <w:ind w:left="0" w:right="0" w:hanging="0"/>
              <w:rPr/>
            </w:pPr>
            <w:r>
              <w:rPr/>
              <w:t> </w:t>
            </w:r>
          </w:p>
        </w:tc>
        <w:tc>
          <w:tcPr>
            <w:tcW w:w="517" w:type="dxa"/>
            <w:tcBorders>
              <w:bottom w:val="double" w:sz="6" w:space="0" w:color="000000"/>
            </w:tcBorders>
            <w:shd w:fill="CCFFCC" w:val="clear"/>
            <w:tcMar>
              <w:bottom w:w="28" w:type="dxa"/>
            </w:tcMar>
            <w:vAlign w:val="bottom"/>
          </w:tcPr>
          <w:p>
            <w:pPr>
              <w:pStyle w:val="TableContents"/>
              <w:pBdr/>
              <w:spacing w:before="0" w:after="0"/>
              <w:ind w:left="0" w:right="0" w:hanging="0"/>
              <w:rPr/>
            </w:pPr>
            <w:r>
              <w:rPr/>
              <w:t>$</w:t>
            </w:r>
          </w:p>
        </w:tc>
        <w:tc>
          <w:tcPr>
            <w:tcW w:w="2959" w:type="dxa"/>
            <w:tcBorders>
              <w:bottom w:val="double" w:sz="6" w:space="0" w:color="000000"/>
            </w:tcBorders>
            <w:shd w:fill="CCFFCC" w:val="clear"/>
            <w:tcMar>
              <w:bottom w:w="28" w:type="dxa"/>
            </w:tcMar>
            <w:vAlign w:val="bottom"/>
          </w:tcPr>
          <w:p>
            <w:pPr>
              <w:pStyle w:val="TableContents"/>
              <w:pBdr/>
              <w:spacing w:before="0" w:after="0"/>
              <w:ind w:left="0" w:right="0" w:hanging="0"/>
              <w:jc w:val="right"/>
              <w:rPr/>
            </w:pPr>
            <w:r>
              <w:rPr/>
              <w:t>1,334,004</w:t>
            </w:r>
          </w:p>
        </w:tc>
        <w:tc>
          <w:tcPr>
            <w:tcW w:w="213" w:type="dxa"/>
            <w:tcBorders/>
            <w:shd w:fill="CCFFCC" w:val="clear"/>
            <w:vAlign w:val="bottom"/>
          </w:tcPr>
          <w:p>
            <w:pPr>
              <w:pStyle w:val="TableContents"/>
              <w:pBdr/>
              <w:spacing w:before="0" w:after="0"/>
              <w:ind w:left="0" w:right="0" w:hanging="0"/>
              <w:rPr/>
            </w:pPr>
            <w:r>
              <w:rPr/>
              <w:t> </w:t>
            </w:r>
          </w:p>
        </w:tc>
        <w:tc>
          <w:tcPr>
            <w:tcW w:w="213" w:type="dxa"/>
            <w:tcBorders>
              <w:top w:val="single" w:sz="2" w:space="0" w:color="000000"/>
            </w:tcBorders>
            <w:shd w:fill="CCFFCC" w:val="clear"/>
            <w:tcMar>
              <w:top w:w="28" w:type="dxa"/>
            </w:tcMar>
            <w:vAlign w:val="bottom"/>
          </w:tcPr>
          <w:p>
            <w:pPr>
              <w:pStyle w:val="TableContents"/>
              <w:pBdr/>
              <w:spacing w:before="0" w:after="0"/>
              <w:ind w:left="0" w:right="0" w:hanging="0"/>
              <w:rPr/>
            </w:pPr>
            <w:r>
              <w:rPr/>
              <w:t> </w:t>
            </w:r>
          </w:p>
        </w:tc>
        <w:tc>
          <w:tcPr>
            <w:tcW w:w="727" w:type="dxa"/>
            <w:tcBorders>
              <w:bottom w:val="double" w:sz="6" w:space="0" w:color="000000"/>
            </w:tcBorders>
            <w:shd w:fill="CCFFCC" w:val="clear"/>
            <w:tcMar>
              <w:bottom w:w="28" w:type="dxa"/>
            </w:tcMar>
            <w:vAlign w:val="bottom"/>
          </w:tcPr>
          <w:p>
            <w:pPr>
              <w:pStyle w:val="TableContents"/>
              <w:pBdr/>
              <w:spacing w:before="0" w:after="0"/>
              <w:ind w:left="0" w:right="0" w:hanging="0"/>
              <w:rPr/>
            </w:pPr>
            <w:r>
              <w:rPr/>
              <w:t>$</w:t>
            </w:r>
          </w:p>
        </w:tc>
        <w:tc>
          <w:tcPr>
            <w:tcW w:w="1952" w:type="dxa"/>
            <w:tcBorders>
              <w:bottom w:val="double" w:sz="6" w:space="0" w:color="000000"/>
            </w:tcBorders>
            <w:shd w:fill="CCFFCC" w:val="clear"/>
            <w:tcMar>
              <w:bottom w:w="28" w:type="dxa"/>
            </w:tcMar>
            <w:vAlign w:val="bottom"/>
          </w:tcPr>
          <w:p>
            <w:pPr>
              <w:pStyle w:val="TableContents"/>
              <w:pBdr/>
              <w:spacing w:before="0" w:after="0"/>
              <w:ind w:left="0" w:right="0" w:hanging="0"/>
              <w:jc w:val="right"/>
              <w:rPr/>
            </w:pPr>
            <w:r>
              <w:rPr/>
              <w:t>181.96</w:t>
            </w:r>
          </w:p>
        </w:tc>
      </w:tr>
    </w:tbl>
    <w:p>
      <w:pPr>
        <w:pStyle w:val="TextBody"/>
        <w:spacing w:before="0" w:after="0"/>
        <w:ind w:left="0" w:right="0" w:hanging="0"/>
        <w:rPr/>
      </w:pPr>
      <w:r>
        <w:rPr/>
      </w:r>
    </w:p>
    <w:p>
      <w:pPr>
        <w:pStyle w:val="TextBody"/>
        <w:spacing w:before="0" w:after="0"/>
        <w:ind w:left="0" w:right="0" w:hanging="0"/>
        <w:jc w:val="both"/>
        <w:rPr/>
      </w:pPr>
      <w:r>
        <w:rPr/>
        <w:t>(1)  Calculated pursuant to Rule 457(o) under the Securities Act of 1933.</w:t>
      </w:r>
    </w:p>
    <w:p>
      <w:pPr>
        <w:pStyle w:val="TextBody"/>
        <w:spacing w:before="0" w:after="0"/>
        <w:ind w:left="0" w:right="0" w:hanging="0"/>
        <w:jc w:val="both"/>
        <w:rPr/>
      </w:pPr>
      <w:r>
        <w:rPr/>
      </w:r>
    </w:p>
    <w:p>
      <w:pPr>
        <w:pStyle w:val="TextBody"/>
        <w:spacing w:before="0" w:after="0"/>
        <w:ind w:left="0" w:right="0" w:hanging="0"/>
        <w:jc w:val="both"/>
        <w:rPr/>
      </w:pPr>
      <w:r>
        <w:rPr/>
        <w:t xml:space="preserve">(2) Represents only the additional amount of securities being registered. The Registrant previously registered an aggregate of $9,774,996 of its shares on the Registrants Registration Statement on Form S-1 (File No. 333-182846) declared effective on February 7, 2013, for which a filing fee was previously paid. </w:t>
      </w:r>
    </w:p>
    <w:p>
      <w:pPr>
        <w:pStyle w:val="TextBody"/>
        <w:spacing w:before="0" w:after="0"/>
        <w:ind w:left="0" w:right="0" w:hanging="0"/>
        <w:jc w:val="both"/>
        <w:rPr/>
      </w:pPr>
      <w:r>
        <w:rPr/>
      </w:r>
    </w:p>
    <w:p>
      <w:pPr>
        <w:pStyle w:val="TextBody"/>
        <w:spacing w:before="0" w:after="0"/>
        <w:ind w:left="0" w:right="0" w:hanging="0"/>
        <w:jc w:val="both"/>
        <w:rPr>
          <w:b/>
        </w:rPr>
      </w:pPr>
      <w:r>
        <w:rPr>
          <w:b/>
        </w:rPr>
        <w:t>The Registration Statement shall become effective upon filing with the Commission in accordance with Rule 462(b) under the Securities Act of 1933, as amended.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r>
      <w:bookmarkStart w:id="5" w:name="eolPage2"/>
      <w:bookmarkStart w:id="6" w:name="eolPage2"/>
      <w:bookmarkEnd w:id="6"/>
    </w:p>
    <w:p>
      <w:pPr>
        <w:pStyle w:val="TextBody"/>
        <w:spacing w:before="0" w:after="0"/>
        <w:ind w:left="0" w:right="0" w:hanging="0"/>
        <w:jc w:val="right"/>
        <w:rPr/>
      </w:pPr>
      <w:r>
        <w:rPr/>
      </w:r>
    </w:p>
    <w:p>
      <w:pPr>
        <w:pStyle w:val="TextBody"/>
        <w:spacing w:before="0" w:after="0"/>
        <w:ind w:left="0" w:right="0" w:hanging="0"/>
        <w:jc w:val="center"/>
        <w:rPr/>
      </w:pPr>
      <w:r>
        <w:rPr/>
      </w:r>
      <w:bookmarkStart w:id="7" w:name="FIS_UNIDENTIFIED_TABLE_45"/>
      <w:bookmarkStart w:id="8" w:name="eolPage102"/>
      <w:bookmarkStart w:id="9" w:name="NotesToConsolidatedFinancialState_102816"/>
      <w:bookmarkStart w:id="10" w:name="ConsolidatedStatementsOfCashFlows_102540"/>
      <w:bookmarkStart w:id="11" w:name="ConsolidatedStatementOfStockholde_102537"/>
      <w:bookmarkStart w:id="12" w:name="ConsolidatedStatementsOfOperation_102532"/>
      <w:bookmarkStart w:id="13" w:name="ConsolidatedBalanceSheets_102514"/>
      <w:bookmarkStart w:id="14" w:name="NotesToConsolidatedFinancialState_111236"/>
      <w:bookmarkStart w:id="15" w:name="ConsolidatedStatementsOfCashFlows_110949"/>
      <w:bookmarkStart w:id="16" w:name="ConsolidatedStatementOfStockholde_110547"/>
      <w:bookmarkStart w:id="17" w:name="ConsolidatedStatementsOfOperation_110257"/>
      <w:bookmarkStart w:id="18" w:name="ConsolidatedBalanceSheets_110236"/>
      <w:bookmarkStart w:id="19" w:name="TableOfContents"/>
      <w:bookmarkStart w:id="20" w:name="WhereYouCanFindMoreInformation_095122"/>
      <w:bookmarkStart w:id="21" w:name="Experts_095120"/>
      <w:bookmarkStart w:id="22" w:name="LegalMatters_095119"/>
      <w:bookmarkStart w:id="23" w:name="SecurityOwnershipOfCertainBenefic_094651"/>
      <w:bookmarkStart w:id="24" w:name="CertainRelationshipsAndRelatedTra_094537"/>
      <w:bookmarkStart w:id="25" w:name="ExecutiveCompensation_094021"/>
      <w:bookmarkStart w:id="26" w:name="DirectorsExecutiveOfficersAndCorp_093816"/>
      <w:bookmarkStart w:id="27" w:name="FIS_NAME_AND_TITLE"/>
      <w:bookmarkStart w:id="28" w:name="DescriptionOfTheBusiness_093311"/>
      <w:bookmarkStart w:id="29" w:name="MarketPriceOfAndDividendsOnCommon_084516"/>
      <w:bookmarkStart w:id="30" w:name="DescriptionOfSecurities_084148"/>
      <w:bookmarkStart w:id="31" w:name="UseOfProceeds_084147"/>
      <w:bookmarkStart w:id="32" w:name="SpecialNoteRegardingForwardlookin_084137"/>
      <w:bookmarkStart w:id="33" w:name="eolPage24"/>
      <w:bookmarkStart w:id="34" w:name="eolPage23"/>
      <w:bookmarkStart w:id="35" w:name="eolPage22"/>
      <w:bookmarkStart w:id="36" w:name="eolPage21"/>
      <w:bookmarkStart w:id="37" w:name="eolPage20"/>
      <w:bookmarkStart w:id="38" w:name="eolPage19"/>
      <w:bookmarkStart w:id="39" w:name="eolPage18"/>
      <w:bookmarkStart w:id="40" w:name="eolPage17"/>
      <w:bookmarkStart w:id="41" w:name="eolPage16"/>
      <w:bookmarkStart w:id="42" w:name="eolPage15"/>
      <w:bookmarkStart w:id="43" w:name="eolPage14"/>
      <w:bookmarkStart w:id="44" w:name="eolPage13"/>
      <w:bookmarkStart w:id="45" w:name="eolPage12"/>
      <w:bookmarkStart w:id="46" w:name="eolPage11"/>
      <w:bookmarkStart w:id="47" w:name="eolPage10"/>
      <w:bookmarkStart w:id="48" w:name="RiskFactors_084328"/>
      <w:bookmarkStart w:id="49" w:name="TheOffering_084326"/>
      <w:bookmarkStart w:id="50" w:name="eolPage5"/>
      <w:bookmarkStart w:id="51" w:name="FIS_TABLE_OF_CONTENTS"/>
      <w:bookmarkStart w:id="52" w:name="eolPage4"/>
      <w:bookmarkStart w:id="53" w:name="FIS_SUBJECT_STOCK_INFO"/>
      <w:bookmarkStart w:id="54" w:name="FIS_UNIDENTIFIED_TABLE_45"/>
      <w:bookmarkStart w:id="55" w:name="eolPage102"/>
      <w:bookmarkStart w:id="56" w:name="NotesToConsolidatedFinancialState_102816"/>
      <w:bookmarkStart w:id="57" w:name="ConsolidatedStatementsOfCashFlows_102540"/>
      <w:bookmarkStart w:id="58" w:name="ConsolidatedStatementOfStockholde_102537"/>
      <w:bookmarkStart w:id="59" w:name="ConsolidatedStatementsOfOperation_102532"/>
      <w:bookmarkStart w:id="60" w:name="ConsolidatedBalanceSheets_102514"/>
      <w:bookmarkStart w:id="61" w:name="NotesToConsolidatedFinancialState_111236"/>
      <w:bookmarkStart w:id="62" w:name="ConsolidatedStatementsOfCashFlows_110949"/>
      <w:bookmarkStart w:id="63" w:name="ConsolidatedStatementOfStockholde_110547"/>
      <w:bookmarkStart w:id="64" w:name="ConsolidatedStatementsOfOperation_110257"/>
      <w:bookmarkStart w:id="65" w:name="ConsolidatedBalanceSheets_110236"/>
      <w:bookmarkStart w:id="66" w:name="TableOfContents"/>
      <w:bookmarkStart w:id="67" w:name="WhereYouCanFindMoreInformation_095122"/>
      <w:bookmarkStart w:id="68" w:name="Experts_095120"/>
      <w:bookmarkStart w:id="69" w:name="LegalMatters_095119"/>
      <w:bookmarkStart w:id="70" w:name="SecurityOwnershipOfCertainBenefic_094651"/>
      <w:bookmarkStart w:id="71" w:name="CertainRelationshipsAndRelatedTra_094537"/>
      <w:bookmarkStart w:id="72" w:name="ExecutiveCompensation_094021"/>
      <w:bookmarkStart w:id="73" w:name="DirectorsExecutiveOfficersAndCorp_093816"/>
      <w:bookmarkStart w:id="74" w:name="FIS_NAME_AND_TITLE"/>
      <w:bookmarkStart w:id="75" w:name="DescriptionOfTheBusiness_093311"/>
      <w:bookmarkStart w:id="76" w:name="MarketPriceOfAndDividendsOnCommon_084516"/>
      <w:bookmarkStart w:id="77" w:name="DescriptionOfSecurities_084148"/>
      <w:bookmarkStart w:id="78" w:name="UseOfProceeds_084147"/>
      <w:bookmarkStart w:id="79" w:name="SpecialNoteRegardingForwardlookin_084137"/>
      <w:bookmarkStart w:id="80" w:name="eolPage24"/>
      <w:bookmarkStart w:id="81" w:name="eolPage23"/>
      <w:bookmarkStart w:id="82" w:name="eolPage22"/>
      <w:bookmarkStart w:id="83" w:name="eolPage21"/>
      <w:bookmarkStart w:id="84" w:name="eolPage20"/>
      <w:bookmarkStart w:id="85" w:name="eolPage19"/>
      <w:bookmarkStart w:id="86" w:name="eolPage18"/>
      <w:bookmarkStart w:id="87" w:name="eolPage17"/>
      <w:bookmarkStart w:id="88" w:name="eolPage16"/>
      <w:bookmarkStart w:id="89" w:name="eolPage15"/>
      <w:bookmarkStart w:id="90" w:name="eolPage14"/>
      <w:bookmarkStart w:id="91" w:name="eolPage13"/>
      <w:bookmarkStart w:id="92" w:name="eolPage12"/>
      <w:bookmarkStart w:id="93" w:name="eolPage11"/>
      <w:bookmarkStart w:id="94" w:name="eolPage10"/>
      <w:bookmarkStart w:id="95" w:name="RiskFactors_084328"/>
      <w:bookmarkStart w:id="96" w:name="TheOffering_084326"/>
      <w:bookmarkStart w:id="97" w:name="eolPage5"/>
      <w:bookmarkStart w:id="98" w:name="FIS_TABLE_OF_CONTENTS"/>
      <w:bookmarkStart w:id="99" w:name="eolPage4"/>
      <w:bookmarkStart w:id="100" w:name="FIS_SUBJECT_STOCK_INFO"/>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TextBody"/>
        <w:spacing w:before="0" w:after="0"/>
        <w:ind w:left="0" w:right="0" w:hanging="0"/>
        <w:jc w:val="center"/>
        <w:rPr>
          <w:b/>
        </w:rPr>
      </w:pPr>
      <w:r>
        <w:rPr>
          <w:b/>
        </w:rPr>
        <w:t>EXPLANATORY NOTE AND INCORPORATION BY REFERENCE</w:t>
      </w:r>
    </w:p>
    <w:p>
      <w:pPr>
        <w:pStyle w:val="TextBody"/>
        <w:spacing w:before="0" w:after="0"/>
        <w:ind w:left="0" w:right="0" w:hanging="0"/>
        <w:jc w:val="center"/>
        <w:rPr/>
      </w:pPr>
      <w:r>
        <w:rPr/>
      </w:r>
    </w:p>
    <w:p>
      <w:pPr>
        <w:pStyle w:val="TextBody"/>
        <w:spacing w:before="0" w:after="0"/>
        <w:ind w:left="0" w:right="0" w:firstLine="720"/>
        <w:jc w:val="both"/>
        <w:rPr/>
      </w:pPr>
      <w:r>
        <w:rPr/>
        <w:t>This registration statement is being filed to increase the dollar amount of securities registered under the registration statement on Form S-1 (Registration No. 333-182846) declared effective on February 7, 2013 (the Initial Registration Statement), by $1,334,004 pursuant to Rule 462(b) of the Securities Act of 1933, as amended. In accordance with Rule 462(b), this registration statement incorporates by reference the Initial Registration Statement, including all amendments, supplements and exhibits thereto and all information incorporated by reference therein, other than the exhibits included herein.</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PART II</w:t>
      </w:r>
    </w:p>
    <w:p>
      <w:pPr>
        <w:pStyle w:val="TextBody"/>
        <w:spacing w:before="0" w:after="0"/>
        <w:ind w:left="0" w:right="0" w:hanging="0"/>
        <w:jc w:val="center"/>
        <w:rPr>
          <w:b/>
        </w:rPr>
      </w:pPr>
      <w:r>
        <w:rPr>
          <w:b/>
        </w:rPr>
        <w:t>INFORMATION NOT REQUIRED IN PROSPECTUS</w:t>
      </w:r>
    </w:p>
    <w:p>
      <w:pPr>
        <w:pStyle w:val="TextBody"/>
        <w:spacing w:before="0" w:after="0"/>
        <w:ind w:left="0" w:right="0" w:hanging="0"/>
        <w:jc w:val="center"/>
        <w:rPr/>
      </w:pPr>
      <w:r>
        <w:rPr/>
      </w:r>
    </w:p>
    <w:p>
      <w:pPr>
        <w:pStyle w:val="TextBody"/>
        <w:spacing w:before="0" w:after="0"/>
        <w:ind w:left="0" w:right="0" w:hanging="0"/>
        <w:rPr>
          <w:b/>
        </w:rPr>
      </w:pPr>
      <w:r>
        <w:rPr>
          <w:b/>
        </w:rPr>
        <w:t>Item 16. Exhibits</w: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890"/>
        <w:gridCol w:w="189"/>
        <w:gridCol w:w="9126"/>
      </w:tblGrid>
      <w:tr>
        <w:trPr/>
        <w:tc>
          <w:tcPr>
            <w:tcW w:w="89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126"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pBdr>
                <w:bottom w:val="single" w:sz="2" w:space="3" w:color="000000"/>
              </w:pBdr>
              <w:spacing w:before="0" w:after="0"/>
              <w:ind w:left="0" w:right="0" w:hanging="0"/>
              <w:jc w:val="center"/>
              <w:rPr>
                <w:b/>
              </w:rPr>
            </w:pPr>
            <w:r>
              <w:rPr>
                <w:b/>
              </w:rPr>
              <w:t>Exhibit</w:t>
              <w:br/>
              <w:t>Number</w:t>
            </w:r>
          </w:p>
        </w:tc>
        <w:tc>
          <w:tcPr>
            <w:tcW w:w="189" w:type="dxa"/>
            <w:tcBorders/>
            <w:shd w:fill="auto" w:val="clear"/>
          </w:tcPr>
          <w:p>
            <w:pPr>
              <w:pStyle w:val="TableContents"/>
              <w:pBdr/>
              <w:spacing w:before="0" w:after="0"/>
              <w:ind w:left="0" w:right="0" w:hanging="0"/>
              <w:rPr/>
            </w:pPr>
            <w:r>
              <w:rPr/>
              <w:t> </w:t>
            </w:r>
          </w:p>
        </w:tc>
        <w:tc>
          <w:tcPr>
            <w:tcW w:w="9126" w:type="dxa"/>
            <w:tcBorders/>
            <w:shd w:fill="auto" w:val="clear"/>
            <w:vAlign w:val="bottom"/>
          </w:tcPr>
          <w:p>
            <w:pPr>
              <w:pStyle w:val="TableContents"/>
              <w:pBdr>
                <w:bottom w:val="single" w:sz="2" w:space="3" w:color="000000"/>
              </w:pBdr>
              <w:spacing w:before="0" w:after="0"/>
              <w:ind w:left="0" w:right="0" w:hanging="0"/>
              <w:jc w:val="center"/>
              <w:rPr>
                <w:b/>
              </w:rPr>
            </w:pPr>
            <w:r>
              <w:rPr>
                <w:b/>
              </w:rPr>
              <w:t>Description of Exhibit</w:t>
            </w:r>
          </w:p>
        </w:tc>
      </w:tr>
      <w:tr>
        <w:trPr/>
        <w:tc>
          <w:tcPr>
            <w:tcW w:w="890" w:type="dxa"/>
            <w:tcBorders/>
            <w:shd w:fill="auto" w:val="clear"/>
          </w:tcPr>
          <w:p>
            <w:pPr>
              <w:pStyle w:val="TableContents"/>
              <w:pBdr/>
              <w:spacing w:before="0" w:after="0"/>
              <w:ind w:left="0" w:right="0" w:hanging="0"/>
              <w:jc w:val="right"/>
              <w:rPr/>
            </w:pPr>
            <w:r>
              <w:rPr/>
              <w:t>5.1</w:t>
            </w:r>
          </w:p>
        </w:tc>
        <w:tc>
          <w:tcPr>
            <w:tcW w:w="189" w:type="dxa"/>
            <w:tcBorders/>
            <w:shd w:fill="auto" w:val="clear"/>
          </w:tcPr>
          <w:p>
            <w:pPr>
              <w:pStyle w:val="TableContents"/>
              <w:pBdr/>
              <w:spacing w:before="0" w:after="0"/>
              <w:ind w:left="0" w:right="0" w:hanging="0"/>
              <w:rPr/>
            </w:pPr>
            <w:r>
              <w:rPr/>
              <w:t> </w:t>
            </w:r>
          </w:p>
        </w:tc>
        <w:tc>
          <w:tcPr>
            <w:tcW w:w="9126" w:type="dxa"/>
            <w:tcBorders/>
            <w:shd w:fill="auto" w:val="clear"/>
          </w:tcPr>
          <w:p>
            <w:pPr>
              <w:pStyle w:val="TableContents"/>
              <w:spacing w:before="0" w:after="0"/>
              <w:ind w:left="0" w:right="0" w:hanging="0"/>
              <w:rPr/>
            </w:pPr>
            <w:r>
              <w:rPr/>
              <w:t>Opinion of Morrison &amp; Foerster LLP (filed herewith)</w:t>
            </w:r>
          </w:p>
        </w:tc>
      </w:tr>
      <w:tr>
        <w:trPr/>
        <w:tc>
          <w:tcPr>
            <w:tcW w:w="890" w:type="dxa"/>
            <w:tcBorders/>
            <w:shd w:fill="auto" w:val="clear"/>
          </w:tcPr>
          <w:p>
            <w:pPr>
              <w:pStyle w:val="TableContents"/>
              <w:pBdr/>
              <w:spacing w:before="0" w:after="0"/>
              <w:ind w:left="0" w:right="0" w:hanging="0"/>
              <w:jc w:val="right"/>
              <w:rPr/>
            </w:pPr>
            <w:r>
              <w:rPr/>
              <w:t>23.1</w:t>
            </w:r>
          </w:p>
        </w:tc>
        <w:tc>
          <w:tcPr>
            <w:tcW w:w="189" w:type="dxa"/>
            <w:tcBorders/>
            <w:shd w:fill="auto" w:val="clear"/>
          </w:tcPr>
          <w:p>
            <w:pPr>
              <w:pStyle w:val="TableContents"/>
              <w:pBdr/>
              <w:spacing w:before="0" w:after="0"/>
              <w:ind w:left="0" w:right="0" w:hanging="0"/>
              <w:rPr/>
            </w:pPr>
            <w:r>
              <w:rPr/>
              <w:t> </w:t>
            </w:r>
          </w:p>
        </w:tc>
        <w:tc>
          <w:tcPr>
            <w:tcW w:w="9126" w:type="dxa"/>
            <w:tcBorders/>
            <w:shd w:fill="auto" w:val="clear"/>
          </w:tcPr>
          <w:p>
            <w:pPr>
              <w:pStyle w:val="TableContents"/>
              <w:spacing w:before="0" w:after="0"/>
              <w:ind w:left="0" w:right="0" w:hanging="0"/>
              <w:rPr/>
            </w:pPr>
            <w:r>
              <w:rPr/>
              <w:t>Consent of Independent Registered Public Accounting Firm, KMJ Corbin &amp; Company LLP (filed herewith)</w:t>
            </w:r>
          </w:p>
        </w:tc>
      </w:tr>
      <w:tr>
        <w:trPr/>
        <w:tc>
          <w:tcPr>
            <w:tcW w:w="890" w:type="dxa"/>
            <w:tcBorders/>
            <w:shd w:fill="auto" w:val="clear"/>
          </w:tcPr>
          <w:p>
            <w:pPr>
              <w:pStyle w:val="TableContents"/>
              <w:pBdr/>
              <w:spacing w:before="0" w:after="0"/>
              <w:ind w:left="0" w:right="0" w:hanging="0"/>
              <w:jc w:val="right"/>
              <w:rPr/>
            </w:pPr>
            <w:r>
              <w:rPr/>
              <w:t>23.2</w:t>
            </w:r>
          </w:p>
        </w:tc>
        <w:tc>
          <w:tcPr>
            <w:tcW w:w="189" w:type="dxa"/>
            <w:tcBorders/>
            <w:shd w:fill="auto" w:val="clear"/>
          </w:tcPr>
          <w:p>
            <w:pPr>
              <w:pStyle w:val="TableContents"/>
              <w:pBdr/>
              <w:spacing w:before="0" w:after="0"/>
              <w:ind w:left="0" w:right="0" w:hanging="0"/>
              <w:rPr/>
            </w:pPr>
            <w:r>
              <w:rPr/>
              <w:t> </w:t>
            </w:r>
          </w:p>
        </w:tc>
        <w:tc>
          <w:tcPr>
            <w:tcW w:w="9126" w:type="dxa"/>
            <w:tcBorders/>
            <w:shd w:fill="auto" w:val="clear"/>
          </w:tcPr>
          <w:p>
            <w:pPr>
              <w:pStyle w:val="TableContents"/>
              <w:spacing w:before="0" w:after="0"/>
              <w:ind w:left="0" w:right="0" w:hanging="0"/>
              <w:rPr/>
            </w:pPr>
            <w:r>
              <w:rPr/>
              <w:t>Consent of Morrison &amp; Foerster LLP (including in Exhibit 5.1)</w:t>
            </w:r>
          </w:p>
        </w:tc>
      </w:tr>
      <w:tr>
        <w:trPr/>
        <w:tc>
          <w:tcPr>
            <w:tcW w:w="890" w:type="dxa"/>
            <w:tcBorders/>
            <w:shd w:fill="auto" w:val="clear"/>
          </w:tcPr>
          <w:p>
            <w:pPr>
              <w:pStyle w:val="TableContents"/>
              <w:pBdr/>
              <w:spacing w:before="0" w:after="0"/>
              <w:ind w:left="0" w:right="0" w:hanging="0"/>
              <w:jc w:val="right"/>
              <w:rPr/>
            </w:pPr>
            <w:r>
              <w:rPr/>
              <w:t>24.1</w:t>
            </w:r>
          </w:p>
        </w:tc>
        <w:tc>
          <w:tcPr>
            <w:tcW w:w="189" w:type="dxa"/>
            <w:tcBorders/>
            <w:shd w:fill="auto" w:val="clear"/>
          </w:tcPr>
          <w:p>
            <w:pPr>
              <w:pStyle w:val="TableContents"/>
              <w:pBdr/>
              <w:spacing w:before="0" w:after="0"/>
              <w:ind w:left="0" w:right="0" w:hanging="0"/>
              <w:rPr/>
            </w:pPr>
            <w:r>
              <w:rPr/>
              <w:t> </w:t>
            </w:r>
          </w:p>
        </w:tc>
        <w:tc>
          <w:tcPr>
            <w:tcW w:w="9126" w:type="dxa"/>
            <w:tcBorders/>
            <w:shd w:fill="auto" w:val="clear"/>
          </w:tcPr>
          <w:p>
            <w:pPr>
              <w:pStyle w:val="TableContents"/>
              <w:spacing w:before="0" w:after="0"/>
              <w:ind w:left="0" w:right="0" w:hanging="0"/>
              <w:rPr/>
            </w:pPr>
            <w:r>
              <w:rPr/>
              <w:t>Power of Attorney (previously filed on the signature page to the Registration Statement on Form S-1 (File No. 333-182846) filed with the SEC on July 25, 2012)</w:t>
            </w:r>
          </w:p>
        </w:tc>
      </w:tr>
    </w:tbl>
    <w:p>
      <w:pPr>
        <w:pStyle w:val="TextBody"/>
        <w:spacing w:before="0" w:after="0"/>
        <w:ind w:left="0" w:right="0" w:hanging="0"/>
        <w:rPr/>
      </w:pPr>
      <w:r>
        <w:rPr/>
        <w:t>________________</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b/>
        </w:rPr>
      </w:pPr>
      <w:bookmarkStart w:id="101" w:name="FIS_EXHIBIT_INDEX"/>
      <w:bookmarkEnd w:id="101"/>
      <w:r>
        <w:rPr>
          <w:b/>
        </w:rPr>
        <w:t>SIGNATURES</w:t>
      </w:r>
    </w:p>
    <w:p>
      <w:pPr>
        <w:pStyle w:val="TextBody"/>
        <w:spacing w:before="0" w:after="0"/>
        <w:ind w:left="0" w:right="0" w:hanging="0"/>
        <w:rPr/>
      </w:pPr>
      <w:r>
        <w:rPr/>
      </w:r>
    </w:p>
    <w:p>
      <w:pPr>
        <w:pStyle w:val="TextBody"/>
        <w:spacing w:before="0" w:after="0"/>
        <w:ind w:left="0" w:right="0" w:firstLine="720"/>
        <w:rPr/>
      </w:pPr>
      <w:r>
        <w:rPr/>
        <w:t xml:space="preserve">Pursuant to the requirements of the Securities Act of 1933, the registrant has duly caused this registration statement to be signed on its behalf by the undersigned, thereunto duly authorized in the City of Solana Beach, State of California, on February 7, 2013.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48"/>
        <w:gridCol w:w="417"/>
        <w:gridCol w:w="5010"/>
        <w:gridCol w:w="1730"/>
      </w:tblGrid>
      <w:tr>
        <w:trPr/>
        <w:tc>
          <w:tcPr>
            <w:tcW w:w="304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010"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r>
      <w:tr>
        <w:trPr/>
        <w:tc>
          <w:tcPr>
            <w:tcW w:w="3048" w:type="dxa"/>
            <w:tcBorders/>
            <w:shd w:fill="auto" w:val="clear"/>
          </w:tcPr>
          <w:p>
            <w:pPr>
              <w:pStyle w:val="TableContents"/>
              <w:pBdr/>
              <w:spacing w:before="0" w:after="0"/>
              <w:ind w:left="0" w:right="0" w:hanging="0"/>
              <w:rPr/>
            </w:pPr>
            <w:r>
              <w:rPr/>
              <w:t> </w:t>
            </w:r>
          </w:p>
        </w:tc>
        <w:tc>
          <w:tcPr>
            <w:tcW w:w="5427" w:type="dxa"/>
            <w:gridSpan w:val="2"/>
            <w:tcBorders/>
            <w:shd w:fill="auto" w:val="clear"/>
          </w:tcPr>
          <w:p>
            <w:pPr>
              <w:pStyle w:val="TableContents"/>
              <w:spacing w:before="0" w:after="0"/>
              <w:ind w:left="0" w:right="0" w:hanging="0"/>
              <w:rPr>
                <w:b/>
              </w:rPr>
            </w:pPr>
            <w:r>
              <w:rPr>
                <w:b/>
              </w:rPr>
              <w:t>IMPRIMIS PHARMACEUTICALS, INC.</w:t>
            </w:r>
          </w:p>
        </w:tc>
        <w:tc>
          <w:tcPr>
            <w:tcW w:w="1730" w:type="dxa"/>
            <w:tcBorders/>
            <w:shd w:fill="auto" w:val="clear"/>
          </w:tcPr>
          <w:p>
            <w:pPr>
              <w:pStyle w:val="TableContents"/>
              <w:pBdr/>
              <w:spacing w:before="0" w:after="0"/>
              <w:ind w:left="0" w:right="0" w:hanging="0"/>
              <w:rPr/>
            </w:pPr>
            <w:r>
              <w:rPr/>
              <w:t> </w:t>
            </w:r>
          </w:p>
        </w:tc>
      </w:tr>
      <w:tr>
        <w:trPr/>
        <w:tc>
          <w:tcPr>
            <w:tcW w:w="3048" w:type="dxa"/>
            <w:tcBorders/>
            <w:shd w:fill="auto" w:val="clear"/>
          </w:tcPr>
          <w:p>
            <w:pPr>
              <w:pStyle w:val="TableContents"/>
              <w:pBdr/>
              <w:spacing w:before="0" w:after="0"/>
              <w:ind w:left="0" w:right="0" w:hanging="0"/>
              <w:rPr/>
            </w:pPr>
            <w:r>
              <w:rPr/>
              <w:t> </w:t>
            </w:r>
          </w:p>
        </w:tc>
        <w:tc>
          <w:tcPr>
            <w:tcW w:w="417" w:type="dxa"/>
            <w:tcBorders/>
            <w:shd w:fill="auto" w:val="clear"/>
          </w:tcPr>
          <w:p>
            <w:pPr>
              <w:pStyle w:val="TableContents"/>
              <w:pBdr/>
              <w:spacing w:before="0" w:after="0"/>
              <w:ind w:left="0" w:right="0" w:hanging="0"/>
              <w:rPr/>
            </w:pPr>
            <w:r>
              <w:rPr/>
              <w:t> </w:t>
            </w:r>
          </w:p>
        </w:tc>
        <w:tc>
          <w:tcPr>
            <w:tcW w:w="5010" w:type="dxa"/>
            <w:tcBorders/>
            <w:shd w:fill="auto" w:val="clear"/>
          </w:tcPr>
          <w:p>
            <w:pPr>
              <w:pStyle w:val="TableContents"/>
              <w:pBdr/>
              <w:spacing w:before="0" w:after="0"/>
              <w:ind w:left="0" w:right="0" w:hanging="0"/>
              <w:rPr/>
            </w:pPr>
            <w:r>
              <w:rPr/>
              <w:t> </w:t>
            </w:r>
          </w:p>
        </w:tc>
        <w:tc>
          <w:tcPr>
            <w:tcW w:w="1730" w:type="dxa"/>
            <w:tcBorders/>
            <w:shd w:fill="auto" w:val="clear"/>
          </w:tcPr>
          <w:p>
            <w:pPr>
              <w:pStyle w:val="TableContents"/>
              <w:pBdr/>
              <w:spacing w:before="0" w:after="0"/>
              <w:ind w:left="0" w:right="0" w:hanging="0"/>
              <w:rPr/>
            </w:pPr>
            <w:r>
              <w:rPr/>
              <w:t> </w:t>
            </w:r>
          </w:p>
        </w:tc>
      </w:tr>
      <w:tr>
        <w:trPr/>
        <w:tc>
          <w:tcPr>
            <w:tcW w:w="3048" w:type="dxa"/>
            <w:tcBorders/>
            <w:shd w:fill="auto" w:val="clear"/>
          </w:tcPr>
          <w:p>
            <w:pPr>
              <w:pStyle w:val="TableContents"/>
              <w:pBdr/>
              <w:spacing w:before="0" w:after="0"/>
              <w:ind w:left="0" w:right="0" w:hanging="0"/>
              <w:rPr/>
            </w:pPr>
            <w:r>
              <w:rPr/>
              <w:t> </w:t>
            </w:r>
          </w:p>
        </w:tc>
        <w:tc>
          <w:tcPr>
            <w:tcW w:w="417" w:type="dxa"/>
            <w:tcBorders/>
            <w:shd w:fill="auto" w:val="clear"/>
          </w:tcPr>
          <w:p>
            <w:pPr>
              <w:pStyle w:val="TableContents"/>
              <w:spacing w:before="0" w:after="0"/>
              <w:ind w:left="0" w:right="0" w:hanging="0"/>
              <w:rPr/>
            </w:pPr>
            <w:r>
              <w:rPr/>
              <w:t>By:</w:t>
            </w:r>
          </w:p>
        </w:tc>
        <w:tc>
          <w:tcPr>
            <w:tcW w:w="5010" w:type="dxa"/>
            <w:tcBorders>
              <w:bottom w:val="single" w:sz="12" w:space="0" w:color="000000"/>
            </w:tcBorders>
            <w:shd w:fill="auto" w:val="clear"/>
            <w:tcMar>
              <w:bottom w:w="28" w:type="dxa"/>
            </w:tcMar>
          </w:tcPr>
          <w:p>
            <w:pPr>
              <w:pStyle w:val="TableContents"/>
              <w:spacing w:before="0" w:after="0"/>
              <w:ind w:left="0" w:right="0" w:hanging="0"/>
              <w:rPr>
                <w:i/>
              </w:rPr>
            </w:pPr>
            <w:r>
              <w:rPr>
                <w:i/>
              </w:rPr>
              <w:t>/s/ Mark L. Baum</w:t>
            </w:r>
          </w:p>
        </w:tc>
        <w:tc>
          <w:tcPr>
            <w:tcW w:w="1730" w:type="dxa"/>
            <w:tcBorders/>
            <w:shd w:fill="auto" w:val="clear"/>
          </w:tcPr>
          <w:p>
            <w:pPr>
              <w:pStyle w:val="TableContents"/>
              <w:pBdr/>
              <w:spacing w:before="0" w:after="0"/>
              <w:ind w:left="0" w:right="0" w:hanging="0"/>
              <w:rPr/>
            </w:pPr>
            <w:r>
              <w:rPr/>
              <w:t> </w:t>
            </w:r>
          </w:p>
        </w:tc>
      </w:tr>
      <w:tr>
        <w:trPr/>
        <w:tc>
          <w:tcPr>
            <w:tcW w:w="3048" w:type="dxa"/>
            <w:tcBorders/>
            <w:shd w:fill="auto" w:val="clear"/>
          </w:tcPr>
          <w:p>
            <w:pPr>
              <w:pStyle w:val="TableContents"/>
              <w:spacing w:before="0" w:after="0"/>
              <w:ind w:left="0" w:right="0" w:hanging="0"/>
              <w:rPr/>
            </w:pPr>
            <w:r>
              <w:rPr/>
              <w:t xml:space="preserve">Date: February 7, 2013 </w:t>
            </w:r>
          </w:p>
        </w:tc>
        <w:tc>
          <w:tcPr>
            <w:tcW w:w="417" w:type="dxa"/>
            <w:tcBorders/>
            <w:shd w:fill="auto" w:val="clear"/>
          </w:tcPr>
          <w:p>
            <w:pPr>
              <w:pStyle w:val="TableContents"/>
              <w:pBdr/>
              <w:spacing w:before="0" w:after="0"/>
              <w:ind w:left="0" w:right="0" w:hanging="0"/>
              <w:rPr/>
            </w:pPr>
            <w:r>
              <w:rPr/>
              <w:t> </w:t>
            </w:r>
          </w:p>
        </w:tc>
        <w:tc>
          <w:tcPr>
            <w:tcW w:w="5010" w:type="dxa"/>
            <w:tcBorders/>
            <w:shd w:fill="auto" w:val="clear"/>
          </w:tcPr>
          <w:p>
            <w:pPr>
              <w:pStyle w:val="TableContents"/>
              <w:spacing w:before="0" w:after="0"/>
              <w:ind w:left="0" w:right="0" w:hanging="0"/>
              <w:rPr/>
            </w:pPr>
            <w:r>
              <w:rPr/>
              <w:t>Mark L. Baum, Chief Executive Officer</w:t>
            </w:r>
          </w:p>
          <w:p>
            <w:pPr>
              <w:pStyle w:val="TableContents"/>
              <w:spacing w:before="0" w:after="0"/>
              <w:ind w:left="0" w:right="0" w:hanging="0"/>
              <w:rPr>
                <w:i/>
              </w:rPr>
            </w:pPr>
            <w:r>
              <w:rPr>
                <w:i/>
              </w:rPr>
              <w:t>(Principal Executive Officer)</w:t>
            </w:r>
          </w:p>
        </w:tc>
        <w:tc>
          <w:tcPr>
            <w:tcW w:w="1730" w:type="dxa"/>
            <w:tcBorders/>
            <w:shd w:fill="auto" w:val="clear"/>
          </w:tcPr>
          <w:p>
            <w:pPr>
              <w:pStyle w:val="TableContents"/>
              <w:pBdr/>
              <w:spacing w:before="0" w:after="0"/>
              <w:ind w:left="0" w:right="0" w:hanging="0"/>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rPr/>
      </w:pPr>
      <w:r>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9"/>
        <w:gridCol w:w="2627"/>
        <w:gridCol w:w="452"/>
        <w:gridCol w:w="4369"/>
        <w:gridCol w:w="351"/>
        <w:gridCol w:w="1967"/>
      </w:tblGrid>
      <w:tr>
        <w:trPr/>
        <w:tc>
          <w:tcPr>
            <w:tcW w:w="439"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36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r>
      <w:tr>
        <w:trPr/>
        <w:tc>
          <w:tcPr>
            <w:tcW w:w="3066" w:type="dxa"/>
            <w:gridSpan w:val="2"/>
            <w:tcBorders>
              <w:bottom w:val="single" w:sz="12" w:space="0" w:color="000000"/>
            </w:tcBorders>
            <w:shd w:fill="auto" w:val="clear"/>
            <w:tcMar>
              <w:bottom w:w="28" w:type="dxa"/>
            </w:tcMar>
          </w:tcPr>
          <w:p>
            <w:pPr>
              <w:pStyle w:val="TableContents"/>
              <w:spacing w:before="0" w:after="0"/>
              <w:ind w:left="0" w:right="0" w:hanging="0"/>
              <w:rPr>
                <w:b/>
              </w:rPr>
            </w:pPr>
            <w:r>
              <w:rPr>
                <w:b/>
              </w:rPr>
              <w:t>SIGNATURE</w:t>
            </w:r>
          </w:p>
        </w:tc>
        <w:tc>
          <w:tcPr>
            <w:tcW w:w="452" w:type="dxa"/>
            <w:tcBorders/>
            <w:shd w:fill="auto" w:val="clear"/>
            <w:vAlign w:val="bottom"/>
          </w:tcPr>
          <w:p>
            <w:pPr>
              <w:pStyle w:val="TableContents"/>
              <w:pBdr/>
              <w:spacing w:before="0" w:after="0"/>
              <w:ind w:left="0" w:right="0" w:hanging="0"/>
              <w:rPr/>
            </w:pPr>
            <w:r>
              <w:rPr/>
              <w:t> </w:t>
            </w:r>
          </w:p>
        </w:tc>
        <w:tc>
          <w:tcPr>
            <w:tcW w:w="4369" w:type="dxa"/>
            <w:tcBorders>
              <w:bottom w:val="single" w:sz="12" w:space="0" w:color="000000"/>
            </w:tcBorders>
            <w:shd w:fill="auto" w:val="clear"/>
            <w:tcMar>
              <w:bottom w:w="28" w:type="dxa"/>
            </w:tcMar>
          </w:tcPr>
          <w:p>
            <w:pPr>
              <w:pStyle w:val="TableContents"/>
              <w:spacing w:before="0" w:after="0"/>
              <w:ind w:left="0" w:right="0" w:hanging="0"/>
              <w:jc w:val="center"/>
              <w:rPr>
                <w:b/>
              </w:rPr>
            </w:pPr>
            <w:r>
              <w:rPr>
                <w:b/>
              </w:rPr>
              <w:t>TITLE</w:t>
            </w:r>
          </w:p>
        </w:tc>
        <w:tc>
          <w:tcPr>
            <w:tcW w:w="351" w:type="dxa"/>
            <w:tcBorders/>
            <w:shd w:fill="auto" w:val="clear"/>
            <w:vAlign w:val="bottom"/>
          </w:tcPr>
          <w:p>
            <w:pPr>
              <w:pStyle w:val="TableContents"/>
              <w:pBdr/>
              <w:spacing w:before="0" w:after="0"/>
              <w:ind w:left="0" w:right="0" w:hanging="0"/>
              <w:rPr/>
            </w:pPr>
            <w:r>
              <w:rPr/>
              <w:t> </w:t>
            </w:r>
          </w:p>
        </w:tc>
        <w:tc>
          <w:tcPr>
            <w:tcW w:w="1967" w:type="dxa"/>
            <w:tcBorders>
              <w:bottom w:val="single" w:sz="12" w:space="0" w:color="000000"/>
            </w:tcBorders>
            <w:shd w:fill="auto" w:val="clear"/>
            <w:tcMar>
              <w:bottom w:w="28" w:type="dxa"/>
            </w:tcMar>
          </w:tcPr>
          <w:p>
            <w:pPr>
              <w:pStyle w:val="TableContents"/>
              <w:spacing w:before="0" w:after="0"/>
              <w:ind w:left="0" w:right="0" w:hanging="0"/>
              <w:jc w:val="center"/>
              <w:rPr>
                <w:b/>
              </w:rPr>
            </w:pPr>
            <w:r>
              <w:rPr>
                <w:b/>
              </w:rPr>
              <w:t>DATE</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bottom w:val="single" w:sz="12" w:space="0" w:color="000000"/>
            </w:tcBorders>
            <w:shd w:fill="auto" w:val="clear"/>
            <w:tcMar>
              <w:bottom w:w="28" w:type="dxa"/>
            </w:tcMar>
            <w:vAlign w:val="bottom"/>
          </w:tcPr>
          <w:p>
            <w:pPr>
              <w:pStyle w:val="TableContents"/>
              <w:spacing w:before="0" w:after="0"/>
              <w:ind w:left="0" w:right="0" w:hanging="0"/>
              <w:rPr>
                <w:i/>
              </w:rPr>
            </w:pPr>
            <w:r>
              <w:rPr>
                <w:i/>
              </w:rPr>
              <w:t>/s/ Mark L. Baum</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vAlign w:val="bottom"/>
          </w:tcPr>
          <w:p>
            <w:pPr>
              <w:pStyle w:val="TableContents"/>
              <w:spacing w:before="0" w:after="0"/>
              <w:ind w:left="0" w:right="0" w:hanging="0"/>
              <w:jc w:val="center"/>
              <w:rPr/>
            </w:pPr>
            <w:r>
              <w:rPr/>
              <w:t>Chief Executive Officer and Director</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vAlign w:val="bottom"/>
          </w:tcPr>
          <w:p>
            <w:pPr>
              <w:pStyle w:val="TableContents"/>
              <w:spacing w:before="0" w:after="0"/>
              <w:ind w:left="0" w:right="0" w:hanging="0"/>
              <w:jc w:val="center"/>
              <w:rPr/>
            </w:pPr>
            <w:r>
              <w:rPr/>
              <w:t xml:space="preserve">February 7, 2013 </w:t>
            </w:r>
          </w:p>
        </w:tc>
      </w:tr>
      <w:tr>
        <w:trPr/>
        <w:tc>
          <w:tcPr>
            <w:tcW w:w="3066" w:type="dxa"/>
            <w:gridSpan w:val="2"/>
            <w:tcBorders/>
            <w:shd w:fill="auto" w:val="clear"/>
          </w:tcPr>
          <w:p>
            <w:pPr>
              <w:pStyle w:val="TableContents"/>
              <w:spacing w:before="0" w:after="0"/>
              <w:ind w:left="0" w:right="0" w:hanging="0"/>
              <w:rPr/>
            </w:pPr>
            <w:r>
              <w:rPr/>
              <w:t>Mark L. Baum, Esq.</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spacing w:before="0" w:after="0"/>
              <w:ind w:left="0" w:right="0" w:hanging="0"/>
              <w:jc w:val="center"/>
              <w:rPr/>
            </w:pPr>
            <w:r>
              <w:rPr/>
              <w:t>(</w:t>
            </w:r>
            <w:r>
              <w:rPr>
                <w:i/>
              </w:rPr>
              <w:t>Principal Executive Officer</w:t>
            </w:r>
            <w:r>
              <w:rPr/>
              <w:t>)</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bottom w:val="single" w:sz="12" w:space="0" w:color="000000"/>
            </w:tcBorders>
            <w:shd w:fill="auto" w:val="clear"/>
            <w:tcMar>
              <w:bottom w:w="28" w:type="dxa"/>
            </w:tcMar>
            <w:vAlign w:val="bottom"/>
          </w:tcPr>
          <w:p>
            <w:pPr>
              <w:pStyle w:val="TableContents"/>
              <w:spacing w:before="0" w:after="0"/>
              <w:ind w:left="0" w:right="0" w:hanging="0"/>
              <w:rPr>
                <w:i/>
              </w:rPr>
            </w:pPr>
            <w:r>
              <w:rPr>
                <w:i/>
              </w:rPr>
              <w:t>/s/ Andrew R. Boll</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vAlign w:val="bottom"/>
          </w:tcPr>
          <w:p>
            <w:pPr>
              <w:pStyle w:val="TableContents"/>
              <w:spacing w:before="0" w:after="0"/>
              <w:ind w:left="0" w:right="0" w:hanging="0"/>
              <w:jc w:val="center"/>
              <w:rPr/>
            </w:pPr>
            <w:r>
              <w:rPr/>
              <w:t xml:space="preserve">Vice President of Accounting and Public Reporting </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vAlign w:val="bottom"/>
          </w:tcPr>
          <w:p>
            <w:pPr>
              <w:pStyle w:val="TableContents"/>
              <w:spacing w:before="0" w:after="0"/>
              <w:ind w:left="0" w:right="0" w:hanging="0"/>
              <w:jc w:val="center"/>
              <w:rPr/>
            </w:pPr>
            <w:r>
              <w:rPr/>
              <w:t xml:space="preserve">February 7, 2013 </w:t>
            </w:r>
          </w:p>
        </w:tc>
      </w:tr>
      <w:tr>
        <w:trPr/>
        <w:tc>
          <w:tcPr>
            <w:tcW w:w="3066" w:type="dxa"/>
            <w:gridSpan w:val="2"/>
            <w:tcBorders/>
            <w:shd w:fill="auto" w:val="clear"/>
          </w:tcPr>
          <w:p>
            <w:pPr>
              <w:pStyle w:val="TableContents"/>
              <w:spacing w:before="0" w:after="0"/>
              <w:ind w:left="0" w:right="0" w:hanging="0"/>
              <w:rPr/>
            </w:pPr>
            <w:r>
              <w:rPr/>
              <w:t>Andrew R. Boll</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spacing w:before="0" w:after="0"/>
              <w:ind w:left="0" w:right="0" w:hanging="0"/>
              <w:jc w:val="center"/>
              <w:rPr/>
            </w:pPr>
            <w:r>
              <w:rPr/>
              <w:t>(</w:t>
            </w:r>
            <w:r>
              <w:rPr>
                <w:i/>
              </w:rPr>
              <w:t>Principal Accounting &amp; Financial Officer</w:t>
            </w:r>
            <w:r>
              <w:rPr/>
              <w:t>)</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bottom w:val="single" w:sz="12" w:space="0" w:color="000000"/>
            </w:tcBorders>
            <w:shd w:fill="auto" w:val="clear"/>
            <w:tcMar>
              <w:bottom w:w="28" w:type="dxa"/>
            </w:tcMar>
          </w:tcPr>
          <w:p>
            <w:pPr>
              <w:pStyle w:val="TableContents"/>
              <w:spacing w:before="0" w:after="0"/>
              <w:ind w:left="0" w:right="0" w:hanging="0"/>
              <w:rPr/>
            </w:pPr>
            <w:r>
              <w:rPr>
                <w:i/>
              </w:rPr>
              <w:t>/s/ Jeffrey J. Abrams</w:t>
            </w:r>
            <w:r>
              <w:rPr/>
              <w:t>*</w:t>
            </w:r>
          </w:p>
        </w:tc>
        <w:tc>
          <w:tcPr>
            <w:tcW w:w="452" w:type="dxa"/>
            <w:tcBorders/>
            <w:shd w:fill="auto" w:val="clear"/>
          </w:tcPr>
          <w:p>
            <w:pPr>
              <w:pStyle w:val="TableContents"/>
              <w:pBdr/>
              <w:spacing w:before="0" w:after="0"/>
              <w:ind w:left="0" w:right="0" w:hanging="0"/>
              <w:rPr/>
            </w:pPr>
            <w:r>
              <w:rPr/>
              <w:t> </w:t>
            </w:r>
          </w:p>
        </w:tc>
        <w:tc>
          <w:tcPr>
            <w:tcW w:w="4369" w:type="dxa"/>
            <w:tcBorders/>
            <w:shd w:fill="auto" w:val="clear"/>
          </w:tcPr>
          <w:p>
            <w:pPr>
              <w:pStyle w:val="TableContents"/>
              <w:spacing w:before="0" w:after="0"/>
              <w:ind w:left="0" w:right="0" w:hanging="0"/>
              <w:jc w:val="center"/>
              <w:rPr/>
            </w:pPr>
            <w:r>
              <w:rPr/>
              <w:t>Director</w:t>
            </w:r>
          </w:p>
        </w:tc>
        <w:tc>
          <w:tcPr>
            <w:tcW w:w="351" w:type="dxa"/>
            <w:tcBorders/>
            <w:shd w:fill="auto" w:val="clear"/>
          </w:tcPr>
          <w:p>
            <w:pPr>
              <w:pStyle w:val="TableContents"/>
              <w:pBdr/>
              <w:spacing w:before="0" w:after="0"/>
              <w:ind w:left="0" w:right="0" w:hanging="0"/>
              <w:rPr/>
            </w:pPr>
            <w:r>
              <w:rPr/>
              <w:t> </w:t>
            </w:r>
          </w:p>
        </w:tc>
        <w:tc>
          <w:tcPr>
            <w:tcW w:w="1967" w:type="dxa"/>
            <w:tcBorders/>
            <w:shd w:fill="auto" w:val="clear"/>
            <w:vAlign w:val="bottom"/>
          </w:tcPr>
          <w:p>
            <w:pPr>
              <w:pStyle w:val="TableContents"/>
              <w:spacing w:before="0" w:after="0"/>
              <w:ind w:left="0" w:right="0" w:hanging="0"/>
              <w:jc w:val="center"/>
              <w:rPr/>
            </w:pPr>
            <w:r>
              <w:rPr/>
              <w:t xml:space="preserve">February 7, 2013 </w:t>
            </w:r>
          </w:p>
        </w:tc>
      </w:tr>
      <w:tr>
        <w:trPr/>
        <w:tc>
          <w:tcPr>
            <w:tcW w:w="3066" w:type="dxa"/>
            <w:gridSpan w:val="2"/>
            <w:tcBorders/>
            <w:shd w:fill="auto" w:val="clear"/>
          </w:tcPr>
          <w:p>
            <w:pPr>
              <w:pStyle w:val="TableContents"/>
              <w:spacing w:before="0" w:after="0"/>
              <w:ind w:left="0" w:right="0" w:hanging="0"/>
              <w:rPr/>
            </w:pPr>
            <w:r>
              <w:rPr/>
              <w:t>Jeffrey J. Abrams, M.D.</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bottom"/>
          </w:tcPr>
          <w:p>
            <w:pPr>
              <w:pStyle w:val="TableContents"/>
              <w:pBdr/>
              <w:spacing w:before="0" w:after="0"/>
              <w:ind w:left="0" w:right="0" w:hanging="0"/>
              <w:rPr/>
            </w:pPr>
            <w:r>
              <w:rPr/>
              <w:t> </w:t>
            </w:r>
          </w:p>
        </w:tc>
        <w:tc>
          <w:tcPr>
            <w:tcW w:w="1967" w:type="dxa"/>
            <w:tcBorders/>
            <w:shd w:fill="auto" w:val="clear"/>
          </w:tcPr>
          <w:p>
            <w:pPr>
              <w:pStyle w:val="TableContents"/>
              <w:pBdr/>
              <w:spacing w:before="0" w:after="0"/>
              <w:ind w:left="0" w:right="0" w:hanging="0"/>
              <w:rPr/>
            </w:pPr>
            <w:r>
              <w:rPr/>
              <w:t> </w:t>
            </w:r>
          </w:p>
        </w:tc>
      </w:tr>
      <w:tr>
        <w:trPr/>
        <w:tc>
          <w:tcPr>
            <w:tcW w:w="3066" w:type="dxa"/>
            <w:gridSpan w:val="2"/>
            <w:tcBorders>
              <w:bottom w:val="single" w:sz="12" w:space="0" w:color="000000"/>
            </w:tcBorders>
            <w:shd w:fill="auto" w:val="clear"/>
            <w:tcMar>
              <w:bottom w:w="28" w:type="dxa"/>
            </w:tcMar>
          </w:tcPr>
          <w:p>
            <w:pPr>
              <w:pStyle w:val="TableContents"/>
              <w:spacing w:before="0" w:after="0"/>
              <w:ind w:left="0" w:right="0" w:hanging="0"/>
              <w:rPr/>
            </w:pPr>
            <w:r>
              <w:rPr>
                <w:i/>
              </w:rPr>
              <w:t>/s/ Paul Finnegan</w:t>
            </w:r>
            <w:r>
              <w:rPr/>
              <w:t>*</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spacing w:before="0" w:after="0"/>
              <w:ind w:left="0" w:right="0" w:hanging="0"/>
              <w:jc w:val="center"/>
              <w:rPr/>
            </w:pPr>
            <w:r>
              <w:rPr/>
              <w:t>Director</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bottom"/>
          </w:tcPr>
          <w:p>
            <w:pPr>
              <w:pStyle w:val="TableContents"/>
              <w:spacing w:before="0" w:after="0"/>
              <w:ind w:left="0" w:right="0" w:hanging="0"/>
              <w:jc w:val="center"/>
              <w:rPr/>
            </w:pPr>
            <w:r>
              <w:rPr/>
              <w:t xml:space="preserve">February 7, 2013 </w:t>
            </w:r>
          </w:p>
        </w:tc>
      </w:tr>
      <w:tr>
        <w:trPr/>
        <w:tc>
          <w:tcPr>
            <w:tcW w:w="3066" w:type="dxa"/>
            <w:gridSpan w:val="2"/>
            <w:tcBorders/>
            <w:shd w:fill="auto" w:val="clear"/>
          </w:tcPr>
          <w:p>
            <w:pPr>
              <w:pStyle w:val="TableContents"/>
              <w:spacing w:before="0" w:after="0"/>
              <w:ind w:left="0" w:right="0" w:hanging="0"/>
              <w:rPr/>
            </w:pPr>
            <w:r>
              <w:rPr/>
              <w:t>Paul Finnegan, M.D., M.B.A.</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3066" w:type="dxa"/>
            <w:gridSpan w:val="2"/>
            <w:tcBorders>
              <w:bottom w:val="single" w:sz="12" w:space="0" w:color="000000"/>
            </w:tcBorders>
            <w:shd w:fill="auto" w:val="clear"/>
            <w:tcMar>
              <w:bottom w:w="28" w:type="dxa"/>
            </w:tcMar>
          </w:tcPr>
          <w:p>
            <w:pPr>
              <w:pStyle w:val="TableContents"/>
              <w:spacing w:before="0" w:after="0"/>
              <w:ind w:left="0" w:right="0" w:hanging="0"/>
              <w:rPr/>
            </w:pPr>
            <w:r>
              <w:rPr>
                <w:i/>
              </w:rPr>
              <w:t>/s/ Robert J. Kammer</w:t>
            </w:r>
            <w:r>
              <w:rPr/>
              <w:t>*</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spacing w:before="0" w:after="0"/>
              <w:ind w:left="0" w:right="0" w:hanging="0"/>
              <w:jc w:val="center"/>
              <w:rPr/>
            </w:pPr>
            <w:r>
              <w:rPr/>
              <w:t>Chairman of the Board of Directors</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bottom"/>
          </w:tcPr>
          <w:p>
            <w:pPr>
              <w:pStyle w:val="TableContents"/>
              <w:spacing w:before="0" w:after="0"/>
              <w:ind w:left="0" w:right="0" w:hanging="0"/>
              <w:jc w:val="center"/>
              <w:rPr/>
            </w:pPr>
            <w:r>
              <w:rPr/>
              <w:t xml:space="preserve">February 7, 2013 </w:t>
            </w:r>
          </w:p>
        </w:tc>
      </w:tr>
      <w:tr>
        <w:trPr/>
        <w:tc>
          <w:tcPr>
            <w:tcW w:w="3066" w:type="dxa"/>
            <w:gridSpan w:val="2"/>
            <w:tcBorders/>
            <w:shd w:fill="auto" w:val="clear"/>
          </w:tcPr>
          <w:p>
            <w:pPr>
              <w:pStyle w:val="TableContents"/>
              <w:spacing w:before="0" w:after="0"/>
              <w:ind w:left="0" w:right="0" w:hanging="0"/>
              <w:rPr/>
            </w:pPr>
            <w:r>
              <w:rPr/>
              <w:t>Robert J. Kammer, D.D.S.</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3066" w:type="dxa"/>
            <w:gridSpan w:val="2"/>
            <w:tcBorders/>
            <w:shd w:fill="auto" w:val="clear"/>
          </w:tcPr>
          <w:p>
            <w:pPr>
              <w:pStyle w:val="TableContents"/>
              <w:pBdr/>
              <w:spacing w:before="0" w:after="0"/>
              <w:ind w:left="0" w:right="0" w:hanging="0"/>
              <w:rPr/>
            </w:pPr>
            <w:r>
              <w:rPr/>
              <w:t> </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439" w:type="dxa"/>
            <w:tcBorders/>
            <w:shd w:fill="auto" w:val="clear"/>
          </w:tcPr>
          <w:p>
            <w:pPr>
              <w:pStyle w:val="TableContents"/>
              <w:spacing w:before="0" w:after="0"/>
              <w:ind w:left="0" w:right="0" w:hanging="0"/>
              <w:rPr/>
            </w:pPr>
            <w:r>
              <w:rPr/>
              <w:t>*By:</w:t>
            </w:r>
          </w:p>
        </w:tc>
        <w:tc>
          <w:tcPr>
            <w:tcW w:w="2627" w:type="dxa"/>
            <w:tcBorders>
              <w:bottom w:val="single" w:sz="12" w:space="0" w:color="000000"/>
            </w:tcBorders>
            <w:shd w:fill="auto" w:val="clear"/>
            <w:tcMar>
              <w:bottom w:w="28" w:type="dxa"/>
            </w:tcMar>
          </w:tcPr>
          <w:p>
            <w:pPr>
              <w:pStyle w:val="TableContents"/>
              <w:spacing w:before="0" w:after="0"/>
              <w:ind w:left="0" w:right="0" w:hanging="0"/>
              <w:rPr>
                <w:i/>
              </w:rPr>
            </w:pPr>
            <w:r>
              <w:rPr>
                <w:i/>
              </w:rPr>
              <w:t>/s/ Mark L. Baum</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3066" w:type="dxa"/>
            <w:gridSpan w:val="2"/>
            <w:tcBorders/>
            <w:shd w:fill="auto" w:val="clear"/>
          </w:tcPr>
          <w:p>
            <w:pPr>
              <w:pStyle w:val="TableContents"/>
              <w:spacing w:before="0" w:after="0"/>
              <w:ind w:left="0" w:right="0" w:hanging="0"/>
              <w:rPr/>
            </w:pPr>
            <w:r>
              <w:rPr/>
              <w:t>Mark L. Baum</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r>
        <w:trPr/>
        <w:tc>
          <w:tcPr>
            <w:tcW w:w="3066" w:type="dxa"/>
            <w:gridSpan w:val="2"/>
            <w:tcBorders/>
            <w:shd w:fill="auto" w:val="clear"/>
          </w:tcPr>
          <w:p>
            <w:pPr>
              <w:pStyle w:val="TableContents"/>
              <w:spacing w:before="0" w:after="0"/>
              <w:ind w:left="0" w:right="0" w:hanging="0"/>
              <w:rPr/>
            </w:pPr>
            <w:r>
              <w:rPr/>
              <w:t>Attorney-in-Fact</w:t>
            </w:r>
          </w:p>
        </w:tc>
        <w:tc>
          <w:tcPr>
            <w:tcW w:w="452" w:type="dxa"/>
            <w:tcBorders/>
            <w:shd w:fill="auto" w:val="clear"/>
            <w:vAlign w:val="bottom"/>
          </w:tcPr>
          <w:p>
            <w:pPr>
              <w:pStyle w:val="TableContents"/>
              <w:pBdr/>
              <w:spacing w:before="0" w:after="0"/>
              <w:ind w:left="0" w:right="0" w:hanging="0"/>
              <w:rPr/>
            </w:pPr>
            <w:r>
              <w:rPr/>
              <w:t> </w:t>
            </w:r>
          </w:p>
        </w:tc>
        <w:tc>
          <w:tcPr>
            <w:tcW w:w="4369" w:type="dxa"/>
            <w:tcBorders/>
            <w:shd w:fill="auto" w:val="clear"/>
          </w:tcPr>
          <w:p>
            <w:pPr>
              <w:pStyle w:val="TableContents"/>
              <w:pBdr/>
              <w:spacing w:before="0" w:after="0"/>
              <w:ind w:left="0" w:right="0" w:hanging="0"/>
              <w:rPr/>
            </w:pPr>
            <w:r>
              <w:rPr/>
              <w:t> </w:t>
            </w:r>
          </w:p>
        </w:tc>
        <w:tc>
          <w:tcPr>
            <w:tcW w:w="351" w:type="dxa"/>
            <w:tcBorders/>
            <w:shd w:fill="auto" w:val="clear"/>
            <w:vAlign w:val="center"/>
          </w:tcPr>
          <w:p>
            <w:pPr>
              <w:pStyle w:val="TableContents"/>
              <w:pBdr/>
              <w:spacing w:before="0" w:after="0"/>
              <w:ind w:left="0" w:right="0" w:hanging="0"/>
              <w:rPr/>
            </w:pPr>
            <w:r>
              <w:rPr/>
              <w:t> </w:t>
            </w:r>
          </w:p>
        </w:tc>
        <w:tc>
          <w:tcPr>
            <w:tcW w:w="1967" w:type="dxa"/>
            <w:tcBorders/>
            <w:shd w:fill="auto" w:val="clear"/>
            <w:vAlign w:val="center"/>
          </w:tcPr>
          <w:p>
            <w:pPr>
              <w:pStyle w:val="TableContents"/>
              <w:pBdr/>
              <w:spacing w:before="0" w:after="0"/>
              <w:ind w:left="0" w:right="0" w:hanging="0"/>
              <w:rPr/>
            </w:pPr>
            <w:r>
              <w:rPr/>
              <w:t> </w:t>
            </w:r>
          </w:p>
        </w:tc>
      </w:tr>
    </w:tbl>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EXHIBIT INDEX</w:t>
      </w:r>
    </w:p>
    <w:p>
      <w:pPr>
        <w:pStyle w:val="TextBody"/>
        <w:spacing w:before="0" w:after="0"/>
        <w:ind w:left="0" w:right="0" w:hanging="0"/>
        <w:rPr/>
      </w:pPr>
      <w:r>
        <w:rPr/>
      </w:r>
      <w:bookmarkStart w:id="102" w:name="FIS_UNIDENTIFIED_TABLE_54"/>
      <w:bookmarkStart w:id="103" w:name="FIS_UNIDENTIFIED_TABLE_54"/>
      <w:bookmarkEnd w:id="103"/>
    </w:p>
    <w:p>
      <w:pPr>
        <w:pStyle w:val="Normal"/>
        <w:spacing w:before="0" w:after="0"/>
        <w:rPr>
          <w:sz w:val="4"/>
          <w:szCs w:val="4"/>
        </w:rPr>
      </w:pPr>
      <w:r>
        <w:rPr>
          <w:sz w:val="4"/>
          <w:szCs w:val="4"/>
        </w:rPr>
      </w:r>
      <w:bookmarkStart w:id="104" w:name="FIS_UNIDENTIFIED_TABLE_55"/>
      <w:bookmarkStart w:id="105" w:name="FIS_UNIDENTIFIED_TABLE_55"/>
      <w:bookmarkEnd w:id="105"/>
    </w:p>
    <w:tbl>
      <w:tblPr>
        <w:tblW w:w="10205" w:type="dxa"/>
        <w:jc w:val="center"/>
        <w:tblInd w:w="0" w:type="dxa"/>
        <w:tblCellMar>
          <w:top w:w="0" w:type="dxa"/>
          <w:left w:w="0" w:type="dxa"/>
          <w:bottom w:w="0" w:type="dxa"/>
          <w:right w:w="0" w:type="dxa"/>
        </w:tblCellMar>
      </w:tblPr>
      <w:tblGrid>
        <w:gridCol w:w="890"/>
        <w:gridCol w:w="285"/>
        <w:gridCol w:w="9030"/>
      </w:tblGrid>
      <w:tr>
        <w:trPr/>
        <w:tc>
          <w:tcPr>
            <w:tcW w:w="89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030"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pBdr>
                <w:bottom w:val="single" w:sz="2" w:space="3" w:color="000000"/>
              </w:pBdr>
              <w:spacing w:before="0" w:after="0"/>
              <w:ind w:left="0" w:right="0" w:hanging="0"/>
              <w:jc w:val="center"/>
              <w:rPr>
                <w:b/>
              </w:rPr>
            </w:pPr>
            <w:r>
              <w:rPr>
                <w:b/>
              </w:rPr>
              <w:t>Exhibit</w:t>
              <w:br/>
              <w:t>Number</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vAlign w:val="bottom"/>
          </w:tcPr>
          <w:p>
            <w:pPr>
              <w:pStyle w:val="TableContents"/>
              <w:pBdr>
                <w:bottom w:val="single" w:sz="2" w:space="3" w:color="000000"/>
              </w:pBdr>
              <w:spacing w:before="0" w:after="0"/>
              <w:ind w:left="0" w:right="0" w:hanging="0"/>
              <w:jc w:val="center"/>
              <w:rPr>
                <w:b/>
              </w:rPr>
            </w:pPr>
            <w:r>
              <w:rPr>
                <w:b/>
              </w:rPr>
              <w:t>Description of Exhibit</w:t>
            </w:r>
          </w:p>
        </w:tc>
      </w:tr>
      <w:tr>
        <w:trPr/>
        <w:tc>
          <w:tcPr>
            <w:tcW w:w="890" w:type="dxa"/>
            <w:tcBorders/>
            <w:shd w:fill="auto" w:val="clear"/>
          </w:tcPr>
          <w:p>
            <w:pPr>
              <w:pStyle w:val="TableContents"/>
              <w:spacing w:before="0" w:after="0"/>
              <w:ind w:left="0" w:right="0" w:firstLine="195"/>
              <w:jc w:val="right"/>
              <w:rPr/>
            </w:pPr>
            <w:r>
              <w:rPr/>
              <w:t>5.1</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tcPr>
          <w:p>
            <w:pPr>
              <w:pStyle w:val="TableContents"/>
              <w:spacing w:before="0" w:after="0"/>
              <w:ind w:left="0" w:right="0" w:hanging="0"/>
              <w:rPr/>
            </w:pPr>
            <w:r>
              <w:rPr/>
              <w:t>Opinion of Morrison &amp; Foerster LLP (filed herewith)</w:t>
            </w:r>
          </w:p>
        </w:tc>
      </w:tr>
      <w:tr>
        <w:trPr/>
        <w:tc>
          <w:tcPr>
            <w:tcW w:w="890" w:type="dxa"/>
            <w:tcBorders/>
            <w:shd w:fill="auto" w:val="clear"/>
          </w:tcPr>
          <w:p>
            <w:pPr>
              <w:pStyle w:val="TableContents"/>
              <w:spacing w:before="0" w:after="0"/>
              <w:ind w:left="0" w:right="0" w:firstLine="195"/>
              <w:jc w:val="right"/>
              <w:rPr/>
            </w:pPr>
            <w:r>
              <w:rPr/>
              <w:t>23.1</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tcPr>
          <w:p>
            <w:pPr>
              <w:pStyle w:val="TableContents"/>
              <w:spacing w:before="0" w:after="0"/>
              <w:ind w:left="0" w:right="0" w:hanging="0"/>
              <w:rPr/>
            </w:pPr>
            <w:r>
              <w:rPr/>
              <w:t>Consent of Independent Registered Public Accounting Firm, KMJ Corbin &amp; Company LLP (filed herewith)</w:t>
            </w:r>
          </w:p>
        </w:tc>
      </w:tr>
      <w:tr>
        <w:trPr/>
        <w:tc>
          <w:tcPr>
            <w:tcW w:w="890" w:type="dxa"/>
            <w:tcBorders/>
            <w:shd w:fill="auto" w:val="clear"/>
          </w:tcPr>
          <w:p>
            <w:pPr>
              <w:pStyle w:val="TableContents"/>
              <w:spacing w:before="0" w:after="0"/>
              <w:ind w:left="0" w:right="0" w:firstLine="195"/>
              <w:jc w:val="right"/>
              <w:rPr/>
            </w:pPr>
            <w:r>
              <w:rPr/>
              <w:t>23.2</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tcPr>
          <w:p>
            <w:pPr>
              <w:pStyle w:val="TableContents"/>
              <w:spacing w:before="0" w:after="0"/>
              <w:ind w:left="0" w:right="0" w:hanging="0"/>
              <w:rPr/>
            </w:pPr>
            <w:r>
              <w:rPr/>
              <w:t>Consent of Morrison &amp; Foerster LLP (including in Exhibit 5.1)</w:t>
            </w:r>
          </w:p>
        </w:tc>
      </w:tr>
      <w:tr>
        <w:trPr/>
        <w:tc>
          <w:tcPr>
            <w:tcW w:w="890" w:type="dxa"/>
            <w:tcBorders/>
            <w:shd w:fill="auto" w:val="clear"/>
          </w:tcPr>
          <w:p>
            <w:pPr>
              <w:pStyle w:val="TableContents"/>
              <w:spacing w:before="0" w:after="0"/>
              <w:ind w:left="0" w:right="0" w:firstLine="195"/>
              <w:jc w:val="right"/>
              <w:rPr/>
            </w:pPr>
            <w:r>
              <w:rPr/>
              <w:t>24.1</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tcPr>
          <w:p>
            <w:pPr>
              <w:pStyle w:val="TableContents"/>
              <w:spacing w:before="0" w:after="0"/>
              <w:ind w:left="0" w:right="0" w:hanging="0"/>
              <w:rPr/>
            </w:pPr>
            <w:r>
              <w:rPr/>
              <w:t>Power of Attorney (previously filed on the signature page to the Registration Statement on Form S-1 (File No. 333-182846) filed with the SEC on July 25, 2012)</w:t>
            </w:r>
          </w:p>
        </w:tc>
      </w:tr>
      <w:tr>
        <w:trPr/>
        <w:tc>
          <w:tcPr>
            <w:tcW w:w="890" w:type="dxa"/>
            <w:tcBorders/>
            <w:shd w:fill="auto" w:val="clear"/>
          </w:tcPr>
          <w:p>
            <w:pPr>
              <w:pStyle w:val="TableContents"/>
              <w:pBdr/>
              <w:spacing w:before="0" w:after="0"/>
              <w:ind w:left="0" w:right="0" w:hanging="0"/>
              <w:rPr/>
            </w:pPr>
            <w:r>
              <w:rPr/>
              <w:t> </w:t>
            </w:r>
          </w:p>
        </w:tc>
        <w:tc>
          <w:tcPr>
            <w:tcW w:w="285" w:type="dxa"/>
            <w:tcBorders/>
            <w:shd w:fill="auto" w:val="clear"/>
          </w:tcPr>
          <w:p>
            <w:pPr>
              <w:pStyle w:val="TableContents"/>
              <w:pBdr/>
              <w:spacing w:before="0" w:after="0"/>
              <w:ind w:left="0" w:right="0" w:hanging="0"/>
              <w:rPr/>
            </w:pPr>
            <w:r>
              <w:rPr/>
              <w:t> </w:t>
            </w:r>
          </w:p>
        </w:tc>
        <w:tc>
          <w:tcPr>
            <w:tcW w:w="9030" w:type="dxa"/>
            <w:tcBorders/>
            <w:shd w:fill="auto" w:val="clear"/>
          </w:tcPr>
          <w:p>
            <w:pPr>
              <w:pStyle w:val="TableContents"/>
              <w:pBdr/>
              <w:spacing w:before="0" w:after="0"/>
              <w:ind w:left="0" w:right="0" w:hanging="0"/>
              <w:rPr/>
            </w:pPr>
            <w:r>
              <w:rPr/>
              <w:t> </w:t>
            </w:r>
          </w:p>
        </w:tc>
      </w:tr>
    </w:tbl>
    <w:p>
      <w:pPr>
        <w:pStyle w:val="TextBody"/>
        <w:spacing w:before="0" w:after="0"/>
        <w:ind w:left="0" w:right="0" w:hanging="0"/>
        <w:rPr/>
      </w:pPr>
      <w:r>
        <w:rPr/>
      </w:r>
    </w:p>
    <w:p>
      <w:pPr>
        <w:pStyle w:val="TextBody"/>
        <w:spacing w:before="0" w:after="0"/>
        <w:ind w:left="0" w:right="0" w:hanging="0"/>
        <w:rPr/>
      </w:pPr>
      <w:r>
        <w:rPr/>
      </w:r>
      <w:r>
        <w:br w:type="page"/>
      </w:r>
    </w:p>
    <w:p>
      <w:pPr>
        <w:pStyle w:val="TextBody"/>
        <w:spacing w:before="0" w:after="0"/>
        <w:ind w:left="0" w:right="0" w:hanging="0"/>
        <w:rPr/>
      </w:pPr>
      <w:bookmarkStart w:id="106" w:name="s1_ex5z1.htm"/>
      <w:bookmarkStart w:id="107" w:name="kss1_ex5z1"/>
      <w:bookmarkEnd w:id="106"/>
      <w:bookmarkEnd w:id="107"/>
      <w:r>
        <w:rPr/>
        <w:commentReference w:id="0"/>
      </w:r>
      <w:r>
        <w:rPr/>
        <w:t>EXHIBIT 5.1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9210" w:type="dxa"/>
        <w:jc w:val="center"/>
        <w:tblInd w:w="0" w:type="dxa"/>
        <w:tblCellMar>
          <w:top w:w="0" w:type="dxa"/>
          <w:left w:w="0" w:type="dxa"/>
          <w:bottom w:w="0" w:type="dxa"/>
          <w:right w:w="0" w:type="dxa"/>
        </w:tblCellMar>
      </w:tblPr>
      <w:tblGrid>
        <w:gridCol w:w="4155"/>
        <w:gridCol w:w="2625"/>
        <w:gridCol w:w="2430"/>
      </w:tblGrid>
      <w:tr>
        <w:trPr/>
        <w:tc>
          <w:tcPr>
            <w:tcW w:w="4155" w:type="dxa"/>
            <w:tcBorders/>
            <w:shd w:fill="auto" w:val="clear"/>
            <w:vAlign w:val="center"/>
          </w:tcPr>
          <w:p>
            <w:pPr>
              <w:pStyle w:val="TableContents"/>
              <w:spacing w:before="0" w:after="283"/>
              <w:rPr>
                <w:sz w:val="4"/>
                <w:szCs w:val="4"/>
              </w:rPr>
            </w:pPr>
            <w:r>
              <w:rPr>
                <w:sz w:val="4"/>
                <w:szCs w:val="4"/>
              </w:rPr>
            </w:r>
          </w:p>
        </w:tc>
        <w:tc>
          <w:tcPr>
            <w:tcW w:w="2625"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r>
      <w:tr>
        <w:trPr/>
        <w:tc>
          <w:tcPr>
            <w:tcW w:w="4155" w:type="dxa"/>
            <w:tcBorders/>
            <w:shd w:fill="auto" w:val="clear"/>
          </w:tcPr>
          <w:p>
            <w:pPr>
              <w:pStyle w:val="TableContents"/>
              <w:spacing w:before="0" w:after="283"/>
              <w:ind w:left="0" w:right="0" w:hanging="0"/>
              <w:rPr>
                <w:sz w:val="4"/>
                <w:szCs w:val="4"/>
              </w:rPr>
            </w:pPr>
            <w:r>
              <w:rPr>
                <w:sz w:val="4"/>
                <w:szCs w:val="4"/>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76475" cy="28575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285750"/>
                          </a:xfrm>
                          <a:prstGeom prst="rect">
                            <a:avLst/>
                          </a:prstGeom>
                        </pic:spPr>
                      </pic:pic>
                    </a:graphicData>
                  </a:graphic>
                </wp:anchor>
              </w:drawing>
            </w:r>
          </w:p>
        </w:tc>
        <w:tc>
          <w:tcPr>
            <w:tcW w:w="2625" w:type="dxa"/>
            <w:tcBorders/>
            <w:shd w:fill="auto" w:val="clear"/>
          </w:tcPr>
          <w:p>
            <w:pPr>
              <w:pStyle w:val="TableContents"/>
              <w:spacing w:before="0" w:after="0"/>
              <w:ind w:left="0" w:right="0" w:hanging="0"/>
              <w:rPr>
                <w:sz w:val="13"/>
              </w:rPr>
            </w:pPr>
            <w:r>
              <w:rPr>
                <w:sz w:val="13"/>
              </w:rPr>
              <w:t>12531 HIGH BLUFF DRIVE</w:t>
              <w:br/>
              <w:t>SAN DIEGO, CALIFORNIA</w:t>
              <w:br/>
              <w:t>92130-2040</w:t>
            </w:r>
          </w:p>
          <w:p>
            <w:pPr>
              <w:pStyle w:val="TableContents"/>
              <w:spacing w:before="75" w:after="0"/>
              <w:rPr>
                <w:sz w:val="13"/>
              </w:rPr>
            </w:pPr>
            <w:r>
              <w:rPr>
                <w:sz w:val="13"/>
              </w:rPr>
              <w:t>TELEPHONE: 858.720.5100</w:t>
            </w:r>
          </w:p>
          <w:p>
            <w:pPr>
              <w:pStyle w:val="TableContents"/>
              <w:spacing w:before="0" w:after="0"/>
              <w:ind w:left="0" w:right="0" w:hanging="0"/>
              <w:rPr>
                <w:sz w:val="13"/>
              </w:rPr>
            </w:pPr>
            <w:r>
              <w:rPr>
                <w:sz w:val="13"/>
              </w:rPr>
              <w:t>FACSIMILE: 858.720.5125</w:t>
            </w:r>
          </w:p>
          <w:p>
            <w:pPr>
              <w:pStyle w:val="TableContents"/>
              <w:spacing w:before="75" w:after="0"/>
              <w:rPr>
                <w:sz w:val="13"/>
              </w:rPr>
            </w:pPr>
            <w:r>
              <w:rPr>
                <w:sz w:val="13"/>
              </w:rPr>
              <w:t>WWW.MOFO.COM</w:t>
            </w:r>
          </w:p>
        </w:tc>
        <w:tc>
          <w:tcPr>
            <w:tcW w:w="2430" w:type="dxa"/>
            <w:tcBorders/>
            <w:shd w:fill="auto" w:val="clear"/>
          </w:tcPr>
          <w:p>
            <w:pPr>
              <w:pStyle w:val="TableContents"/>
              <w:spacing w:lineRule="atLeast" w:line="141" w:before="0" w:after="15"/>
              <w:ind w:left="0" w:right="0" w:hanging="30"/>
              <w:rPr>
                <w:sz w:val="4"/>
              </w:rPr>
            </w:pPr>
            <w:r>
              <w:rPr>
                <w:sz w:val="4"/>
              </w:rPr>
              <w:t>MORRISON &amp; FOERSTER LLP</w:t>
            </w:r>
          </w:p>
          <w:p>
            <w:pPr>
              <w:pStyle w:val="TableContents"/>
              <w:spacing w:lineRule="atLeast" w:line="141" w:before="0" w:after="15"/>
              <w:ind w:left="0" w:right="0" w:hanging="30"/>
              <w:rPr>
                <w:sz w:val="7"/>
              </w:rPr>
            </w:pPr>
            <w:r>
              <w:rPr>
                <w:sz w:val="7"/>
              </w:rPr>
              <w:t>NEW YORK, SAN FRANCISCO,</w:t>
              <w:br/>
              <w:t>LOS ANGELES, PALO ALTO,</w:t>
              <w:br/>
              <w:t>SACRAMENTO, SAN DIEGO,</w:t>
              <w:br/>
              <w:t>DENVER, NORTHERN VIRGINIA,</w:t>
              <w:br/>
              <w:t>WASHINGTON, D.C.</w:t>
            </w:r>
          </w:p>
          <w:p>
            <w:pPr>
              <w:pStyle w:val="TableContents"/>
              <w:spacing w:lineRule="atLeast" w:line="141" w:before="0" w:after="15"/>
              <w:ind w:left="0" w:right="0" w:hanging="30"/>
              <w:rPr>
                <w:sz w:val="7"/>
              </w:rPr>
            </w:pPr>
            <w:r>
              <w:rPr>
                <w:sz w:val="7"/>
              </w:rPr>
              <w:t>TOKYO, LONDON, BRUSSELS,</w:t>
              <w:br/>
              <w:t>BEIJING, SHANGHAI, HONG KONG</w:t>
              <w:br/>
              <w:t>SINGAPORE</w:t>
            </w:r>
          </w:p>
        </w:tc>
      </w:tr>
    </w:tbl>
    <w:p>
      <w:pPr>
        <w:pStyle w:val="TextBody"/>
        <w:spacing w:before="0" w:after="0"/>
        <w:ind w:left="0" w:right="0" w:hanging="0"/>
        <w:rPr/>
      </w:pPr>
      <w:r>
        <w:rPr/>
        <w:t>February 7, 2013</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Imprimis Pharmaceuticals, Inc.</w:t>
      </w:r>
    </w:p>
    <w:p>
      <w:pPr>
        <w:pStyle w:val="TextBody"/>
        <w:spacing w:before="0" w:after="0"/>
        <w:ind w:left="0" w:right="0" w:hanging="720"/>
        <w:rPr/>
      </w:pPr>
      <w:r>
        <w:rPr/>
        <w:t>437 South Highway 101, Suite 209</w:t>
      </w:r>
    </w:p>
    <w:p>
      <w:pPr>
        <w:pStyle w:val="TextBody"/>
        <w:spacing w:before="0" w:after="0"/>
        <w:ind w:left="0" w:right="0" w:hanging="720"/>
        <w:rPr/>
      </w:pPr>
      <w:r>
        <w:rPr/>
        <w:t>Solana Beach, CA 92075</w:t>
      </w:r>
    </w:p>
    <w:p>
      <w:pPr>
        <w:pStyle w:val="TextBody"/>
        <w:spacing w:before="0" w:after="0"/>
        <w:ind w:left="0" w:right="0" w:hanging="0"/>
        <w:rPr/>
      </w:pPr>
      <w:r>
        <w:rPr/>
      </w:r>
    </w:p>
    <w:p>
      <w:pPr>
        <w:pStyle w:val="TextBody"/>
        <w:spacing w:before="0" w:after="0"/>
        <w:ind w:left="0" w:right="0" w:hanging="30"/>
        <w:rPr/>
      </w:pPr>
      <w:r>
        <w:rPr/>
        <w:t>Registration Statement on Form S-1</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largest"/>
                <wp:docPr id="2" name="Frame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Re: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Re:</w:t>
                      </w:r>
                    </w:p>
                  </w:txbxContent>
                </v:textbox>
                <w10:wrap type="square" side="right"/>
              </v:rect>
            </w:pict>
          </mc:Fallback>
        </mc:AlternateContent>
      </w:r>
    </w:p>
    <w:p>
      <w:pPr>
        <w:pStyle w:val="TextBody"/>
        <w:spacing w:before="0" w:after="0"/>
        <w:ind w:left="0" w:right="0" w:firstLine="720"/>
        <w:rPr/>
      </w:pPr>
      <w:r>
        <w:rPr/>
        <w:t>Filed pursuant to Rule 462(b) under the Securities Act of 1933</w:t>
      </w:r>
    </w:p>
    <w:p>
      <w:pPr>
        <w:pStyle w:val="TextBody"/>
        <w:spacing w:before="0" w:after="0"/>
        <w:ind w:left="0" w:right="0" w:hanging="0"/>
        <w:rPr/>
      </w:pPr>
      <w:r>
        <w:rPr/>
      </w:r>
    </w:p>
    <w:p>
      <w:pPr>
        <w:pStyle w:val="TextBody"/>
        <w:spacing w:before="0" w:after="0"/>
        <w:ind w:left="0" w:right="0" w:hanging="0"/>
        <w:rPr/>
      </w:pPr>
      <w:r>
        <w:rPr/>
        <w:t>Ladies and Gentlemen:</w:t>
      </w:r>
    </w:p>
    <w:p>
      <w:pPr>
        <w:pStyle w:val="TextBody"/>
        <w:spacing w:before="0" w:after="0"/>
        <w:ind w:left="0" w:right="0" w:hanging="0"/>
        <w:rPr/>
      </w:pPr>
      <w:r>
        <w:rPr/>
      </w:r>
    </w:p>
    <w:p>
      <w:pPr>
        <w:pStyle w:val="TextBody"/>
        <w:spacing w:before="0" w:after="0"/>
        <w:ind w:left="0" w:right="0" w:hanging="0"/>
        <w:jc w:val="both"/>
        <w:rPr/>
      </w:pPr>
      <w:r>
        <w:rPr/>
        <w:t xml:space="preserve">We have examined the Registration Statement on Form S-1 (the Registration Statement) of Imprimis Pharmaceuticals, Inc., a Delaware corporation (the Company), to be filed with the Securities and Exchange Commission on February 7, 2013 pursuant to Rule 462(b) under the Securities Act of 1933, as amended (the Securities Act), relating to the registration under the Securities Act of an additional 254,096 shares (the Additional Shares) of the Companys common stock, $0.001 par value per share (which includes shares subject to the underwriters over-allotment option).  An aggregate of 1,861,904 shares of the Companys common stock was registered pursuant to the Companys Registration Statement on Form S-1 (No. 333-182846), which was declared effective by the Commission on February 7, 2013.  The Additional Shares are to be sold to the underwriters named in the Registration Statement for resale to the public. </w:t>
      </w:r>
    </w:p>
    <w:p>
      <w:pPr>
        <w:pStyle w:val="TextBody"/>
        <w:spacing w:before="0" w:after="0"/>
        <w:ind w:left="0" w:right="0" w:hanging="0"/>
        <w:jc w:val="both"/>
        <w:rPr/>
      </w:pPr>
      <w:r>
        <w:rPr/>
        <w:t> </w:t>
      </w:r>
    </w:p>
    <w:p>
      <w:pPr>
        <w:pStyle w:val="TextBody"/>
        <w:spacing w:before="0" w:after="0"/>
        <w:ind w:left="0" w:right="0" w:hanging="0"/>
        <w:jc w:val="both"/>
        <w:rPr/>
      </w:pPr>
      <w:r>
        <w:rPr/>
        <w:t xml:space="preserve">As counsel to the Company, we have examined the proceedings taken by the Company in connection with the issuance by the Company of the Additional Shares.  We are of the opinion that the Additional Shares to be offered and sold by the Company have been duly authorized and, when issued and sold by the Company in the manner described in the Registration Statement and in accordance with the resolutions adopted by the Board of Directors of the Company, will be legally issued, fully paid and nonassessable. </w:t>
      </w:r>
    </w:p>
    <w:p>
      <w:pPr>
        <w:pStyle w:val="TextBody"/>
        <w:spacing w:before="0" w:after="0"/>
        <w:ind w:left="0" w:right="0" w:hanging="0"/>
        <w:jc w:val="both"/>
        <w:rPr/>
      </w:pPr>
      <w:r>
        <w:rPr/>
        <w:t> </w:t>
      </w:r>
    </w:p>
    <w:p>
      <w:pPr>
        <w:pStyle w:val="TextBody"/>
        <w:spacing w:before="0" w:after="0"/>
        <w:ind w:left="0" w:right="0" w:hanging="0"/>
        <w:jc w:val="both"/>
        <w:rPr/>
      </w:pPr>
      <w:r>
        <w:rPr/>
        <w:t xml:space="preserve">We hereby consent to the inclusion of this opinion as an exhibit to the Registration Statement and to the reference to our firm under the caption Legal Matters in the Registration Statement and the prospectus included or incorporated by reference therein. </w:t>
      </w:r>
    </w:p>
    <w:p>
      <w:pPr>
        <w:pStyle w:val="TextBody"/>
        <w:spacing w:before="0" w:after="0"/>
        <w:ind w:left="0" w:right="0" w:hanging="0"/>
        <w:rPr/>
      </w:pPr>
      <w:r>
        <w:rPr/>
      </w:r>
    </w:p>
    <w:p>
      <w:pPr>
        <w:pStyle w:val="TextBody"/>
        <w:spacing w:before="0" w:after="0"/>
        <w:ind w:left="0" w:right="0" w:hanging="0"/>
        <w:rPr/>
      </w:pPr>
      <w:r>
        <w:rPr/>
        <w:t>Very truly yours,</w:t>
      </w:r>
    </w:p>
    <w:p>
      <w:pPr>
        <w:pStyle w:val="TextBody"/>
        <w:spacing w:before="0" w:after="0"/>
        <w:ind w:left="0" w:right="0" w:hanging="0"/>
        <w:rPr/>
      </w:pPr>
      <w:r>
        <w:rPr/>
      </w:r>
    </w:p>
    <w:p>
      <w:pPr>
        <w:pStyle w:val="TextBody"/>
        <w:spacing w:before="0" w:after="0"/>
        <w:ind w:left="0" w:right="0" w:hanging="0"/>
        <w:rPr>
          <w:i/>
        </w:rPr>
      </w:pPr>
      <w:r>
        <w:rPr>
          <w:i/>
        </w:rPr>
        <w:t>/s/ Morrison &amp; Foerster LLP </w:t>
      </w:r>
    </w:p>
    <w:p>
      <w:pPr>
        <w:pStyle w:val="TextBody"/>
        <w:spacing w:before="0" w:after="0"/>
        <w:ind w:left="0" w:right="0" w:hanging="0"/>
        <w:rPr/>
      </w:pPr>
      <w:r>
        <w:rPr/>
      </w:r>
    </w:p>
    <w:p>
      <w:pPr>
        <w:pStyle w:val="TextBody"/>
        <w:spacing w:before="0" w:after="0"/>
        <w:ind w:left="0" w:right="0" w:hanging="0"/>
        <w:rPr/>
      </w:pPr>
      <w:r>
        <w:rPr/>
        <w:t>Morrison &amp; Foerster LLP </w:t>
      </w:r>
    </w:p>
    <w:p>
      <w:pPr>
        <w:pStyle w:val="TextBody"/>
        <w:spacing w:before="0" w:after="0"/>
        <w:ind w:left="0" w:right="0" w:hanging="0"/>
        <w:rPr/>
      </w:pPr>
      <w:r>
        <w:rPr/>
      </w:r>
      <w:r>
        <w:br w:type="page"/>
      </w:r>
    </w:p>
    <w:p>
      <w:pPr>
        <w:pStyle w:val="TextBody"/>
        <w:spacing w:before="0" w:after="0"/>
        <w:ind w:left="0" w:right="0" w:hanging="0"/>
        <w:rPr/>
      </w:pPr>
      <w:bookmarkStart w:id="108" w:name="s1_ex23z1.htm"/>
      <w:bookmarkStart w:id="109" w:name="kss1_ex23z1"/>
      <w:bookmarkEnd w:id="108"/>
      <w:bookmarkEnd w:id="109"/>
      <w:r>
        <w:rPr/>
        <w:commentReference w:id="1"/>
      </w:r>
      <w:r>
        <w:rPr/>
        <w:t>EXHIBIT 23.1</w:t>
      </w:r>
    </w:p>
    <w:p>
      <w:pPr>
        <w:pStyle w:val="TextBody"/>
        <w:spacing w:before="0" w:after="0"/>
        <w:ind w:left="0" w:right="0" w:hanging="0"/>
        <w:rPr/>
      </w:pPr>
      <w:r>
        <w:rPr/>
      </w:r>
    </w:p>
    <w:p>
      <w:pPr>
        <w:pStyle w:val="TextBody"/>
        <w:spacing w:before="0" w:after="0"/>
        <w:ind w:left="0" w:right="0" w:hanging="0"/>
        <w:jc w:val="center"/>
        <w:rPr/>
      </w:pPr>
      <w:r>
        <w:rPr/>
        <w:t>CONSENT OF INDEPENDENT REGISTERED PUBLIC ACCOUNTING FIRM</w:t>
      </w:r>
    </w:p>
    <w:p>
      <w:pPr>
        <w:pStyle w:val="TextBody"/>
        <w:spacing w:before="0" w:after="0"/>
        <w:ind w:left="0" w:right="0" w:hanging="0"/>
        <w:rPr/>
      </w:pPr>
      <w:r>
        <w:rPr/>
      </w:r>
    </w:p>
    <w:p>
      <w:pPr>
        <w:pStyle w:val="TextBody"/>
        <w:spacing w:before="0" w:after="0"/>
        <w:ind w:left="0" w:right="0" w:hanging="0"/>
        <w:jc w:val="both"/>
        <w:rPr/>
      </w:pPr>
      <w:r>
        <w:rPr/>
        <w:t>We consent to the incorporation by reference in this Registration Statement on Form S-1 filed pursuant to Rule 462(b) of the Securities Act of 1933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about the Companys ability to continue as a going concern) appearing in the Registration Statement (No. 333-182846) on Form S-1 and related Prospectus of the Company dated February 4, 2013, and to the reference to us under the heading Experts in the related Prospectus.</w:t>
      </w:r>
    </w:p>
    <w:p>
      <w:pPr>
        <w:pStyle w:val="TextBody"/>
        <w:spacing w:before="0" w:after="0"/>
        <w:ind w:left="0" w:right="0" w:hanging="0"/>
        <w:jc w:val="both"/>
        <w:rPr/>
      </w:pPr>
      <w:r>
        <w:rPr/>
      </w:r>
    </w:p>
    <w:p>
      <w:pPr>
        <w:pStyle w:val="TextBody"/>
        <w:spacing w:before="0" w:after="0"/>
        <w:ind w:left="0" w:right="0" w:hanging="0"/>
        <w:jc w:val="both"/>
        <w:rPr>
          <w:i/>
        </w:rPr>
      </w:pPr>
      <w:r>
        <w:rPr>
          <w:i/>
        </w:rPr>
        <w:t>/s/ KMJ Corbin &amp; Company LLP</w:t>
      </w:r>
    </w:p>
    <w:p>
      <w:pPr>
        <w:pStyle w:val="TextBody"/>
        <w:spacing w:before="0" w:after="0"/>
        <w:ind w:left="0" w:right="0" w:hanging="0"/>
        <w:jc w:val="both"/>
        <w:rPr/>
      </w:pPr>
      <w:r>
        <w:rPr/>
      </w:r>
    </w:p>
    <w:p>
      <w:pPr>
        <w:pStyle w:val="TextBody"/>
        <w:spacing w:before="0" w:after="0"/>
        <w:ind w:left="0" w:right="0" w:hanging="0"/>
        <w:jc w:val="both"/>
        <w:rPr/>
      </w:pPr>
      <w:r>
        <w:rPr/>
        <w:t>KMJ Corbin &amp; Company LLP</w:t>
      </w:r>
    </w:p>
    <w:p>
      <w:pPr>
        <w:pStyle w:val="TextBody"/>
        <w:spacing w:before="0" w:after="0"/>
        <w:ind w:left="0" w:right="0" w:hanging="0"/>
        <w:jc w:val="both"/>
        <w:rPr/>
      </w:pPr>
      <w:r>
        <w:rPr/>
      </w:r>
    </w:p>
    <w:p>
      <w:pPr>
        <w:pStyle w:val="TextBody"/>
        <w:spacing w:before="0" w:after="0"/>
        <w:ind w:left="0" w:right="0" w:hanging="0"/>
        <w:jc w:val="both"/>
        <w:rPr/>
      </w:pPr>
      <w:r>
        <w:rPr/>
        <w:t>Costa Mesa, California</w:t>
      </w:r>
    </w:p>
    <w:p>
      <w:pPr>
        <w:pStyle w:val="TextBody"/>
        <w:spacing w:before="0" w:after="0"/>
        <w:ind w:left="0" w:right="0" w:hanging="0"/>
        <w:jc w:val="both"/>
        <w:rPr/>
      </w:pPr>
      <w:r>
        <w:rPr/>
        <w:t>February 7, 2013</w:t>
      </w:r>
    </w:p>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49:02Z" w:initials="">
    <w:p>
      <w:r>
        <w:rPr>
          <w:lang w:val="en-US" w:eastAsia="en-US" w:bidi="en-US"/>
        </w:rPr>
        <w:t>HTML: &lt;meta name="date" content="02/07/2013"&gt;</w:t>
      </w:r>
    </w:p>
  </w:comment>
  <w:comment w:id="1" w:author="" w:date="2020-02-21T00:49:02Z" w:initials="">
    <w:p>
      <w:r>
        <w:rPr>
          <w:lang w:val="en-US" w:eastAsia="en-US" w:bidi="en-US"/>
        </w:rPr>
        <w:t>HTML: &lt;meta name="date" content="02/07/2013"&gt;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comments" Target="comments.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1570</Words>
  <CharactersWithSpaces>10170</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Faddoul</dc:creator>
  <dc:description/>
  <dc:language>en-US</dc:language>
  <cp:lastModifiedBy/>
  <cp:revision>0</cp:revision>
  <dc:subject/>
  <dc:title>Exhibit 23.1 Auditor's Consent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02/07/2013</vt:lpwstr>
  </property>
</Properties>
</file>