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caps w:val="false"/>
          <w:smallCaps w:val="false"/>
        </w:rPr>
      </w:pPr>
      <w:bookmarkStart w:id="0" w:name="filename1.htm"/>
      <w:bookmarkStart w:id="1" w:name="ksfilename1"/>
      <w:bookmarkEnd w:id="0"/>
      <w:bookmarkEnd w:id="1"/>
      <w:r>
        <w:rPr>
          <w:caps w:val="false"/>
          <w:smallCaps w:val="false"/>
        </w:rPr>
        <w:t> </w:t>
      </w:r>
    </w:p>
    <w:p>
      <w:pPr>
        <w:pStyle w:val="TextBody"/>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VIA EDGAR</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26, 2014</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Securities and Exchange Commission</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Jeffrey Riedler, Johnny Gharib and Daniel Greenspan</w:t>
      </w:r>
    </w:p>
    <w:p>
      <w:pPr>
        <w:pStyle w:val="TextBody"/>
        <w:rPr>
          <w:caps w:val="false"/>
          <w:smallCaps w:val="false"/>
        </w:rPr>
      </w:pPr>
      <w:r>
        <w:rPr>
          <w:caps w:val="false"/>
          <w:smallCaps w:val="false"/>
        </w:rPr>
        <w:t> </w:t>
      </w:r>
    </w:p>
    <w:tbl>
      <w:tblPr>
        <w:tblW w:w="4525" w:type="dxa"/>
        <w:jc w:val="left"/>
        <w:tblInd w:w="0" w:type="dxa"/>
        <w:tblCellMar>
          <w:top w:w="0" w:type="dxa"/>
          <w:left w:w="0" w:type="dxa"/>
          <w:bottom w:w="0" w:type="dxa"/>
          <w:right w:w="0" w:type="dxa"/>
        </w:tblCellMar>
      </w:tblPr>
      <w:tblGrid>
        <w:gridCol w:w="75"/>
        <w:gridCol w:w="305"/>
        <w:gridCol w:w="414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r>
          </w:p>
        </w:tc>
        <w:tc>
          <w:tcPr>
            <w:tcW w:w="41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Imprimis Pharmaceuticals, Inc.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5" w:type="dxa"/>
            <w:tcBorders/>
            <w:shd w:fill="auto" w:val="clear"/>
            <w:vAlign w:val="center"/>
          </w:tcPr>
          <w:p>
            <w:pPr>
              <w:pStyle w:val="TableContents"/>
              <w:spacing w:before="0" w:after="283"/>
              <w:rPr>
                <w:caps w:val="false"/>
                <w:smallCaps w:val="false"/>
              </w:rPr>
            </w:pPr>
            <w:r>
              <w:rPr>
                <w:caps w:val="false"/>
                <w:smallCaps w:val="false"/>
              </w:rPr>
              <w:t> </w:t>
            </w:r>
          </w:p>
        </w:tc>
        <w:tc>
          <w:tcPr>
            <w:tcW w:w="41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on Form S-3, as amended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5" w:type="dxa"/>
            <w:tcBorders/>
            <w:shd w:fill="auto" w:val="clear"/>
            <w:vAlign w:val="center"/>
          </w:tcPr>
          <w:p>
            <w:pPr>
              <w:pStyle w:val="TableContents"/>
              <w:spacing w:before="0" w:after="283"/>
              <w:rPr>
                <w:caps w:val="false"/>
                <w:smallCaps w:val="false"/>
              </w:rPr>
            </w:pPr>
            <w:r>
              <w:rPr>
                <w:caps w:val="false"/>
                <w:smallCaps w:val="false"/>
              </w:rPr>
              <w:t> </w:t>
            </w:r>
          </w:p>
        </w:tc>
        <w:tc>
          <w:tcPr>
            <w:tcW w:w="41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 333-198675</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5" w:type="dxa"/>
            <w:tcBorders/>
            <w:shd w:fill="auto" w:val="clear"/>
            <w:vAlign w:val="center"/>
          </w:tcPr>
          <w:p>
            <w:pPr>
              <w:pStyle w:val="TableContents"/>
              <w:spacing w:before="0" w:after="283"/>
              <w:rPr>
                <w:caps w:val="false"/>
                <w:smallCaps w:val="false"/>
              </w:rPr>
            </w:pPr>
            <w:r>
              <w:rPr>
                <w:caps w:val="false"/>
                <w:smallCaps w:val="false"/>
              </w:rPr>
              <w:t> </w:t>
            </w:r>
          </w:p>
        </w:tc>
        <w:tc>
          <w:tcPr>
            <w:tcW w:w="41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Request for Acceleration</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461 of the Securities Act of 1933, as amended, Imprimis Pharmaceuticals, Inc., a Delaware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hereby requests that the Securities and Exchange Commission (“</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take appropriate action to cause the above-referenced Registration Statement to become effective at 4:00 PM New York City time on September 29, 2014, or as soon thereafter as possible.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that:</w:t>
      </w:r>
    </w:p>
    <w:p>
      <w:pPr>
        <w:pStyle w:val="TextBody"/>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Commission or the staff of the Commission (the “</w:t>
            </w:r>
            <w:r>
              <w:rPr>
                <w:rFonts w:ascii="Times New Roman;Times;Serif" w:hAnsi="Times New Roman;Times;Serif"/>
                <w:b w:val="false"/>
                <w:i/>
                <w:caps w:val="false"/>
                <w:smallCaps w:val="false"/>
                <w:sz w:val="20"/>
              </w:rPr>
              <w:t>Staff</w:t>
            </w:r>
            <w:r>
              <w:rPr>
                <w:rFonts w:ascii="Times New Roman;Times;Serif" w:hAnsi="Times New Roman;Times;Serif"/>
                <w:b w:val="false"/>
                <w:i w:val="false"/>
                <w:caps w:val="false"/>
                <w:smallCaps w:val="false"/>
                <w:sz w:val="20"/>
              </w:rPr>
              <w:t>”), acting pursuant to delegated authority, declare the filing effective, it does not foreclose the Commission from taking any action with respect to the filing;</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action of the Commission or the Staff, acting pursuant to delegated authority, in declaring the filing effective, does not relieve the Company from its full responsibility for the adequacy and accuracy of the disclosure in the filing;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assert Staff comments and the declaration of effectiveness as a defense in any proceeding initiated by the Commission or any person under the federal securities laws of the United States.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contact Steve Rowles of Morrison &amp; Foerster LLP at (858) 720-5198 should you have any questions or require additional information regarding this request.</w:t>
      </w:r>
    </w:p>
    <w:p>
      <w:pPr>
        <w:pStyle w:val="TextBody"/>
        <w:jc w:val="both"/>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 PHARMACEUTICALS, INC.</w:t>
      </w:r>
    </w:p>
    <w:p>
      <w:pPr>
        <w:pStyle w:val="TextBody"/>
        <w:rPr>
          <w:caps w:val="false"/>
          <w:smallCaps w:val="false"/>
        </w:rPr>
      </w:pPr>
      <w:r>
        <w:rPr>
          <w:caps w:val="false"/>
          <w:smallCaps w:val="false"/>
        </w:rPr>
        <w:t> </w:t>
      </w:r>
    </w:p>
    <w:tbl>
      <w:tblPr>
        <w:tblW w:w="4840" w:type="dxa"/>
        <w:jc w:val="left"/>
        <w:tblInd w:w="0" w:type="dxa"/>
        <w:tblCellMar>
          <w:top w:w="0" w:type="dxa"/>
          <w:left w:w="0" w:type="dxa"/>
          <w:bottom w:w="28" w:type="dxa"/>
          <w:right w:w="0" w:type="dxa"/>
        </w:tblCellMar>
      </w:tblPr>
      <w:tblGrid>
        <w:gridCol w:w="560"/>
        <w:gridCol w:w="4205"/>
        <w:gridCol w:w="75"/>
      </w:tblGrid>
      <w:tr>
        <w:trPr/>
        <w:tc>
          <w:tcPr>
            <w:tcW w:w="4765" w:type="dxa"/>
            <w:gridSpan w:val="2"/>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c>
          <w:tcPr>
            <w:tcW w:w="75" w:type="dxa"/>
            <w:tcBorders/>
            <w:shd w:fill="auto" w:val="clear"/>
            <w:tcMar>
              <w:bottom w:w="0" w:type="dxa"/>
            </w:tcMar>
            <w:vAlign w:val="center"/>
          </w:tcPr>
          <w:p>
            <w:pPr>
              <w:pStyle w:val="TableContents"/>
              <w:spacing w:before="0" w:after="283"/>
              <w:rPr/>
            </w:pPr>
            <w:r>
              <w:rPr/>
              <w:t> </w:t>
            </w:r>
          </w:p>
        </w:tc>
      </w:tr>
      <w:tr>
        <w:trPr/>
        <w:tc>
          <w:tcPr>
            <w:tcW w:w="56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0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c>
          <w:tcPr>
            <w:tcW w:w="75" w:type="dxa"/>
            <w:tcBorders/>
            <w:shd w:fill="auto" w:val="clear"/>
            <w:tcMar>
              <w:bottom w:w="0" w:type="dxa"/>
            </w:tcMar>
            <w:vAlign w:val="center"/>
          </w:tcPr>
          <w:p>
            <w:pPr>
              <w:pStyle w:val="TableContents"/>
              <w:spacing w:before="0" w:after="283"/>
              <w:rPr/>
            </w:pPr>
            <w:r>
              <w:rPr/>
              <w:t> </w:t>
            </w:r>
          </w:p>
        </w:tc>
      </w:tr>
      <w:tr>
        <w:trPr/>
        <w:tc>
          <w:tcPr>
            <w:tcW w:w="56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0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Vice-President of Accounting and Public Reporting</w:t>
            </w:r>
          </w:p>
        </w:tc>
        <w:tc>
          <w:tcPr>
            <w:tcW w:w="75" w:type="dxa"/>
            <w:tcBorders/>
            <w:shd w:fill="auto" w:val="clear"/>
            <w:tcMar>
              <w:bottom w:w="0" w:type="dxa"/>
            </w:tcMar>
            <w:vAlign w:val="center"/>
          </w:tcPr>
          <w:p>
            <w:pPr>
              <w:pStyle w:val="TableContents"/>
              <w:spacing w:before="0" w:after="283"/>
              <w:rPr/>
            </w:pPr>
            <w:r>
              <w:rPr/>
              <w:t> </w:t>
            </w:r>
          </w:p>
        </w:tc>
      </w:tr>
      <w:tr>
        <w:trPr/>
        <w:tc>
          <w:tcPr>
            <w:tcW w:w="5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20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5" w:type="dxa"/>
            <w:tcBorders/>
            <w:shd w:fill="auto" w:val="clear"/>
            <w:tcMar>
              <w:bottom w:w="0" w:type="dxa"/>
            </w:tcMar>
            <w:vAlign w:val="center"/>
          </w:tcPr>
          <w:p>
            <w:pPr>
              <w:pStyle w:val="TableContents"/>
              <w:spacing w:before="0" w:after="283"/>
              <w:rPr/>
            </w:pPr>
            <w:r>
              <w:rPr/>
              <w:t> </w:t>
            </w:r>
          </w:p>
        </w:tc>
      </w:tr>
      <w:tr>
        <w:trPr/>
        <w:tc>
          <w:tcPr>
            <w:tcW w:w="4765" w:type="dxa"/>
            <w:gridSpan w:val="2"/>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Morrison &amp; Foerster LLP</w:t>
            </w:r>
          </w:p>
        </w:tc>
        <w:tc>
          <w:tcPr>
            <w:tcW w:w="75" w:type="dxa"/>
            <w:tcBorders/>
            <w:shd w:fill="auto" w:val="clear"/>
            <w:tcMar>
              <w:bottom w:w="0" w:type="dxa"/>
            </w:tcMar>
            <w:vAlign w:val="center"/>
          </w:tcPr>
          <w:p>
            <w:pPr>
              <w:pStyle w:val="TableContents"/>
              <w:spacing w:before="0" w:after="283"/>
              <w:rPr/>
            </w:pPr>
            <w:r>
              <w:rPr/>
              <w:t> </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274</Words>
  <CharactersWithSpaces>1819</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