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Global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8, 2022, Harrow Health, Inc. (the “Company”) entered into a First Amendment (the “Amendment”) to its loan and security agreement previously entered into on September 1, 2021 with Melt Pharmaceuticals, Inc., as borrower (“Borrower”). The Amendment provides for:</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Minimum Liquidity. </w:t>
      </w:r>
      <w:r>
        <w:rPr>
          <w:rFonts w:ascii="Times New Roman" w:cs="Times New Roman" w:eastAsia="Times New Roman" w:hAnsi="Times New Roman"/>
          <w:sz w:val="18"/>
          <w:szCs w:val="18"/>
          <w:color w:val="auto"/>
        </w:rPr>
        <w:t>Melt is required to maintain a minimum cash balance of $7,000,000 for one (1) year following the effective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and a minimum cash balance of $5,000,000 at all times after the one year anniversary of the effective date of the Amendment.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maturity date by which all amounts owed under the loan agreement are payable was extended to September 1, 2026,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accelerated pursuant to the terms of the loan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Material Adverse Effect. </w:t>
      </w:r>
      <w:r>
        <w:rPr>
          <w:rFonts w:ascii="Times New Roman" w:cs="Times New Roman" w:eastAsia="Times New Roman" w:hAnsi="Times New Roman"/>
          <w:sz w:val="18"/>
          <w:szCs w:val="18"/>
          <w:color w:val="auto"/>
        </w:rPr>
        <w:t>The definition of Material Adverse Effect was amended so that such an effect will be deemed to have occurred if the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phase 2 study of MELT-300 fails to demonstrate the benefit of the combination MELT-300 study drug versus the individual components of the same MELT-300 study drug, as reasonably determined by the Company.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Effectiveness of Amendment. </w:t>
      </w:r>
      <w:r>
        <w:rPr>
          <w:rFonts w:ascii="Times New Roman" w:cs="Times New Roman" w:eastAsia="Times New Roman" w:hAnsi="Times New Roman"/>
          <w:sz w:val="18"/>
          <w:szCs w:val="18"/>
          <w:color w:val="auto"/>
        </w:rPr>
        <w:t>The effectiveness of the Amendment is subject to, among other conditions, the Borrower consummating a Qualifying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(as defined in the Amendment) of a minimum amount of $15,000,000 from third party investors by August 31, 2022.</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expressly amended pursuant to the Amendment or referenced therein, the loan agreement and related loan documents remain unchanged and in full force and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is a summary description of the Amendment is not complete and is qualified in its entirety by reference to the text of the Amendment, which the Company expects to file as an exhibit to the Company’s Quarterly Report on Form 10-Q for the three months ending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13,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2022-04-13T15:18:28Z</dcterms:created>
  <dcterms:modified xsi:type="dcterms:W3CDTF">2022-04-13T15:18:28Z</dcterms:modified>
</cp:coreProperties>
</file>