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740" w:right="1960" w:hanging="3732"/>
        <w:spacing w:after="0" w:line="501" w:lineRule="auto"/>
        <w:tabs>
          <w:tab w:leader="none" w:pos="29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w:t>
            </w:r>
          </w:p>
        </w:tc>
        <w:tc>
          <w:tcPr>
            <w:tcW w:w="3540" w:type="dxa"/>
            <w:vAlign w:val="bottom"/>
          </w:tcPr>
          <w:p>
            <w:pPr>
              <w:ind w:left="84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 (Do not check if a smaller reporting company)</w:t>
            </w:r>
          </w:p>
        </w:tc>
        <w:tc>
          <w:tcPr>
            <w:tcW w:w="3540" w:type="dxa"/>
            <w:vAlign w:val="bottom"/>
          </w:tcPr>
          <w:p>
            <w:pPr>
              <w:ind w:left="840"/>
              <w:spacing w:after="0"/>
              <w:rPr>
                <w:sz w:val="20"/>
                <w:szCs w:val="20"/>
                <w:color w:val="auto"/>
              </w:rPr>
            </w:pPr>
            <w:r>
              <w:rPr>
                <w:rFonts w:ascii="Arial" w:cs="Arial" w:eastAsia="Arial" w:hAnsi="Arial"/>
                <w:sz w:val="18"/>
                <w:szCs w:val="18"/>
                <w:color w:val="auto"/>
              </w:rPr>
              <w:t>Smaller reporting company</w:t>
            </w:r>
          </w:p>
        </w:tc>
        <w:tc>
          <w:tcPr>
            <w:tcW w:w="960" w:type="dxa"/>
            <w:vAlign w:val="bottom"/>
            <w:gridSpan w:val="2"/>
          </w:tcPr>
          <w:p>
            <w:pPr>
              <w:ind w:left="720"/>
              <w:spacing w:after="0"/>
              <w:rPr>
                <w:sz w:val="20"/>
                <w:szCs w:val="20"/>
                <w:color w:val="auto"/>
              </w:rPr>
            </w:pPr>
            <w:r>
              <w:rPr>
                <w:rFonts w:ascii="Arial" w:cs="Arial" w:eastAsia="Arial" w:hAnsi="Arial"/>
                <w:sz w:val="18"/>
                <w:szCs w:val="18"/>
                <w:color w:val="auto"/>
                <w:w w:val="99"/>
              </w:rPr>
              <w:t>[X]</w:t>
            </w:r>
          </w:p>
        </w:tc>
      </w:tr>
      <w:tr>
        <w:trPr>
          <w:trHeight w:val="432"/>
        </w:trPr>
        <w:tc>
          <w:tcPr>
            <w:tcW w:w="1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540" w:type="dxa"/>
            <w:vAlign w:val="bottom"/>
          </w:tcPr>
          <w:p>
            <w:pPr>
              <w:ind w:left="84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13, 20,535,889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IMPRIMIS PHARMACEUTICALS,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80" w:type="dxa"/>
            <w:vAlign w:val="bottom"/>
            <w:gridSpan w:val="6"/>
          </w:tcPr>
          <w:p>
            <w:pPr>
              <w:jc w:val="center"/>
              <w:ind w:right="264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1080" w:type="dxa"/>
            <w:vAlign w:val="bottom"/>
            <w:tcBorders>
              <w:top w:val="single" w:sz="8" w:color="auto"/>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34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Part I</w:t>
            </w:r>
          </w:p>
        </w:tc>
        <w:tc>
          <w:tcPr>
            <w:tcW w:w="9900" w:type="dxa"/>
            <w:vAlign w:val="bottom"/>
            <w:gridSpan w:val="17"/>
            <w:shd w:val="clear" w:color="auto" w:fill="CCEEFF"/>
          </w:tcPr>
          <w:p>
            <w:pPr>
              <w:ind w:left="40"/>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1A.</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6.</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680" w:type="dxa"/>
            <w:vAlign w:val="bottom"/>
            <w:tcBorders>
              <w:top w:val="single" w:sz="8" w:color="CCEEFF"/>
              <w:bottom w:val="single" w:sz="8" w:color="auto"/>
            </w:tcBorders>
            <w:gridSpan w:val="12"/>
          </w:tcPr>
          <w:p>
            <w:pPr>
              <w:jc w:val="center"/>
              <w:ind w:left="3310"/>
              <w:spacing w:after="0"/>
              <w:rPr>
                <w:sz w:val="20"/>
                <w:szCs w:val="20"/>
                <w:color w:val="auto"/>
              </w:rPr>
            </w:pPr>
            <w:r>
              <w:rPr>
                <w:rFonts w:ascii="Arial" w:cs="Arial" w:eastAsia="Arial" w:hAnsi="Arial"/>
                <w:sz w:val="18"/>
                <w:szCs w:val="18"/>
                <w:color w:val="auto"/>
                <w:w w:val="79"/>
              </w:rPr>
              <w:t>2</w:t>
            </w:r>
          </w:p>
        </w:tc>
        <w:tc>
          <w:tcPr>
            <w:tcW w:w="1020" w:type="dxa"/>
            <w:vAlign w:val="bottom"/>
            <w:tcBorders>
              <w:top w:val="single" w:sz="8" w:color="CCEEFF"/>
              <w:bottom w:val="single" w:sz="8" w:color="auto"/>
            </w:tcBorders>
          </w:tcPr>
          <w:p>
            <w:pPr>
              <w:spacing w:after="0"/>
              <w:rPr>
                <w:sz w:val="24"/>
                <w:szCs w:val="24"/>
                <w:color w:val="auto"/>
              </w:rPr>
            </w:pPr>
          </w:p>
        </w:tc>
        <w:tc>
          <w:tcPr>
            <w:tcW w:w="34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September 30, 2017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December 31, 2016</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3,867</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Restricted cash and short-term investments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2,374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1,841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180"/>
              <w:spacing w:after="0"/>
              <w:rPr>
                <w:sz w:val="20"/>
                <w:szCs w:val="20"/>
                <w:color w:val="auto"/>
              </w:rPr>
            </w:pPr>
            <w:r>
              <w:rPr>
                <w:rFonts w:ascii="Arial" w:cs="Arial" w:eastAsia="Arial" w:hAnsi="Arial"/>
                <w:sz w:val="18"/>
                <w:szCs w:val="18"/>
                <w:color w:val="auto"/>
              </w:rPr>
              <w:t>Current portion of note receivable</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6,419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7,295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Investment in Eton Pharmaceuticals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4,272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net of current portion</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40" w:type="dxa"/>
            <w:vAlign w:val="bottom"/>
          </w:tcPr>
          <w:p>
            <w:pPr>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2,227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 L ASSETS</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4,035</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Current portion of note payable, net of unamortized debt discount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 net of unamortized discount</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6,053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9,905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 and unamortized discount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Deferred acquisition obligation, net of current portion</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 payable and paid-in-kind interest, net of unamortized debt discount</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and current portion</w:t>
            </w: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13,877</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8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22,465</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20,815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4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$0.001 par value, 90,000,000 shares authorized,</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20,165,561 and 18,627,915 shares issued and outstanding</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at September 30, 2017 and December 31, 2016, respectively</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89,791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(86,065)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(76,851)</w:t>
            </w:r>
          </w:p>
        </w:tc>
        <w:tc>
          <w:tcPr>
            <w:tcW w:w="0" w:type="dxa"/>
            <w:vAlign w:val="bottom"/>
          </w:tcPr>
          <w:p>
            <w:pPr>
              <w:spacing w:after="0"/>
              <w:rPr>
                <w:sz w:val="1"/>
                <w:szCs w:val="1"/>
                <w:color w:val="auto"/>
              </w:rPr>
            </w:pPr>
          </w:p>
        </w:tc>
      </w:tr>
      <w:tr>
        <w:trPr>
          <w:trHeight w:val="236"/>
        </w:trPr>
        <w:tc>
          <w:tcPr>
            <w:tcW w:w="6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2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8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26,211</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19"/>
              <w:spacing w:after="0"/>
              <w:rPr>
                <w:sz w:val="20"/>
                <w:szCs w:val="20"/>
                <w:color w:val="auto"/>
              </w:rPr>
            </w:pPr>
            <w:r>
              <w:rPr>
                <w:rFonts w:ascii="Arial" w:cs="Arial" w:eastAsia="Arial" w:hAnsi="Arial"/>
                <w:sz w:val="16"/>
                <w:szCs w:val="16"/>
                <w:color w:val="auto"/>
                <w:w w:val="90"/>
              </w:rPr>
              <w:t>For the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279"/>
              <w:spacing w:after="0"/>
              <w:rPr>
                <w:sz w:val="20"/>
                <w:szCs w:val="20"/>
                <w:color w:val="auto"/>
              </w:rPr>
            </w:pPr>
            <w:r>
              <w:rPr>
                <w:rFonts w:ascii="Arial" w:cs="Arial" w:eastAsia="Arial" w:hAnsi="Arial"/>
                <w:sz w:val="16"/>
                <w:szCs w:val="16"/>
                <w:color w:val="auto"/>
                <w:w w:val="94"/>
              </w:rPr>
              <w:t>For the</w:t>
            </w:r>
          </w:p>
        </w:tc>
        <w:tc>
          <w:tcPr>
            <w:tcW w:w="140" w:type="dxa"/>
            <w:vAlign w:val="bottom"/>
          </w:tcPr>
          <w:p>
            <w:pPr>
              <w:spacing w:after="0"/>
              <w:rPr>
                <w:sz w:val="17"/>
                <w:szCs w:val="17"/>
                <w:color w:val="auto"/>
              </w:rPr>
            </w:pPr>
          </w:p>
        </w:tc>
        <w:tc>
          <w:tcPr>
            <w:tcW w:w="1680" w:type="dxa"/>
            <w:vAlign w:val="bottom"/>
            <w:gridSpan w:val="2"/>
          </w:tcPr>
          <w:p>
            <w:pPr>
              <w:jc w:val="center"/>
              <w:ind w:right="219"/>
              <w:spacing w:after="0"/>
              <w:rPr>
                <w:sz w:val="20"/>
                <w:szCs w:val="20"/>
                <w:color w:val="auto"/>
              </w:rPr>
            </w:pPr>
            <w:r>
              <w:rPr>
                <w:rFonts w:ascii="Arial" w:cs="Arial" w:eastAsia="Arial" w:hAnsi="Arial"/>
                <w:sz w:val="16"/>
                <w:szCs w:val="16"/>
                <w:color w:val="auto"/>
                <w:w w:val="90"/>
              </w:rPr>
              <w:t>For the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19"/>
              <w:spacing w:after="0"/>
              <w:rPr>
                <w:sz w:val="20"/>
                <w:szCs w:val="20"/>
                <w:color w:val="auto"/>
              </w:rPr>
            </w:pPr>
            <w:r>
              <w:rPr>
                <w:rFonts w:ascii="Arial" w:cs="Arial" w:eastAsia="Arial" w:hAnsi="Arial"/>
                <w:sz w:val="16"/>
                <w:szCs w:val="16"/>
                <w:color w:val="auto"/>
                <w:w w:val="94"/>
              </w:rPr>
              <w:t>For the</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199"/>
              <w:spacing w:after="0"/>
              <w:rPr>
                <w:sz w:val="20"/>
                <w:szCs w:val="20"/>
                <w:color w:val="auto"/>
              </w:rPr>
            </w:pPr>
            <w:r>
              <w:rPr>
                <w:rFonts w:ascii="Arial" w:cs="Arial" w:eastAsia="Arial" w:hAnsi="Arial"/>
                <w:sz w:val="16"/>
                <w:szCs w:val="16"/>
                <w:color w:val="auto"/>
                <w:w w:val="93"/>
              </w:rPr>
              <w:t>Three Months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279"/>
              <w:spacing w:after="0"/>
              <w:rPr>
                <w:sz w:val="20"/>
                <w:szCs w:val="20"/>
                <w:color w:val="auto"/>
              </w:rPr>
            </w:pPr>
            <w:r>
              <w:rPr>
                <w:rFonts w:ascii="Arial" w:cs="Arial" w:eastAsia="Arial" w:hAnsi="Arial"/>
                <w:sz w:val="16"/>
                <w:szCs w:val="16"/>
                <w:color w:val="auto"/>
                <w:w w:val="93"/>
              </w:rPr>
              <w:t>Three Months</w:t>
            </w:r>
          </w:p>
        </w:tc>
        <w:tc>
          <w:tcPr>
            <w:tcW w:w="140" w:type="dxa"/>
            <w:vAlign w:val="bottom"/>
          </w:tcPr>
          <w:p>
            <w:pPr>
              <w:spacing w:after="0"/>
              <w:rPr>
                <w:sz w:val="17"/>
                <w:szCs w:val="17"/>
                <w:color w:val="auto"/>
              </w:rPr>
            </w:pPr>
          </w:p>
        </w:tc>
        <w:tc>
          <w:tcPr>
            <w:tcW w:w="16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Nine Months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19"/>
              <w:spacing w:after="0"/>
              <w:rPr>
                <w:sz w:val="20"/>
                <w:szCs w:val="20"/>
                <w:color w:val="auto"/>
              </w:rPr>
            </w:pPr>
            <w:r>
              <w:rPr>
                <w:rFonts w:ascii="Arial" w:cs="Arial" w:eastAsia="Arial" w:hAnsi="Arial"/>
                <w:sz w:val="16"/>
                <w:szCs w:val="16"/>
                <w:color w:val="auto"/>
                <w:w w:val="93"/>
              </w:rPr>
              <w:t>Nine Months</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739"/>
              <w:spacing w:after="0"/>
              <w:rPr>
                <w:sz w:val="20"/>
                <w:szCs w:val="20"/>
                <w:color w:val="auto"/>
              </w:rPr>
            </w:pPr>
            <w:r>
              <w:rPr>
                <w:rFonts w:ascii="Arial" w:cs="Arial" w:eastAsia="Arial" w:hAnsi="Arial"/>
                <w:sz w:val="16"/>
                <w:szCs w:val="16"/>
                <w:color w:val="auto"/>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819"/>
              <w:spacing w:after="0"/>
              <w:rPr>
                <w:sz w:val="20"/>
                <w:szCs w:val="20"/>
                <w:color w:val="auto"/>
              </w:rPr>
            </w:pPr>
            <w:r>
              <w:rPr>
                <w:rFonts w:ascii="Arial" w:cs="Arial" w:eastAsia="Arial" w:hAnsi="Arial"/>
                <w:sz w:val="16"/>
                <w:szCs w:val="16"/>
                <w:color w:val="auto"/>
              </w:rPr>
              <w:t>Ended</w:t>
            </w:r>
          </w:p>
        </w:tc>
        <w:tc>
          <w:tcPr>
            <w:tcW w:w="140" w:type="dxa"/>
            <w:vAlign w:val="bottom"/>
          </w:tcPr>
          <w:p>
            <w:pPr>
              <w:spacing w:after="0"/>
              <w:rPr>
                <w:sz w:val="17"/>
                <w:szCs w:val="17"/>
                <w:color w:val="auto"/>
              </w:rPr>
            </w:pPr>
          </w:p>
        </w:tc>
        <w:tc>
          <w:tcPr>
            <w:tcW w:w="1680" w:type="dxa"/>
            <w:vAlign w:val="bottom"/>
            <w:gridSpan w:val="2"/>
          </w:tcPr>
          <w:p>
            <w:pPr>
              <w:jc w:val="right"/>
              <w:ind w:right="739"/>
              <w:spacing w:after="0"/>
              <w:rPr>
                <w:sz w:val="20"/>
                <w:szCs w:val="20"/>
                <w:color w:val="auto"/>
              </w:rPr>
            </w:pPr>
            <w:r>
              <w:rPr>
                <w:rFonts w:ascii="Arial" w:cs="Arial" w:eastAsia="Arial" w:hAnsi="Arial"/>
                <w:sz w:val="16"/>
                <w:szCs w:val="16"/>
                <w:color w:val="auto"/>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19"/>
              <w:spacing w:after="0"/>
              <w:rPr>
                <w:sz w:val="20"/>
                <w:szCs w:val="20"/>
                <w:color w:val="auto"/>
              </w:rPr>
            </w:pPr>
            <w:r>
              <w:rPr>
                <w:rFonts w:ascii="Arial" w:cs="Arial" w:eastAsia="Arial" w:hAnsi="Arial"/>
                <w:sz w:val="16"/>
                <w:szCs w:val="16"/>
                <w:color w:val="auto"/>
                <w:w w:val="86"/>
              </w:rPr>
              <w:t>Ended</w:t>
            </w:r>
          </w:p>
        </w:tc>
        <w:tc>
          <w:tcPr>
            <w:tcW w:w="0" w:type="dxa"/>
            <w:vAlign w:val="bottom"/>
          </w:tcPr>
          <w:p>
            <w:pPr>
              <w:spacing w:after="0"/>
              <w:rPr>
                <w:sz w:val="1"/>
                <w:szCs w:val="1"/>
                <w:color w:val="auto"/>
              </w:rPr>
            </w:pPr>
          </w:p>
        </w:tc>
      </w:tr>
      <w:tr>
        <w:trPr>
          <w:trHeight w:val="219"/>
        </w:trPr>
        <w:tc>
          <w:tcPr>
            <w:tcW w:w="3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19"/>
              <w:spacing w:after="0"/>
              <w:rPr>
                <w:sz w:val="20"/>
                <w:szCs w:val="20"/>
                <w:color w:val="auto"/>
              </w:rPr>
            </w:pPr>
            <w:r>
              <w:rPr>
                <w:rFonts w:ascii="Arial" w:cs="Arial" w:eastAsia="Arial" w:hAnsi="Arial"/>
                <w:sz w:val="16"/>
                <w:szCs w:val="16"/>
                <w:color w:val="auto"/>
                <w:w w:val="89"/>
              </w:rPr>
              <w:t>September 30, 2017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center"/>
              <w:ind w:right="299"/>
              <w:spacing w:after="0"/>
              <w:rPr>
                <w:sz w:val="20"/>
                <w:szCs w:val="20"/>
                <w:color w:val="auto"/>
              </w:rPr>
            </w:pPr>
            <w:r>
              <w:rPr>
                <w:rFonts w:ascii="Arial" w:cs="Arial" w:eastAsia="Arial" w:hAnsi="Arial"/>
                <w:sz w:val="16"/>
                <w:szCs w:val="16"/>
                <w:color w:val="auto"/>
                <w:w w:val="89"/>
              </w:rPr>
              <w:t>September 30, 2016</w:t>
            </w:r>
          </w:p>
        </w:tc>
        <w:tc>
          <w:tcPr>
            <w:tcW w:w="140" w:type="dxa"/>
            <w:vAlign w:val="bottom"/>
          </w:tcPr>
          <w:p>
            <w:pPr>
              <w:spacing w:after="0"/>
              <w:rPr>
                <w:sz w:val="19"/>
                <w:szCs w:val="19"/>
                <w:color w:val="auto"/>
              </w:rPr>
            </w:pPr>
          </w:p>
        </w:tc>
        <w:tc>
          <w:tcPr>
            <w:tcW w:w="1680" w:type="dxa"/>
            <w:vAlign w:val="bottom"/>
            <w:gridSpan w:val="2"/>
          </w:tcPr>
          <w:p>
            <w:pPr>
              <w:jc w:val="center"/>
              <w:ind w:right="219"/>
              <w:spacing w:after="0"/>
              <w:rPr>
                <w:sz w:val="20"/>
                <w:szCs w:val="20"/>
                <w:color w:val="auto"/>
              </w:rPr>
            </w:pPr>
            <w:r>
              <w:rPr>
                <w:rFonts w:ascii="Arial" w:cs="Arial" w:eastAsia="Arial" w:hAnsi="Arial"/>
                <w:sz w:val="16"/>
                <w:szCs w:val="16"/>
                <w:color w:val="auto"/>
                <w:w w:val="89"/>
              </w:rPr>
              <w:t>September 30, 2017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center"/>
              <w:ind w:right="199"/>
              <w:spacing w:after="0"/>
              <w:rPr>
                <w:sz w:val="20"/>
                <w:szCs w:val="20"/>
                <w:color w:val="auto"/>
              </w:rPr>
            </w:pPr>
            <w:r>
              <w:rPr>
                <w:rFonts w:ascii="Arial" w:cs="Arial" w:eastAsia="Arial" w:hAnsi="Arial"/>
                <w:sz w:val="16"/>
                <w:szCs w:val="16"/>
                <w:color w:val="auto"/>
                <w:w w:val="89"/>
              </w:rPr>
              <w:t>September 30, 2016</w:t>
            </w: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180"/>
              <w:spacing w:after="0"/>
              <w:rPr>
                <w:sz w:val="20"/>
                <w:szCs w:val="20"/>
                <w:color w:val="auto"/>
              </w:rPr>
            </w:pPr>
            <w:r>
              <w:rPr>
                <w:rFonts w:ascii="Arial" w:cs="Arial" w:eastAsia="Arial" w:hAnsi="Arial"/>
                <w:sz w:val="16"/>
                <w:szCs w:val="16"/>
                <w:color w:val="auto"/>
              </w:rPr>
              <w:t>Sales,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jc w:val="right"/>
              <w:ind w:right="59"/>
              <w:spacing w:after="0"/>
              <w:rPr>
                <w:sz w:val="20"/>
                <w:szCs w:val="20"/>
                <w:color w:val="auto"/>
              </w:rPr>
            </w:pPr>
            <w:r>
              <w:rPr>
                <w:rFonts w:ascii="Arial" w:cs="Arial" w:eastAsia="Arial" w:hAnsi="Arial"/>
                <w:sz w:val="16"/>
                <w:szCs w:val="16"/>
                <w:color w:val="auto"/>
              </w:rPr>
              <w:t>6,473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4,858</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19,411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59"/>
              <w:spacing w:after="0"/>
              <w:rPr>
                <w:sz w:val="20"/>
                <w:szCs w:val="20"/>
                <w:color w:val="auto"/>
              </w:rPr>
            </w:pPr>
            <w:r>
              <w:rPr>
                <w:rFonts w:ascii="Arial" w:cs="Arial" w:eastAsia="Arial" w:hAnsi="Arial"/>
                <w:sz w:val="16"/>
                <w:szCs w:val="16"/>
                <w:color w:val="auto"/>
              </w:rPr>
              <w:t>14,141</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License revenues</w:t>
            </w: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3"/>
        </w:trPr>
        <w:tc>
          <w:tcPr>
            <w:tcW w:w="37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6,483</w:t>
            </w: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4,861</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19,437</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14,149</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 of sales</w:t>
            </w: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(2,339)</w:t>
            </w: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(10,048)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(6,760)</w:t>
            </w:r>
          </w:p>
        </w:tc>
        <w:tc>
          <w:tcPr>
            <w:tcW w:w="0" w:type="dxa"/>
            <w:vAlign w:val="bottom"/>
          </w:tcPr>
          <w:p>
            <w:pPr>
              <w:spacing w:after="0"/>
              <w:rPr>
                <w:sz w:val="1"/>
                <w:szCs w:val="1"/>
                <w:color w:val="auto"/>
              </w:rPr>
            </w:pPr>
          </w:p>
        </w:tc>
      </w:tr>
      <w:tr>
        <w:trPr>
          <w:trHeight w:val="200"/>
        </w:trPr>
        <w:tc>
          <w:tcPr>
            <w:tcW w:w="37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3,080</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2,522</w:t>
            </w:r>
          </w:p>
        </w:tc>
        <w:tc>
          <w:tcPr>
            <w:tcW w:w="2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9,389</w:t>
            </w:r>
          </w:p>
        </w:tc>
        <w:tc>
          <w:tcPr>
            <w:tcW w:w="1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7,389</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180"/>
              <w:spacing w:after="0"/>
              <w:rPr>
                <w:sz w:val="20"/>
                <w:szCs w:val="20"/>
                <w:color w:val="auto"/>
              </w:rPr>
            </w:pPr>
            <w:r>
              <w:rPr>
                <w:rFonts w:ascii="Arial" w:cs="Arial" w:eastAsia="Arial" w:hAnsi="Arial"/>
                <w:sz w:val="16"/>
                <w:szCs w:val="16"/>
                <w:color w:val="auto"/>
              </w:rPr>
              <w:t>Selling and marketing</w:t>
            </w:r>
          </w:p>
        </w:tc>
        <w:tc>
          <w:tcPr>
            <w:tcW w:w="160" w:type="dxa"/>
            <w:vAlign w:val="bottom"/>
          </w:tcPr>
          <w:p>
            <w:pPr>
              <w:spacing w:after="0"/>
              <w:rPr>
                <w:sz w:val="17"/>
                <w:szCs w:val="17"/>
                <w:color w:val="auto"/>
              </w:rPr>
            </w:pPr>
          </w:p>
        </w:tc>
        <w:tc>
          <w:tcPr>
            <w:tcW w:w="1720" w:type="dxa"/>
            <w:vAlign w:val="bottom"/>
            <w:gridSpan w:val="2"/>
          </w:tcPr>
          <w:p>
            <w:pPr>
              <w:jc w:val="right"/>
              <w:ind w:right="59"/>
              <w:spacing w:after="0"/>
              <w:rPr>
                <w:sz w:val="20"/>
                <w:szCs w:val="20"/>
                <w:color w:val="auto"/>
              </w:rPr>
            </w:pPr>
            <w:r>
              <w:rPr>
                <w:rFonts w:ascii="Arial" w:cs="Arial" w:eastAsia="Arial" w:hAnsi="Arial"/>
                <w:sz w:val="16"/>
                <w:szCs w:val="16"/>
                <w:color w:val="auto"/>
              </w:rPr>
              <w:t>1,288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1,797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5,727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59"/>
              <w:spacing w:after="0"/>
              <w:rPr>
                <w:sz w:val="20"/>
                <w:szCs w:val="20"/>
                <w:color w:val="auto"/>
              </w:rPr>
            </w:pPr>
            <w:r>
              <w:rPr>
                <w:rFonts w:ascii="Arial" w:cs="Arial" w:eastAsia="Arial" w:hAnsi="Arial"/>
                <w:sz w:val="16"/>
                <w:szCs w:val="16"/>
                <w:color w:val="auto"/>
              </w:rPr>
              <w:t>5,967</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4,493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13,350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13,355</w:t>
            </w:r>
          </w:p>
        </w:tc>
        <w:tc>
          <w:tcPr>
            <w:tcW w:w="0" w:type="dxa"/>
            <w:vAlign w:val="bottom"/>
          </w:tcPr>
          <w:p>
            <w:pPr>
              <w:spacing w:after="0"/>
              <w:rPr>
                <w:sz w:val="1"/>
                <w:szCs w:val="1"/>
                <w:color w:val="auto"/>
              </w:rPr>
            </w:pPr>
          </w:p>
        </w:tc>
      </w:tr>
      <w:tr>
        <w:trPr>
          <w:trHeight w:val="203"/>
        </w:trPr>
        <w:tc>
          <w:tcPr>
            <w:tcW w:w="3780" w:type="dxa"/>
            <w:vAlign w:val="bottom"/>
          </w:tcPr>
          <w:p>
            <w:pPr>
              <w:ind w:left="18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7"/>
                <w:szCs w:val="17"/>
                <w:color w:val="auto"/>
              </w:rPr>
            </w:pPr>
          </w:p>
        </w:tc>
        <w:tc>
          <w:tcPr>
            <w:tcW w:w="1720" w:type="dxa"/>
            <w:vAlign w:val="bottom"/>
            <w:gridSpan w:val="2"/>
          </w:tcPr>
          <w:p>
            <w:pPr>
              <w:jc w:val="right"/>
              <w:ind w:right="5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5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of long-lived assets</w:t>
            </w: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0"/>
        </w:trPr>
        <w:tc>
          <w:tcPr>
            <w:tcW w:w="37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5,844</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7,134</w:t>
            </w:r>
          </w:p>
        </w:tc>
        <w:tc>
          <w:tcPr>
            <w:tcW w:w="2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19,401</w:t>
            </w:r>
          </w:p>
        </w:tc>
        <w:tc>
          <w:tcPr>
            <w:tcW w:w="1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19,763</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(4,612</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(10,012</w:t>
            </w:r>
          </w:p>
        </w:tc>
        <w:tc>
          <w:tcPr>
            <w:tcW w:w="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(12,374</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7"/>
        </w:trPr>
        <w:tc>
          <w:tcPr>
            <w:tcW w:w="3780" w:type="dxa"/>
            <w:vAlign w:val="bottom"/>
          </w:tcPr>
          <w:p>
            <w:pPr>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(732)</w:t>
            </w: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(2,348)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(1,992)</w:t>
            </w:r>
          </w:p>
        </w:tc>
        <w:tc>
          <w:tcPr>
            <w:tcW w:w="0" w:type="dxa"/>
            <w:vAlign w:val="bottom"/>
          </w:tcPr>
          <w:p>
            <w:pPr>
              <w:spacing w:after="0"/>
              <w:rPr>
                <w:sz w:val="1"/>
                <w:szCs w:val="1"/>
                <w:color w:val="auto"/>
              </w:rPr>
            </w:pPr>
          </w:p>
        </w:tc>
      </w:tr>
      <w:tr>
        <w:trPr>
          <w:trHeight w:val="203"/>
        </w:trPr>
        <w:tc>
          <w:tcPr>
            <w:tcW w:w="3780" w:type="dxa"/>
            <w:vAlign w:val="bottom"/>
          </w:tcPr>
          <w:p>
            <w:pPr>
              <w:ind w:left="180"/>
              <w:spacing w:after="0"/>
              <w:rPr>
                <w:sz w:val="20"/>
                <w:szCs w:val="20"/>
                <w:color w:val="auto"/>
              </w:rPr>
            </w:pPr>
            <w:r>
              <w:rPr>
                <w:rFonts w:ascii="Arial" w:cs="Arial" w:eastAsia="Arial" w:hAnsi="Arial"/>
                <w:sz w:val="16"/>
                <w:szCs w:val="16"/>
                <w:color w:val="auto"/>
              </w:rPr>
              <w:t>Debt extinguishment loss</w:t>
            </w:r>
          </w:p>
        </w:tc>
        <w:tc>
          <w:tcPr>
            <w:tcW w:w="16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80" w:type="dxa"/>
            <w:vAlign w:val="bottom"/>
            <w:gridSpan w:val="2"/>
          </w:tcPr>
          <w:p>
            <w:pPr>
              <w:jc w:val="right"/>
              <w:ind w:right="39"/>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derivative liabilities</w:t>
            </w: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3"/>
        </w:trPr>
        <w:tc>
          <w:tcPr>
            <w:tcW w:w="3780" w:type="dxa"/>
            <w:vAlign w:val="bottom"/>
          </w:tcPr>
          <w:p>
            <w:pPr>
              <w:ind w:left="180"/>
              <w:spacing w:after="0"/>
              <w:rPr>
                <w:sz w:val="20"/>
                <w:szCs w:val="20"/>
                <w:color w:val="auto"/>
              </w:rPr>
            </w:pPr>
            <w:r>
              <w:rPr>
                <w:rFonts w:ascii="Arial" w:cs="Arial" w:eastAsia="Arial" w:hAnsi="Arial"/>
                <w:sz w:val="16"/>
                <w:szCs w:val="16"/>
                <w:color w:val="auto"/>
              </w:rPr>
              <w:t>Investment loss from Eton Pharmaceuticals</w:t>
            </w:r>
          </w:p>
        </w:tc>
        <w:tc>
          <w:tcPr>
            <w:tcW w:w="16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80" w:type="dxa"/>
            <w:vAlign w:val="bottom"/>
            <w:gridSpan w:val="2"/>
          </w:tcPr>
          <w:p>
            <w:pPr>
              <w:jc w:val="right"/>
              <w:ind w:right="39"/>
              <w:spacing w:after="0"/>
              <w:rPr>
                <w:sz w:val="20"/>
                <w:szCs w:val="20"/>
                <w:color w:val="auto"/>
              </w:rPr>
            </w:pPr>
            <w:r>
              <w:rPr>
                <w:rFonts w:ascii="Arial" w:cs="Arial" w:eastAsia="Arial" w:hAnsi="Arial"/>
                <w:sz w:val="16"/>
                <w:szCs w:val="16"/>
                <w:color w:val="auto"/>
              </w:rPr>
              <w:t>(1,453)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deconsolidation of Eton Pharmaceuticals</w:t>
            </w: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5,725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80" w:type="dxa"/>
            <w:vAlign w:val="bottom"/>
          </w:tcPr>
          <w:p>
            <w:pPr>
              <w:ind w:left="180"/>
              <w:spacing w:after="0"/>
              <w:rPr>
                <w:sz w:val="20"/>
                <w:szCs w:val="20"/>
                <w:color w:val="auto"/>
              </w:rPr>
            </w:pPr>
            <w:r>
              <w:rPr>
                <w:rFonts w:ascii="Arial" w:cs="Arial" w:eastAsia="Arial" w:hAnsi="Arial"/>
                <w:sz w:val="16"/>
                <w:szCs w:val="16"/>
                <w:color w:val="auto"/>
              </w:rPr>
              <w:t>Loss on sale and disposal of assets</w:t>
            </w:r>
          </w:p>
        </w:tc>
        <w:tc>
          <w:tcPr>
            <w:tcW w:w="16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80" w:type="dxa"/>
            <w:vAlign w:val="bottom"/>
            <w:gridSpan w:val="2"/>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1,494</w:t>
            </w:r>
          </w:p>
        </w:tc>
        <w:tc>
          <w:tcPr>
            <w:tcW w:w="0" w:type="dxa"/>
            <w:vAlign w:val="bottom"/>
          </w:tcPr>
          <w:p>
            <w:pPr>
              <w:spacing w:after="0"/>
              <w:rPr>
                <w:sz w:val="1"/>
                <w:szCs w:val="1"/>
                <w:color w:val="auto"/>
              </w:rPr>
            </w:pPr>
          </w:p>
        </w:tc>
      </w:tr>
      <w:tr>
        <w:trPr>
          <w:trHeight w:val="193"/>
        </w:trPr>
        <w:tc>
          <w:tcPr>
            <w:tcW w:w="37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Total other income (expense), net</w:t>
            </w: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(2,956)</w:t>
            </w: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762</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(3,850)</w:t>
            </w: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(9,298)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(12,985)</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 benefit, net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(9,214</w:t>
            </w:r>
          </w:p>
        </w:tc>
        <w:tc>
          <w:tcPr>
            <w:tcW w:w="12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(12,985</w:t>
            </w:r>
          </w:p>
        </w:tc>
        <w:tc>
          <w:tcPr>
            <w:tcW w:w="10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w w:val="99"/>
              </w:rPr>
              <w:t>Basic and diluted net loss per share of common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26"/>
        </w:trPr>
        <w:tc>
          <w:tcPr>
            <w:tcW w:w="37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14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2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3780" w:type="dxa"/>
            <w:vAlign w:val="bottom"/>
            <w:shd w:val="clear" w:color="auto" w:fill="CCEEFF"/>
          </w:tcPr>
          <w:p>
            <w:pPr>
              <w:ind w:left="180"/>
              <w:spacing w:after="0" w:line="146" w:lineRule="exact"/>
              <w:rPr>
                <w:sz w:val="20"/>
                <w:szCs w:val="20"/>
                <w:color w:val="auto"/>
              </w:rPr>
            </w:pPr>
            <w:r>
              <w:rPr>
                <w:rFonts w:ascii="Arial" w:cs="Arial" w:eastAsia="Arial" w:hAnsi="Arial"/>
                <w:sz w:val="16"/>
                <w:szCs w:val="16"/>
                <w:color w:val="auto"/>
              </w:rPr>
              <w:t>Weighted average number of shares of common</w:t>
            </w: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outstanding, basic and diluted</w:t>
            </w: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20,273,347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13,471,004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19,806,759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12,404,328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UNAUDTIED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center"/>
              <w:ind w:right="399"/>
              <w:spacing w:after="0"/>
              <w:rPr>
                <w:sz w:val="20"/>
                <w:szCs w:val="20"/>
                <w:color w:val="auto"/>
              </w:rPr>
            </w:pPr>
            <w:r>
              <w:rPr>
                <w:rFonts w:ascii="Arial" w:cs="Arial" w:eastAsia="Arial" w:hAnsi="Arial"/>
                <w:sz w:val="16"/>
                <w:szCs w:val="16"/>
                <w:color w:val="auto"/>
                <w:w w:val="90"/>
              </w:rPr>
              <w:t>For the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239"/>
              <w:spacing w:after="0"/>
              <w:rPr>
                <w:sz w:val="20"/>
                <w:szCs w:val="20"/>
                <w:color w:val="auto"/>
              </w:rPr>
            </w:pPr>
            <w:r>
              <w:rPr>
                <w:rFonts w:ascii="Arial" w:cs="Arial" w:eastAsia="Arial" w:hAnsi="Arial"/>
                <w:sz w:val="16"/>
                <w:szCs w:val="16"/>
                <w:color w:val="auto"/>
                <w:w w:val="90"/>
              </w:rPr>
              <w:t>For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center"/>
              <w:ind w:right="359"/>
              <w:spacing w:after="0"/>
              <w:rPr>
                <w:sz w:val="20"/>
                <w:szCs w:val="20"/>
                <w:color w:val="auto"/>
              </w:rPr>
            </w:pPr>
            <w:r>
              <w:rPr>
                <w:rFonts w:ascii="Arial" w:cs="Arial" w:eastAsia="Arial" w:hAnsi="Arial"/>
                <w:sz w:val="16"/>
                <w:szCs w:val="16"/>
                <w:color w:val="auto"/>
                <w:w w:val="95"/>
              </w:rPr>
              <w:t>Nine Months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239"/>
              <w:spacing w:after="0"/>
              <w:rPr>
                <w:sz w:val="20"/>
                <w:szCs w:val="20"/>
                <w:color w:val="auto"/>
              </w:rPr>
            </w:pPr>
            <w:r>
              <w:rPr>
                <w:rFonts w:ascii="Arial" w:cs="Arial" w:eastAsia="Arial" w:hAnsi="Arial"/>
                <w:sz w:val="16"/>
                <w:szCs w:val="16"/>
                <w:color w:val="auto"/>
                <w:w w:val="95"/>
              </w:rPr>
              <w:t>Nine Months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center"/>
              <w:ind w:right="399"/>
              <w:spacing w:after="0"/>
              <w:rPr>
                <w:sz w:val="20"/>
                <w:szCs w:val="20"/>
                <w:color w:val="auto"/>
              </w:rPr>
            </w:pPr>
            <w:r>
              <w:rPr>
                <w:rFonts w:ascii="Arial" w:cs="Arial" w:eastAsia="Arial" w:hAnsi="Arial"/>
                <w:sz w:val="16"/>
                <w:szCs w:val="16"/>
                <w:color w:val="auto"/>
                <w:w w:val="90"/>
              </w:rPr>
              <w:t>Ended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279"/>
              <w:spacing w:after="0"/>
              <w:rPr>
                <w:sz w:val="20"/>
                <w:szCs w:val="20"/>
                <w:color w:val="auto"/>
              </w:rPr>
            </w:pPr>
            <w:r>
              <w:rPr>
                <w:rFonts w:ascii="Arial" w:cs="Arial" w:eastAsia="Arial" w:hAnsi="Arial"/>
                <w:sz w:val="16"/>
                <w:szCs w:val="16"/>
                <w:color w:val="auto"/>
                <w:w w:val="90"/>
              </w:rPr>
              <w:t>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359"/>
              <w:spacing w:after="0"/>
              <w:rPr>
                <w:sz w:val="20"/>
                <w:szCs w:val="20"/>
                <w:color w:val="auto"/>
              </w:rPr>
            </w:pPr>
            <w:r>
              <w:rPr>
                <w:rFonts w:ascii="Arial" w:cs="Arial" w:eastAsia="Arial" w:hAnsi="Arial"/>
                <w:sz w:val="16"/>
                <w:szCs w:val="16"/>
                <w:color w:val="auto"/>
                <w:w w:val="89"/>
              </w:rPr>
              <w:t>September 30,2017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center"/>
              <w:ind w:right="239"/>
              <w:spacing w:after="0"/>
              <w:rPr>
                <w:sz w:val="20"/>
                <w:szCs w:val="20"/>
                <w:color w:val="auto"/>
              </w:rPr>
            </w:pPr>
            <w:r>
              <w:rPr>
                <w:rFonts w:ascii="Arial" w:cs="Arial" w:eastAsia="Arial" w:hAnsi="Arial"/>
                <w:sz w:val="16"/>
                <w:szCs w:val="16"/>
                <w:color w:val="auto"/>
                <w:w w:val="89"/>
              </w:rPr>
              <w:t>September 30,2016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52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119"/>
              <w:spacing w:after="0"/>
              <w:rPr>
                <w:sz w:val="20"/>
                <w:szCs w:val="20"/>
                <w:color w:val="auto"/>
              </w:rPr>
            </w:pPr>
            <w:r>
              <w:rPr>
                <w:rFonts w:ascii="Arial" w:cs="Arial" w:eastAsia="Arial" w:hAnsi="Arial"/>
                <w:sz w:val="16"/>
                <w:szCs w:val="16"/>
                <w:color w:val="auto"/>
              </w:rPr>
              <w:t>(9,214)</w:t>
            </w: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19"/>
              <w:spacing w:after="0"/>
              <w:rPr>
                <w:sz w:val="20"/>
                <w:szCs w:val="20"/>
                <w:color w:val="auto"/>
              </w:rPr>
            </w:pPr>
            <w:r>
              <w:rPr>
                <w:rFonts w:ascii="Arial" w:cs="Arial" w:eastAsia="Arial" w:hAnsi="Arial"/>
                <w:sz w:val="16"/>
                <w:szCs w:val="16"/>
                <w:color w:val="auto"/>
              </w:rPr>
              <w:t>(12,985)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Depreciation and amortization of property, plant and equipment</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1,041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Non-cash gain on contingent acquisition obligation</w:t>
            </w:r>
          </w:p>
        </w:tc>
        <w:tc>
          <w:tcPr>
            <w:tcW w:w="180" w:type="dxa"/>
            <w:vAlign w:val="bottom"/>
          </w:tcPr>
          <w:p>
            <w:pPr>
              <w:spacing w:after="0"/>
              <w:rPr>
                <w:sz w:val="17"/>
                <w:szCs w:val="17"/>
                <w:color w:val="auto"/>
              </w:rPr>
            </w:pPr>
          </w:p>
        </w:tc>
        <w:tc>
          <w:tcPr>
            <w:tcW w:w="1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Amortization of debt issuance costs and discount</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Debt extinguishment loss</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Paid-in-kind interest added to principal of note payable</w:t>
            </w:r>
          </w:p>
        </w:tc>
        <w:tc>
          <w:tcPr>
            <w:tcW w:w="180" w:type="dxa"/>
            <w:vAlign w:val="bottom"/>
          </w:tcPr>
          <w:p>
            <w:pPr>
              <w:spacing w:after="0"/>
              <w:rPr>
                <w:sz w:val="17"/>
                <w:szCs w:val="17"/>
                <w:color w:val="auto"/>
              </w:rPr>
            </w:pPr>
          </w:p>
        </w:tc>
        <w:tc>
          <w:tcPr>
            <w:tcW w:w="1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Gain on deconsolidation of Eton Pharmaceuticals</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(5,725)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Investment loss from Eton Pharmaceuticals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Loss on sale and disposal of assets</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Change in fair value of derivative liabilities</w:t>
            </w:r>
          </w:p>
        </w:tc>
        <w:tc>
          <w:tcPr>
            <w:tcW w:w="180" w:type="dxa"/>
            <w:vAlign w:val="bottom"/>
          </w:tcPr>
          <w:p>
            <w:pPr>
              <w:spacing w:after="0"/>
              <w:rPr>
                <w:sz w:val="17"/>
                <w:szCs w:val="17"/>
                <w:color w:val="auto"/>
              </w:rPr>
            </w:pPr>
          </w:p>
        </w:tc>
        <w:tc>
          <w:tcPr>
            <w:tcW w:w="1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Impairment of long-lived assets</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2,265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2,989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Issuance of warrant related to litigation settlement</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7"/>
                <w:szCs w:val="17"/>
                <w:color w:val="auto"/>
              </w:rPr>
            </w:pPr>
          </w:p>
        </w:tc>
        <w:tc>
          <w:tcPr>
            <w:tcW w:w="1860" w:type="dxa"/>
            <w:vAlign w:val="bottom"/>
            <w:gridSpan w:val="2"/>
          </w:tcPr>
          <w:p>
            <w:pPr>
              <w:jc w:val="right"/>
              <w:ind w:right="119"/>
              <w:spacing w:after="0"/>
              <w:rPr>
                <w:sz w:val="20"/>
                <w:szCs w:val="20"/>
                <w:color w:val="auto"/>
              </w:rPr>
            </w:pPr>
            <w:r>
              <w:rPr>
                <w:rFonts w:ascii="Arial" w:cs="Arial" w:eastAsia="Arial" w:hAnsi="Arial"/>
                <w:sz w:val="16"/>
                <w:szCs w:val="16"/>
                <w:color w:val="auto"/>
              </w:rPr>
              <w:t>(946)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497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1,648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Accrued payroll and related liabilities</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(348)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Deferred revenue and customer deposits</w:t>
            </w:r>
          </w:p>
        </w:tc>
        <w:tc>
          <w:tcPr>
            <w:tcW w:w="180" w:type="dxa"/>
            <w:vAlign w:val="bottom"/>
          </w:tcPr>
          <w:p>
            <w:pPr>
              <w:spacing w:after="0"/>
              <w:rPr>
                <w:sz w:val="19"/>
                <w:szCs w:val="19"/>
                <w:color w:val="auto"/>
              </w:rPr>
            </w:pPr>
          </w:p>
        </w:tc>
        <w:tc>
          <w:tcPr>
            <w:tcW w:w="1860" w:type="dxa"/>
            <w:vAlign w:val="bottom"/>
            <w:gridSpan w:val="2"/>
          </w:tcPr>
          <w:p>
            <w:pPr>
              <w:jc w:val="right"/>
              <w:ind w:right="119"/>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(8,509</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(8,977</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7"/>
        </w:trPr>
        <w:tc>
          <w:tcPr>
            <w:tcW w:w="732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Proceeds on sale and disposal of assets</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110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Payments on Pharmacy Creations contingent acquisition obligation</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Investment in restricted marketable securities</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Investment in patent and trademark assets</w:t>
            </w:r>
          </w:p>
        </w:tc>
        <w:tc>
          <w:tcPr>
            <w:tcW w:w="180" w:type="dxa"/>
            <w:vAlign w:val="bottom"/>
          </w:tcPr>
          <w:p>
            <w:pPr>
              <w:spacing w:after="0"/>
              <w:rPr>
                <w:sz w:val="17"/>
                <w:szCs w:val="17"/>
                <w:color w:val="auto"/>
              </w:rPr>
            </w:pPr>
          </w:p>
        </w:tc>
        <w:tc>
          <w:tcPr>
            <w:tcW w:w="1860" w:type="dxa"/>
            <w:vAlign w:val="bottom"/>
            <w:gridSpan w:val="2"/>
          </w:tcPr>
          <w:p>
            <w:pPr>
              <w:jc w:val="right"/>
              <w:ind w:right="119"/>
              <w:spacing w:after="0"/>
              <w:rPr>
                <w:sz w:val="20"/>
                <w:szCs w:val="20"/>
                <w:color w:val="auto"/>
              </w:rPr>
            </w:pPr>
            <w:r>
              <w:rPr>
                <w:rFonts w:ascii="Arial" w:cs="Arial" w:eastAsia="Arial" w:hAnsi="Arial"/>
                <w:sz w:val="16"/>
                <w:szCs w:val="16"/>
                <w:color w:val="auto"/>
              </w:rPr>
              <w:t>(184)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1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Purchase of Klarity license</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19"/>
                <w:szCs w:val="19"/>
                <w:color w:val="auto"/>
              </w:rPr>
            </w:pPr>
          </w:p>
        </w:tc>
        <w:tc>
          <w:tcPr>
            <w:tcW w:w="1860" w:type="dxa"/>
            <w:vAlign w:val="bottom"/>
            <w:gridSpan w:val="2"/>
          </w:tcPr>
          <w:p>
            <w:pPr>
              <w:jc w:val="right"/>
              <w:ind w:right="119"/>
              <w:spacing w:after="0"/>
              <w:rPr>
                <w:sz w:val="20"/>
                <w:szCs w:val="20"/>
                <w:color w:val="auto"/>
              </w:rPr>
            </w:pPr>
            <w:r>
              <w:rPr>
                <w:rFonts w:ascii="Arial" w:cs="Arial" w:eastAsia="Arial" w:hAnsi="Arial"/>
                <w:sz w:val="16"/>
                <w:szCs w:val="16"/>
                <w:color w:val="auto"/>
              </w:rPr>
              <w:t>(588)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9"/>
              <w:spacing w:after="0"/>
              <w:rPr>
                <w:sz w:val="20"/>
                <w:szCs w:val="20"/>
                <w:color w:val="auto"/>
              </w:rPr>
            </w:pPr>
            <w:r>
              <w:rPr>
                <w:rFonts w:ascii="Arial" w:cs="Arial" w:eastAsia="Arial" w:hAnsi="Arial"/>
                <w:sz w:val="16"/>
                <w:szCs w:val="16"/>
                <w:color w:val="auto"/>
              </w:rPr>
              <w:t>(6,540)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(7,125</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7"/>
        </w:trPr>
        <w:tc>
          <w:tcPr>
            <w:tcW w:w="732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Payments on capital lease obligations</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(464)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Net proceeds from public equity offering</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2,940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11,088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Payments on Park deferred acquisition obligation</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Proceeds from SWK debt, net of costs</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15,518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Principal payments, exit fee and other costs of LSAF debt</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(13,999)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Proceeds from convertible note payable, net of issuance costs</w:t>
            </w:r>
          </w:p>
        </w:tc>
        <w:tc>
          <w:tcPr>
            <w:tcW w:w="180" w:type="dxa"/>
            <w:vAlign w:val="bottom"/>
          </w:tcPr>
          <w:p>
            <w:pPr>
              <w:spacing w:after="0"/>
              <w:rPr>
                <w:sz w:val="17"/>
                <w:szCs w:val="17"/>
                <w:color w:val="auto"/>
              </w:rPr>
            </w:pPr>
          </w:p>
        </w:tc>
        <w:tc>
          <w:tcPr>
            <w:tcW w:w="1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Proceeds from Essex leaseback, net of issuance costs</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Net proceeds from ATM sales of common stock</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Net proceeds from exercise of warrants and stock options, net</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of taxes remitted for RSU’s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4,235</w:t>
            </w:r>
          </w:p>
        </w:tc>
        <w:tc>
          <w:tcPr>
            <w:tcW w:w="2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15,779</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 end of period</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3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paid for income taxes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tcBorders>
              <w:bottom w:val="single" w:sz="8" w:color="CCEEFF"/>
            </w:tcBorders>
            <w:shd w:val="clear" w:color="auto" w:fill="CCEEFF"/>
          </w:tcPr>
          <w:p>
            <w:pPr>
              <w:ind w:left="340"/>
              <w:spacing w:after="0" w:line="167" w:lineRule="exact"/>
              <w:rPr>
                <w:sz w:val="20"/>
                <w:szCs w:val="20"/>
                <w:color w:val="auto"/>
              </w:rPr>
            </w:pPr>
            <w:r>
              <w:rPr>
                <w:rFonts w:ascii="Arial" w:cs="Arial" w:eastAsia="Arial" w:hAnsi="Arial"/>
                <w:sz w:val="16"/>
                <w:szCs w:val="16"/>
                <w:color w:val="auto"/>
              </w:rPr>
              <w:t>Cash paid for interest</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3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Fair value of embedded conversion feature recorded as debt</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discount and derivative liability</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w w:val="98"/>
              </w:rPr>
              <w:t>Reclassification of the fair value of the embedded conversion feature derivative liability to additional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300" w:type="dxa"/>
            <w:vAlign w:val="bottom"/>
          </w:tcPr>
          <w:p>
            <w:pPr>
              <w:ind w:left="340"/>
              <w:spacing w:after="0"/>
              <w:rPr>
                <w:sz w:val="20"/>
                <w:szCs w:val="20"/>
                <w:color w:val="auto"/>
              </w:rPr>
            </w:pPr>
            <w:r>
              <w:rPr>
                <w:rFonts w:ascii="Arial" w:cs="Arial" w:eastAsia="Arial" w:hAnsi="Arial"/>
                <w:sz w:val="16"/>
                <w:szCs w:val="16"/>
                <w:color w:val="auto"/>
              </w:rPr>
              <w:t>paid-in capital upon closing of the public equity offering</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Borders>
              <w:top w:val="single" w:sz="8" w:color="CCEEFF"/>
            </w:tcBorders>
            <w:shd w:val="clear" w:color="auto" w:fill="CCEEFF"/>
          </w:tcPr>
          <w:p>
            <w:pPr>
              <w:ind w:left="340"/>
              <w:spacing w:after="0" w:line="149" w:lineRule="exact"/>
              <w:rPr>
                <w:sz w:val="20"/>
                <w:szCs w:val="20"/>
                <w:color w:val="auto"/>
              </w:rPr>
            </w:pPr>
            <w:r>
              <w:rPr>
                <w:rFonts w:ascii="Arial" w:cs="Arial" w:eastAsia="Arial" w:hAnsi="Arial"/>
                <w:sz w:val="16"/>
                <w:szCs w:val="16"/>
                <w:color w:val="auto"/>
              </w:rPr>
              <w:t>Reclassification of the fair value of the LSAF warrant from</w:t>
            </w:r>
          </w:p>
        </w:tc>
        <w:tc>
          <w:tcPr>
            <w:tcW w:w="180" w:type="dxa"/>
            <w:vAlign w:val="bottom"/>
            <w:tcBorders>
              <w:top w:val="single" w:sz="8" w:color="auto"/>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 to derivative liability</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Reclassification of the fair value of the LSAF warrant derivative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340"/>
              <w:spacing w:after="0"/>
              <w:rPr>
                <w:sz w:val="20"/>
                <w:szCs w:val="20"/>
                <w:color w:val="auto"/>
              </w:rPr>
            </w:pPr>
            <w:r>
              <w:rPr>
                <w:rFonts w:ascii="Arial" w:cs="Arial" w:eastAsia="Arial" w:hAnsi="Arial"/>
                <w:sz w:val="16"/>
                <w:szCs w:val="16"/>
                <w:color w:val="auto"/>
              </w:rPr>
              <w:t>liability to additional paid-in capital upon closing of the public</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300" w:type="dxa"/>
            <w:vAlign w:val="bottom"/>
          </w:tcPr>
          <w:p>
            <w:pPr>
              <w:ind w:left="340"/>
              <w:spacing w:after="0"/>
              <w:rPr>
                <w:sz w:val="20"/>
                <w:szCs w:val="20"/>
                <w:color w:val="auto"/>
              </w:rPr>
            </w:pPr>
            <w:r>
              <w:rPr>
                <w:rFonts w:ascii="Arial" w:cs="Arial" w:eastAsia="Arial" w:hAnsi="Arial"/>
                <w:sz w:val="16"/>
                <w:szCs w:val="16"/>
                <w:color w:val="auto"/>
              </w:rPr>
              <w:t>equity offering</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Borders>
              <w:top w:val="single" w:sz="8" w:color="CCEEFF"/>
            </w:tcBorders>
            <w:shd w:val="clear" w:color="auto" w:fill="CCEEFF"/>
          </w:tcPr>
          <w:p>
            <w:pPr>
              <w:ind w:left="340"/>
              <w:spacing w:after="0" w:line="149" w:lineRule="exact"/>
              <w:rPr>
                <w:sz w:val="20"/>
                <w:szCs w:val="20"/>
                <w:color w:val="auto"/>
              </w:rPr>
            </w:pPr>
            <w:r>
              <w:rPr>
                <w:rFonts w:ascii="Arial" w:cs="Arial" w:eastAsia="Arial" w:hAnsi="Arial"/>
                <w:sz w:val="16"/>
                <w:szCs w:val="16"/>
                <w:color w:val="auto"/>
              </w:rPr>
              <w:t>Issuance of common stock and to settle contingent acquisition</w:t>
            </w:r>
          </w:p>
        </w:tc>
        <w:tc>
          <w:tcPr>
            <w:tcW w:w="180" w:type="dxa"/>
            <w:vAlign w:val="bottom"/>
            <w:tcBorders>
              <w:top w:val="single" w:sz="8" w:color="auto"/>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obligation related to the purchase of PC</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Issuance of stock options for consulting services included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3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 accounts payable and accrued expenses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688"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Final fee on note payable recorded as debt discount and</w:t>
            </w:r>
          </w:p>
        </w:tc>
        <w:tc>
          <w:tcPr>
            <w:tcW w:w="840" w:type="dxa"/>
            <w:vAlign w:val="bottom"/>
            <w:shd w:val="clear" w:color="auto" w:fill="CCEEFF"/>
          </w:tcPr>
          <w:p>
            <w:pPr>
              <w:jc w:val="right"/>
              <w:ind w:right="6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included in accrued expenses</w:t>
            </w:r>
          </w:p>
        </w:tc>
        <w:tc>
          <w:tcPr>
            <w:tcW w:w="8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Estimated relative fair value of warrants issued in connection with</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3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7320" w:type="dxa"/>
            <w:vAlign w:val="bottom"/>
          </w:tcPr>
          <w:p>
            <w:pPr>
              <w:ind w:left="360"/>
              <w:spacing w:after="0"/>
              <w:rPr>
                <w:sz w:val="20"/>
                <w:szCs w:val="20"/>
                <w:color w:val="auto"/>
              </w:rPr>
            </w:pPr>
            <w:r>
              <w:rPr>
                <w:rFonts w:ascii="Arial" w:cs="Arial" w:eastAsia="Arial" w:hAnsi="Arial"/>
                <w:sz w:val="16"/>
                <w:szCs w:val="16"/>
                <w:color w:val="auto"/>
              </w:rPr>
              <w:t>note payable</w:t>
            </w:r>
          </w:p>
        </w:tc>
        <w:tc>
          <w:tcPr>
            <w:tcW w:w="840" w:type="dxa"/>
            <w:vAlign w:val="bottom"/>
          </w:tcPr>
          <w:p>
            <w:pPr>
              <w:jc w:val="right"/>
              <w:ind w:right="68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982</w:t>
            </w:r>
          </w:p>
        </w:tc>
        <w:tc>
          <w:tcPr>
            <w:tcW w:w="340" w:type="dxa"/>
            <w:vAlign w:val="bottom"/>
          </w:tcPr>
          <w:p>
            <w:pPr>
              <w:spacing w:after="0"/>
              <w:rPr>
                <w:sz w:val="24"/>
                <w:szCs w:val="24"/>
                <w:color w:val="auto"/>
              </w:rPr>
            </w:pPr>
          </w:p>
        </w:tc>
        <w:tc>
          <w:tcPr>
            <w:tcW w:w="820" w:type="dxa"/>
            <w:vAlign w:val="bottom"/>
            <w:gridSpan w:val="2"/>
          </w:tcPr>
          <w:p>
            <w:pPr>
              <w:jc w:val="right"/>
              <w:ind w:right="68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320" w:type="dxa"/>
            <w:vAlign w:val="bottom"/>
            <w:tcBorders>
              <w:top w:val="single" w:sz="8" w:color="CCEEFF"/>
            </w:tcBorders>
            <w:shd w:val="clear" w:color="auto" w:fill="CCEEFF"/>
          </w:tcPr>
          <w:p>
            <w:pPr>
              <w:ind w:left="360"/>
              <w:spacing w:after="0" w:line="149" w:lineRule="exact"/>
              <w:rPr>
                <w:sz w:val="20"/>
                <w:szCs w:val="20"/>
                <w:color w:val="auto"/>
              </w:rPr>
            </w:pPr>
            <w:r>
              <w:rPr>
                <w:rFonts w:ascii="Arial" w:cs="Arial" w:eastAsia="Arial" w:hAnsi="Arial"/>
                <w:sz w:val="16"/>
                <w:szCs w:val="16"/>
                <w:color w:val="auto"/>
              </w:rPr>
              <w:t>Purchase of property, plant and equipment included in</w:t>
            </w:r>
          </w:p>
        </w:tc>
        <w:tc>
          <w:tcPr>
            <w:tcW w:w="8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accrued expenses</w:t>
            </w:r>
          </w:p>
        </w:tc>
        <w:tc>
          <w:tcPr>
            <w:tcW w:w="840" w:type="dxa"/>
            <w:vAlign w:val="bottom"/>
            <w:shd w:val="clear" w:color="auto" w:fill="CCEEFF"/>
          </w:tcPr>
          <w:p>
            <w:pPr>
              <w:jc w:val="right"/>
              <w:ind w:right="6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Note receivable in connection with sale of assets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20" w:type="dxa"/>
            <w:vAlign w:val="bottom"/>
            <w:vMerge w:val="continue"/>
          </w:tcPr>
          <w:p>
            <w:pPr>
              <w:spacing w:after="0"/>
              <w:rPr>
                <w:sz w:val="16"/>
                <w:szCs w:val="16"/>
                <w:color w:val="auto"/>
              </w:rPr>
            </w:pPr>
          </w:p>
        </w:tc>
        <w:tc>
          <w:tcPr>
            <w:tcW w:w="840" w:type="dxa"/>
            <w:vAlign w:val="bottom"/>
            <w:tcBorders>
              <w:bottom w:val="single" w:sz="8" w:color="auto"/>
            </w:tcBorders>
          </w:tcPr>
          <w:p>
            <w:pPr>
              <w:jc w:val="right"/>
              <w:ind w:right="68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Imprimis Pharmaceuticals, Inc. (together with its subsidiaries, unless the context indicates or otherwise requires, the “Company” or “Imprimis”) is an ophthalmology-focused pharmaceutical company that produces and dispenses high quality innovative compounded medications in all 50 states. Imprimis is dedicated to patient access and affordability to many critical medicines. Headquartered in San Diego, California, Imprimis produces and dispenses its compounded ophthalmology formulations from its New Jersey facilities. Imprimis is the largest shareholder of Eton Pharmaceuticals, Inc., a company it spun out in 2017, owns Surface Pharmaceuticals, Inc. which is focused on development and commercialization of innovative therapeutics for ocular surface diseases utilizing the U.S. Food and Drug Administration’s 505(b)(2) regulatory pathway and Park Compounding, a wholly owned, compounding pharmacy.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nine months ended September 30, 2017 are not necessarily indicative of the results that may be expected for the year ending December 31, 2017 or for any other period. For further information, refer to the Company’s audited consolidated financial statements and footnotes thereto included in the Company’s Annual Report on Form 10-K for the year ended December 31, 2016.</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three and nine months ended September 30, 2017 to the significant accounting policies described in the Company’s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net losses of $9,214 and $12,985 for the nine months ended September 30, 2017 and 2016, respectively, and had an accumulated deficit of $86,065 and $76,851 as of September 30, 2017 and December 31, 2016, respectively. In addition, the Company used cash in operating activities of $8,509 and $8,977 for the nine months ended September 30, 2017 and 2016, respectively.</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While there is no assurance, the Company believes its existing cash resources and restricted cash of approximately $4,067 at September 30, 2017, along with proceeds from the Sales Agreement (see and defined in Note 12)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7"/>
          <w:szCs w:val="17"/>
          <w:color w:val="auto"/>
        </w:rPr>
        <w:t>The Company may seek to increase liquidity and capital resources by one or more of the following which may include, but are not limited to: the sale of assets and/or businesses, obtaining financing through the issuance of equity, debt, or convertible securities; and working to increase revenue growth through sales. There is no guarantee that the Company will be able to obtain capital when needed on terms it deems as acceptable, or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 The Company’s revenues consist of sales of certain of the Company’s proprietary compounded drug formulations and non-proprietary formulations and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2017, the Company formed Eton Pharmaceuticals, Inc. (“Eton”) as a wholly owned subsidiary. In June 2017, Eton entered into and closed on definitive stock purchase agreements with accredited investors for the purchase of Eton’s Series A Preferred Stock that resulted in net proceeds to Eton, after deducting placement agent fees and other expenses, of approximately $18,000. At the time of closing, the Company lost voting and ownership control of Eton and it ceased consolidating Eton’s financial statements. At the time of deconsolidation, the Company recorded a gain of $5,725 and adjusted the carrying value in Eton to reflect the increased valuation of Eton and the Company’s new ownership percent in accordance with Accounting Standard Codification (“ASC”) 810-10-40-4(c),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owns 3,500,000 common shares (approximately 27% equity interest as of September 30, 2017) of Eton and, uses the equity method of accounting for this investment, as management has determined that the Company has the ability to exercise significant influence over the operating and financial decisions of Eton. Under this method, the Company recognizes earnings and losses of Eton in its financial statements and adjusts the carrying amount of its investment in Eton accordingly. The Company’s share of earnings and losses are based on the shares of common stock and in-substance common stock of Eton held by the Company. Any intra-entity profits and losses are eliminated. During the three and nine months ended September 30, 2017, the Company recorded equity in net loss of Eton of $1,237 and $1,453, respectively. As of September 30, 2017, the carrying value of the Company’s investment in Eton was $4,272.</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common share is computed by dividing income (loss) attributable to common stockholders for the period by the weighted average number of common shares outstanding during the period. Diluted income (loss) per share is computed by dividing the income (loss) attributable to common stockholders for the period by the weighted average number of common and common equivalent shares, such as stock options and warrants, outstanding during the period.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and diluted net income (loss) per share is computed using the weighted average number of shares of common stock outstanding during the period. Common stock equivalents (using the treasury stock or “if converted” method) from deferred acquisition obligations, convertible note payable, stock options, unvested restricted stock units (“RSUs”) and warrants were 9,983,548 and 4,424,397 at September 30, 2017 and 2016, respectively, and are excluded from the calculation of diluted loss per share for the periods presented, because the effect is anti-dilutive. Included in the basic and diluted net loss per share calculation were RSUs awarded to directors that had vested, but the issuance and delivery of the shares are deferred until the director resigns. The number of shares underlying vested RSUs at September 30, 2017 and 2016 was 121,344 and 281,283, respectively.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the computation of basic and diluted net loss per share of common stock for the three and nine months ended September 30, 2017 and 2016: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center"/>
              <w:ind w:right="319"/>
              <w:spacing w:after="0"/>
              <w:rPr>
                <w:sz w:val="20"/>
                <w:szCs w:val="20"/>
                <w:color w:val="auto"/>
              </w:rPr>
            </w:pPr>
            <w:r>
              <w:rPr>
                <w:rFonts w:ascii="Arial" w:cs="Arial" w:eastAsia="Arial" w:hAnsi="Arial"/>
                <w:sz w:val="16"/>
                <w:szCs w:val="16"/>
                <w:color w:val="auto"/>
                <w:w w:val="90"/>
              </w:rPr>
              <w:t>For the</w:t>
            </w:r>
          </w:p>
        </w:tc>
        <w:tc>
          <w:tcPr>
            <w:tcW w:w="140" w:type="dxa"/>
            <w:vAlign w:val="bottom"/>
          </w:tcPr>
          <w:p>
            <w:pPr>
              <w:spacing w:after="0"/>
              <w:rPr>
                <w:sz w:val="17"/>
                <w:szCs w:val="17"/>
                <w:color w:val="auto"/>
              </w:rPr>
            </w:pPr>
          </w:p>
        </w:tc>
        <w:tc>
          <w:tcPr>
            <w:tcW w:w="1820" w:type="dxa"/>
            <w:vAlign w:val="bottom"/>
            <w:gridSpan w:val="2"/>
          </w:tcPr>
          <w:p>
            <w:pPr>
              <w:jc w:val="center"/>
              <w:ind w:right="199"/>
              <w:spacing w:after="0"/>
              <w:rPr>
                <w:sz w:val="20"/>
                <w:szCs w:val="20"/>
                <w:color w:val="auto"/>
              </w:rPr>
            </w:pPr>
            <w:r>
              <w:rPr>
                <w:rFonts w:ascii="Arial" w:cs="Arial" w:eastAsia="Arial" w:hAnsi="Arial"/>
                <w:sz w:val="16"/>
                <w:szCs w:val="16"/>
                <w:color w:val="auto"/>
                <w:w w:val="90"/>
              </w:rPr>
              <w:t>For the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right"/>
              <w:ind w:right="719"/>
              <w:spacing w:after="0"/>
              <w:rPr>
                <w:sz w:val="20"/>
                <w:szCs w:val="20"/>
                <w:color w:val="auto"/>
              </w:rPr>
            </w:pPr>
            <w:r>
              <w:rPr>
                <w:rFonts w:ascii="Arial" w:cs="Arial" w:eastAsia="Arial" w:hAnsi="Arial"/>
                <w:sz w:val="16"/>
                <w:szCs w:val="16"/>
                <w:color w:val="auto"/>
              </w:rPr>
              <w:t>For the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right"/>
              <w:ind w:right="739"/>
              <w:spacing w:after="0"/>
              <w:rPr>
                <w:sz w:val="20"/>
                <w:szCs w:val="20"/>
                <w:color w:val="auto"/>
              </w:rPr>
            </w:pPr>
            <w:r>
              <w:rPr>
                <w:rFonts w:ascii="Arial" w:cs="Arial" w:eastAsia="Arial" w:hAnsi="Arial"/>
                <w:sz w:val="16"/>
                <w:szCs w:val="16"/>
                <w:color w:val="auto"/>
              </w:rPr>
              <w:t>For the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center"/>
              <w:ind w:right="319"/>
              <w:spacing w:after="0"/>
              <w:rPr>
                <w:sz w:val="20"/>
                <w:szCs w:val="20"/>
                <w:color w:val="auto"/>
              </w:rPr>
            </w:pPr>
            <w:r>
              <w:rPr>
                <w:rFonts w:ascii="Arial" w:cs="Arial" w:eastAsia="Arial" w:hAnsi="Arial"/>
                <w:sz w:val="16"/>
                <w:szCs w:val="16"/>
                <w:color w:val="auto"/>
                <w:w w:val="92"/>
              </w:rPr>
              <w:t>Three Months Ended</w:t>
            </w:r>
          </w:p>
        </w:tc>
        <w:tc>
          <w:tcPr>
            <w:tcW w:w="140" w:type="dxa"/>
            <w:vAlign w:val="bottom"/>
          </w:tcPr>
          <w:p>
            <w:pPr>
              <w:spacing w:after="0"/>
              <w:rPr>
                <w:sz w:val="17"/>
                <w:szCs w:val="17"/>
                <w:color w:val="auto"/>
              </w:rPr>
            </w:pPr>
          </w:p>
        </w:tc>
        <w:tc>
          <w:tcPr>
            <w:tcW w:w="1820" w:type="dxa"/>
            <w:vAlign w:val="bottom"/>
            <w:gridSpan w:val="2"/>
          </w:tcPr>
          <w:p>
            <w:pPr>
              <w:jc w:val="center"/>
              <w:ind w:right="199"/>
              <w:spacing w:after="0"/>
              <w:rPr>
                <w:sz w:val="20"/>
                <w:szCs w:val="20"/>
                <w:color w:val="auto"/>
              </w:rPr>
            </w:pPr>
            <w:r>
              <w:rPr>
                <w:rFonts w:ascii="Arial" w:cs="Arial" w:eastAsia="Arial" w:hAnsi="Arial"/>
                <w:sz w:val="16"/>
                <w:szCs w:val="16"/>
                <w:color w:val="auto"/>
                <w:w w:val="92"/>
              </w:rPr>
              <w:t>Three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right"/>
              <w:ind w:right="299"/>
              <w:spacing w:after="0"/>
              <w:rPr>
                <w:sz w:val="20"/>
                <w:szCs w:val="20"/>
                <w:color w:val="auto"/>
              </w:rPr>
            </w:pPr>
            <w:r>
              <w:rPr>
                <w:rFonts w:ascii="Arial" w:cs="Arial" w:eastAsia="Arial" w:hAnsi="Arial"/>
                <w:sz w:val="16"/>
                <w:szCs w:val="16"/>
                <w:color w:val="auto"/>
                <w:w w:val="98"/>
              </w:rPr>
              <w:t>Nine Months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right"/>
              <w:ind w:right="319"/>
              <w:spacing w:after="0"/>
              <w:rPr>
                <w:sz w:val="20"/>
                <w:szCs w:val="20"/>
                <w:color w:val="auto"/>
              </w:rPr>
            </w:pPr>
            <w:r>
              <w:rPr>
                <w:rFonts w:ascii="Arial" w:cs="Arial" w:eastAsia="Arial" w:hAnsi="Arial"/>
                <w:sz w:val="16"/>
                <w:szCs w:val="16"/>
                <w:color w:val="auto"/>
                <w:w w:val="98"/>
              </w:rPr>
              <w:t>Nine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center"/>
              <w:ind w:right="319"/>
              <w:spacing w:after="0"/>
              <w:rPr>
                <w:sz w:val="20"/>
                <w:szCs w:val="20"/>
                <w:color w:val="auto"/>
              </w:rPr>
            </w:pPr>
            <w:r>
              <w:rPr>
                <w:rFonts w:ascii="Arial" w:cs="Arial" w:eastAsia="Arial" w:hAnsi="Arial"/>
                <w:sz w:val="16"/>
                <w:szCs w:val="16"/>
                <w:color w:val="auto"/>
                <w:w w:val="89"/>
              </w:rPr>
              <w:t>September 30, 2017</w:t>
            </w:r>
          </w:p>
        </w:tc>
        <w:tc>
          <w:tcPr>
            <w:tcW w:w="140" w:type="dxa"/>
            <w:vAlign w:val="bottom"/>
          </w:tcPr>
          <w:p>
            <w:pPr>
              <w:spacing w:after="0"/>
              <w:rPr>
                <w:sz w:val="19"/>
                <w:szCs w:val="19"/>
                <w:color w:val="auto"/>
              </w:rPr>
            </w:pPr>
          </w:p>
        </w:tc>
        <w:tc>
          <w:tcPr>
            <w:tcW w:w="1820" w:type="dxa"/>
            <w:vAlign w:val="bottom"/>
            <w:gridSpan w:val="2"/>
          </w:tcPr>
          <w:p>
            <w:pPr>
              <w:jc w:val="center"/>
              <w:ind w:right="199"/>
              <w:spacing w:after="0"/>
              <w:rPr>
                <w:sz w:val="20"/>
                <w:szCs w:val="20"/>
                <w:color w:val="auto"/>
              </w:rPr>
            </w:pPr>
            <w:r>
              <w:rPr>
                <w:rFonts w:ascii="Arial" w:cs="Arial" w:eastAsia="Arial" w:hAnsi="Arial"/>
                <w:sz w:val="16"/>
                <w:szCs w:val="16"/>
                <w:color w:val="auto"/>
                <w:w w:val="89"/>
              </w:rPr>
              <w:t>September 30, 2016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99"/>
              <w:spacing w:after="0"/>
              <w:rPr>
                <w:sz w:val="20"/>
                <w:szCs w:val="20"/>
                <w:color w:val="auto"/>
              </w:rPr>
            </w:pPr>
            <w:r>
              <w:rPr>
                <w:rFonts w:ascii="Arial" w:cs="Arial" w:eastAsia="Arial" w:hAnsi="Arial"/>
                <w:sz w:val="16"/>
                <w:szCs w:val="16"/>
                <w:color w:val="auto"/>
                <w:w w:val="95"/>
              </w:rPr>
              <w:t>September 30, 2017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319"/>
              <w:spacing w:after="0"/>
              <w:rPr>
                <w:sz w:val="20"/>
                <w:szCs w:val="20"/>
                <w:color w:val="auto"/>
              </w:rPr>
            </w:pPr>
            <w:r>
              <w:rPr>
                <w:rFonts w:ascii="Arial" w:cs="Arial" w:eastAsia="Arial" w:hAnsi="Arial"/>
                <w:sz w:val="16"/>
                <w:szCs w:val="16"/>
                <w:color w:val="auto"/>
                <w:w w:val="95"/>
              </w:rPr>
              <w:t>September 30, 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Numerator – 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(5,692)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(3,850)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(9,214)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(12,985)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Denominator – weighted average number of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6"/>
                <w:szCs w:val="16"/>
                <w:color w:val="auto"/>
              </w:rPr>
              <w:t>shares outstanding, basic and diluted</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20,273,347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13,471,004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59"/>
              <w:spacing w:after="0"/>
              <w:rPr>
                <w:sz w:val="20"/>
                <w:szCs w:val="20"/>
                <w:color w:val="auto"/>
              </w:rPr>
            </w:pPr>
            <w:r>
              <w:rPr>
                <w:rFonts w:ascii="Arial" w:cs="Arial" w:eastAsia="Arial" w:hAnsi="Arial"/>
                <w:sz w:val="16"/>
                <w:szCs w:val="16"/>
                <w:color w:val="auto"/>
              </w:rPr>
              <w:t>19,806,759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59"/>
              <w:spacing w:after="0"/>
              <w:rPr>
                <w:sz w:val="20"/>
                <w:szCs w:val="20"/>
                <w:color w:val="auto"/>
              </w:rPr>
            </w:pPr>
            <w:r>
              <w:rPr>
                <w:rFonts w:ascii="Arial" w:cs="Arial" w:eastAsia="Arial" w:hAnsi="Arial"/>
                <w:sz w:val="16"/>
                <w:szCs w:val="16"/>
                <w:color w:val="auto"/>
              </w:rPr>
              <w:t>12,404,328</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3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Net loss per share, basic and diluted</w:t>
            </w:r>
          </w:p>
        </w:tc>
        <w:tc>
          <w:tcPr>
            <w:tcW w:w="14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2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40" w:type="dxa"/>
            <w:vAlign w:val="bottom"/>
            <w:vMerge w:val="continue"/>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4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2016-09,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Improvements to Employee Share-Based Payment Accounting</w:t>
      </w:r>
      <w:r>
        <w:rPr>
          <w:rFonts w:ascii="Arial" w:cs="Arial" w:eastAsia="Arial" w:hAnsi="Arial"/>
          <w:sz w:val="18"/>
          <w:szCs w:val="18"/>
          <w:color w:val="auto"/>
        </w:rPr>
        <w:t>, which addresses certain aspects of accounting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award transactions. The Company adopted this standard on January 1, 2017. The adoption did not have a material impact on the Company’s financial position, results of operations and cash flows. Prior periods were not recast.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which requires entities to measure most inventory “at the lower of cost and net realizable value (“NRV”),” thereby simplifying the current guidance under which an entity must measure inventory at the lower of cost or market. Under the new guidance, inventory is “measured at the lower of cost and net realizable value,” which eliminates the need to determine replacement cost and evaluate whether it is above the ceiling (NRV) or below the floor (NRV less a normal profit margin). The guidance defines NRV as the “estimated selling prices in the ordinary course of business, less reasonably predictable costs of completion, disposal, and transportation.” The Company adopted this standard on January 1, 2017. The adoption did not have a material impact on the Company’s financial position, results of operations and cash flows. Prior periods were not recast.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updated guidance is effective for interim and annual periods beginning after December 15, 2016, and early adoption is not permitted. In July 2015, the FASB decided to delay the effective date of ASU 2014-09 until December 15, 2017. The FASB also agreed to allow entities to choose to adopt the standard as of the original effective date. The Company is currently evaluating which transition method it will adopt and the expected impact of the updated guidance, but does not believe the adoption of the updated guidance will have a significant impact on its consolidated financial statements.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requires the right of use asset and lease liability arising from lease contracts, including existing and new arrangements, with terms more than 12 months to be recognized as assets and liabilities on the balance sheet. Recognition, measurement and presentation of expenses will depend on classification as a finance or operating lease. The amendments also require certain quantitative and qualitative disclosures about leasing arrangements. ASU 2016-02 is effective for reporting periods beginning after December 15, 2018 with early adoption permitted. While the Company is still evaluating ASU 2016-02, the Company expects the adoption of ASU 2016-02 to have a material effect on the Company’s consolidated financial condition due to the recognition of the right of use asset and lease liability. The Company does not expect ASU 2016-02 to have a material effect on the Company’s results of operations and cash flows.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Clarifying the Definition of a Business,</w:t>
      </w:r>
      <w:r>
        <w:rPr>
          <w:rFonts w:ascii="Arial" w:cs="Arial" w:eastAsia="Arial" w:hAnsi="Arial"/>
          <w:sz w:val="18"/>
          <w:szCs w:val="18"/>
          <w:color w:val="auto"/>
        </w:rPr>
        <w:t xml:space="preserve"> which revises the definition of a business and provides new guidance in evaluating when a set of transferred assets and activities is a business. ASU 2017-01 is effective for reporting periods beginning after December 15, 2017 with early adoption permitted. The Company does not expect the ASU 2017-01 to have a material impact on the Company’s financial position, results of operations and cash flows.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does not expect ASU 2017-04 to have a material effect on the Company’s financial position, results of operations and cash flows.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 Stock Compensation: Scope of Modification Accounting</w:t>
      </w:r>
      <w:r>
        <w:rPr>
          <w:rFonts w:ascii="Arial" w:cs="Arial" w:eastAsia="Arial" w:hAnsi="Arial"/>
          <w:sz w:val="17"/>
          <w:szCs w:val="17"/>
          <w:color w:val="auto"/>
        </w:rPr>
        <w:t>. The amendments in this update provide guidance about which changes to the terms or conditions of a share-based payment award require an entity to apply modification accounting under Topic 718. An entity should account for effects of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amendments in this update are effective for all entities for annual periods and interim periods within those annual periods, beginning after December 15, 2017, which for the Company means January 1, 2018. Early adoption is permitted, including adoption in any interim period for public business entities for reporting periods for which financial statements have not yet been issued. The Company does not expect the adoption of ASU 2017-09 to have a material effect on the Company’s financial position, results of operations and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INVESTMENT IN ETON PHARMACEUTICALS, INC. AND AGREEMENTS - RELATED PARTY TRANSACTIONS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2017, the Company entered into two asset purchase and license agreements (the “Eton License Agreements”) with its previously wholly owned subsidiary, Eton. Pursuant to the terms of the Eton License Agreements, the Company assigned and licensed to Eton certain intellectual property and related rights to develop, formulate, make, sell, and sub-license formulations of synthetic corticotropin and injectable pentoxifylline (collectively, the “Eton Products”). Eton is required to make royalty payments to the Company of three percent (3%) to six percent (6%) of net sales of the Eton Products while any patent rights remain outstanding and for a period up to 15 years following the first commercial sale, whichever is longer. In addition, Eton is required to make certain milestone payments to the Company including payments of $50,000 upon initial patent issuances for each Eton Product. The Eton License Agreements were conditioned upon Eton receiving net proceeds of the sale of its equity securities of not less than $10,000, which occurred in June 2017. See also Note 2, under the subheading </w:t>
      </w:r>
      <w:r>
        <w:rPr>
          <w:rFonts w:ascii="Arial" w:cs="Arial" w:eastAsia="Arial" w:hAnsi="Arial"/>
          <w:sz w:val="17"/>
          <w:szCs w:val="17"/>
          <w:i w:val="1"/>
          <w:iCs w:val="1"/>
          <w:color w:val="auto"/>
        </w:rPr>
        <w:t>Investment in Eton Pharmaceuticals, Inc.</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 2017, the Company and Eton entered into a Management Services Agreement (the “MSA”), whereby the Company provided to Eton certain administrative services and support, including bookkeeping, web services and human resources related activities, and Eton will pay the Company a monthly amount of $10. A 30-day notice of termination was delivered to the Company on August 29,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2017, the Company was due $10 from Eton for amounts due under the MSA and included in other current assets on the accompanying condensed consolidated balance sheets.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owns approximately 27% of the voting interests in Eton. The Company’s Chief Executive Officer, Mark L. Baum, is a director of Eton, and several employees of the Company (including Mr. Baum and the Company’s Chief Financial Officer, Andrew R. Boll) have entered into consulting agreements with Eton.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Eton is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gridSpan w:val="2"/>
          </w:tcPr>
          <w:p>
            <w:pPr>
              <w:jc w:val="center"/>
              <w:ind w:right="179"/>
              <w:spacing w:after="0"/>
              <w:rPr>
                <w:sz w:val="20"/>
                <w:szCs w:val="20"/>
                <w:color w:val="auto"/>
              </w:rPr>
            </w:pPr>
            <w:r>
              <w:rPr>
                <w:rFonts w:ascii="Arial" w:cs="Arial" w:eastAsia="Arial" w:hAnsi="Arial"/>
                <w:sz w:val="16"/>
                <w:szCs w:val="16"/>
                <w:color w:val="auto"/>
                <w:w w:val="93"/>
              </w:rPr>
              <w:t>From the period beginning</w:t>
            </w:r>
          </w:p>
        </w:tc>
      </w:tr>
      <w:tr>
        <w:trPr>
          <w:trHeight w:val="206"/>
        </w:trPr>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gridSpan w:val="2"/>
          </w:tcPr>
          <w:p>
            <w:pPr>
              <w:jc w:val="center"/>
              <w:ind w:right="179"/>
              <w:spacing w:after="0"/>
              <w:rPr>
                <w:sz w:val="20"/>
                <w:szCs w:val="20"/>
                <w:color w:val="auto"/>
              </w:rPr>
            </w:pPr>
            <w:r>
              <w:rPr>
                <w:rFonts w:ascii="Arial" w:cs="Arial" w:eastAsia="Arial" w:hAnsi="Arial"/>
                <w:sz w:val="16"/>
                <w:szCs w:val="16"/>
                <w:color w:val="auto"/>
                <w:w w:val="95"/>
              </w:rPr>
              <w:t>April 27, 2017 (inception)</w:t>
            </w:r>
          </w:p>
        </w:tc>
      </w:tr>
      <w:tr>
        <w:trPr>
          <w:trHeight w:val="229"/>
        </w:trPr>
        <w:tc>
          <w:tcPr>
            <w:tcW w:w="4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gridSpan w:val="2"/>
          </w:tcPr>
          <w:p>
            <w:pPr>
              <w:jc w:val="center"/>
              <w:ind w:right="179"/>
              <w:spacing w:after="0"/>
              <w:rPr>
                <w:sz w:val="20"/>
                <w:szCs w:val="20"/>
                <w:color w:val="auto"/>
              </w:rPr>
            </w:pPr>
            <w:r>
              <w:rPr>
                <w:rFonts w:ascii="Arial" w:cs="Arial" w:eastAsia="Arial" w:hAnsi="Arial"/>
                <w:sz w:val="16"/>
                <w:szCs w:val="16"/>
                <w:color w:val="auto"/>
                <w:w w:val="89"/>
              </w:rPr>
              <w:t>to September 30, 2017</w:t>
            </w:r>
          </w:p>
        </w:tc>
      </w:tr>
      <w:tr>
        <w:trPr>
          <w:trHeight w:val="203"/>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 net</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23"/>
        </w:trPr>
        <w:tc>
          <w:tcPr>
            <w:tcW w:w="4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Loss from operations</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w:t>
            </w:r>
          </w:p>
        </w:tc>
        <w:tc>
          <w:tcPr>
            <w:tcW w:w="80" w:type="dxa"/>
            <w:vAlign w:val="bottom"/>
            <w:tcBorders>
              <w:bottom w:val="single" w:sz="8" w:color="CCEEFF"/>
            </w:tcBorders>
          </w:tcPr>
          <w:p>
            <w:pPr>
              <w:spacing w:after="0"/>
              <w:rPr>
                <w:sz w:val="19"/>
                <w:szCs w:val="19"/>
                <w:color w:val="auto"/>
              </w:rPr>
            </w:pPr>
          </w:p>
        </w:tc>
      </w:tr>
      <w:tr>
        <w:trPr>
          <w:trHeight w:val="213"/>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Eton is summarized below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ind w:left="60"/>
              <w:spacing w:after="0"/>
              <w:rPr>
                <w:sz w:val="20"/>
                <w:szCs w:val="20"/>
                <w:color w:val="auto"/>
              </w:rPr>
            </w:pPr>
            <w:r>
              <w:rPr>
                <w:rFonts w:ascii="Arial" w:cs="Arial" w:eastAsia="Arial" w:hAnsi="Arial"/>
                <w:sz w:val="16"/>
                <w:szCs w:val="16"/>
                <w:color w:val="auto"/>
              </w:rPr>
              <w:t>At September 30,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9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assets</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Current 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16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RESTRICTED CASH</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restricted cash at September 30, 2017 and December 31, 2016 consisted of funds held in a money market account. At September 30, 2017 and December 31, 2016, the restricted cash was recorded at amortized cost, which approximates fair value.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2017 and December 31, 2016, the funds held in a money market account of $200 were classified as a current asset. The money market account funds are required as collateral as additional security for the Company’s New Jersey facility lease.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September 30, 2017 and December 31, 2016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37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1,569</w:t>
            </w:r>
          </w:p>
        </w:tc>
        <w:tc>
          <w:tcPr>
            <w:tcW w:w="16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1,172</w:t>
            </w:r>
          </w:p>
        </w:tc>
      </w:tr>
      <w:tr>
        <w:trPr>
          <w:trHeight w:val="216"/>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PREPAID EXPENSES AND OTHER CURRENT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w w:val="95"/>
              </w:rPr>
              <w:t>Prepaid expenses and other current assets consisted of the following:</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8"/>
                <w:szCs w:val="18"/>
                <w:color w:val="auto"/>
              </w:rPr>
            </w:pPr>
          </w:p>
        </w:tc>
      </w:tr>
      <w:tr>
        <w:trPr>
          <w:trHeight w:val="23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20"/>
                <w:szCs w:val="20"/>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prepaid expenses and other current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943</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938</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ASSET SALES AND NOTE RECEIVABLE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27, 2017, the Company entered into an Asset Purchase Agreement (the “PA Agreement”) with Creative Pharmacy Solutions Central, LLC (the “Buyers”), which closed in July 2017. Under the terms of the PA Agreement, the Company sold substantially all its assets associated with its sinus related business, including but not limited to, certain intellectual property rights, trademarks, copyrights, inventories, equipment, customer lists, databases, permits, licenses, and assignment of the Company’s lease obligation for its Pennsylvania based pharmacy (the “PA Assets”), for a total purchase price of approximately $450.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PA Agreement, the Buyers, upon closing, paid to the Company an aggregate cash amount of $40. In addition, the Buyers are obligated to pay the remaining $410 in the form of a note that will bear interest at 6% per annum (the “Sellers Note”). The Buyers will make forty-eight monthly cash payments to the Company of $10 following the closing, totaling $462; provided however, that the Buyer will have the option to make a one-time payment of $365 any time prior to December 31, 2017, and the Company will waive any remaining amounts due on the Sellers Note. The principal amount of the Sellers Note may also be reduced by $125, if after a period of 60 days following the closing, certain revenues associated with the PA Assets are less than 60% of the revenues associated with the PA Assets during the 60 days prior to the close of the transaction. There was $400 due under the Sellers Note as of September 30,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future minimum payments to the Company under its note receivable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4560" w:type="dxa"/>
            <w:vAlign w:val="bottom"/>
          </w:tcPr>
          <w:p>
            <w:pPr>
              <w:spacing w:after="0"/>
              <w:rPr>
                <w:sz w:val="20"/>
                <w:szCs w:val="20"/>
                <w:color w:val="auto"/>
              </w:rPr>
            </w:pP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CCEEFF"/>
            </w:tcBorders>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45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4560" w:type="dxa"/>
            <w:vAlign w:val="bottom"/>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4560" w:type="dxa"/>
            <w:vAlign w:val="bottom"/>
          </w:tcPr>
          <w:p>
            <w:pPr>
              <w:spacing w:after="0"/>
              <w:rPr>
                <w:sz w:val="18"/>
                <w:szCs w:val="18"/>
                <w:color w:val="auto"/>
              </w:rPr>
            </w:pPr>
          </w:p>
        </w:tc>
      </w:tr>
      <w:tr>
        <w:trPr>
          <w:trHeight w:val="250"/>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shd w:val="clear" w:color="auto" w:fill="CCEEFF"/>
          </w:tcPr>
          <w:p>
            <w:pPr>
              <w:spacing w:after="0"/>
              <w:rPr>
                <w:sz w:val="21"/>
                <w:szCs w:val="21"/>
                <w:color w:val="auto"/>
              </w:rPr>
            </w:pPr>
          </w:p>
        </w:tc>
        <w:tc>
          <w:tcPr>
            <w:tcW w:w="4560" w:type="dxa"/>
            <w:vAlign w:val="bottom"/>
          </w:tcPr>
          <w:p>
            <w:pPr>
              <w:spacing w:after="0"/>
              <w:rPr>
                <w:sz w:val="21"/>
                <w:szCs w:val="21"/>
                <w:color w:val="auto"/>
              </w:rPr>
            </w:pPr>
          </w:p>
        </w:tc>
      </w:tr>
      <w:tr>
        <w:trPr>
          <w:trHeight w:val="203"/>
        </w:trPr>
        <w:tc>
          <w:tcPr>
            <w:tcW w:w="5460" w:type="dxa"/>
            <w:vAlign w:val="bottom"/>
          </w:tcPr>
          <w:p>
            <w:pPr>
              <w:spacing w:after="0" w:line="203" w:lineRule="exact"/>
              <w:rPr>
                <w:sz w:val="20"/>
                <w:szCs w:val="20"/>
                <w:color w:val="auto"/>
              </w:rPr>
            </w:pPr>
            <w:r>
              <w:rPr>
                <w:rFonts w:ascii="Arial" w:cs="Arial" w:eastAsia="Arial" w:hAnsi="Arial"/>
                <w:sz w:val="18"/>
                <w:szCs w:val="18"/>
                <w:color w:val="auto"/>
              </w:rPr>
              <w:t>Total minimum payments</w:t>
            </w:r>
          </w:p>
        </w:tc>
        <w:tc>
          <w:tcPr>
            <w:tcW w:w="1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448</w:t>
            </w:r>
          </w:p>
        </w:tc>
        <w:tc>
          <w:tcPr>
            <w:tcW w:w="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50"/>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amount representing interest income</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4560" w:type="dxa"/>
            <w:vAlign w:val="bottom"/>
          </w:tcPr>
          <w:p>
            <w:pPr>
              <w:spacing w:after="0"/>
              <w:rPr>
                <w:sz w:val="21"/>
                <w:szCs w:val="21"/>
                <w:color w:val="auto"/>
              </w:rPr>
            </w:pPr>
          </w:p>
        </w:tc>
      </w:tr>
      <w:tr>
        <w:trPr>
          <w:trHeight w:val="203"/>
        </w:trPr>
        <w:tc>
          <w:tcPr>
            <w:tcW w:w="5460" w:type="dxa"/>
            <w:vAlign w:val="bottom"/>
          </w:tcPr>
          <w:p>
            <w:pPr>
              <w:spacing w:after="0" w:line="203" w:lineRule="exact"/>
              <w:rPr>
                <w:sz w:val="20"/>
                <w:szCs w:val="20"/>
                <w:color w:val="auto"/>
              </w:rPr>
            </w:pPr>
            <w:r>
              <w:rPr>
                <w:rFonts w:ascii="Arial" w:cs="Arial" w:eastAsia="Arial" w:hAnsi="Arial"/>
                <w:sz w:val="18"/>
                <w:szCs w:val="18"/>
                <w:color w:val="auto"/>
              </w:rPr>
              <w:t>Present value of future minimum note receivable</w:t>
            </w:r>
          </w:p>
        </w:tc>
        <w:tc>
          <w:tcPr>
            <w:tcW w:w="1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400</w:t>
            </w:r>
          </w:p>
        </w:tc>
        <w:tc>
          <w:tcPr>
            <w:tcW w:w="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50"/>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CCEEFF"/>
            </w:tcBorders>
            <w:shd w:val="clear" w:color="auto" w:fill="CCEEFF"/>
          </w:tcPr>
          <w:p>
            <w:pPr>
              <w:spacing w:after="0"/>
              <w:rPr>
                <w:sz w:val="21"/>
                <w:szCs w:val="21"/>
                <w:color w:val="auto"/>
              </w:rPr>
            </w:pPr>
          </w:p>
        </w:tc>
        <w:tc>
          <w:tcPr>
            <w:tcW w:w="4560" w:type="dxa"/>
            <w:vAlign w:val="bottom"/>
          </w:tcPr>
          <w:p>
            <w:pPr>
              <w:spacing w:after="0"/>
              <w:rPr>
                <w:sz w:val="21"/>
                <w:szCs w:val="21"/>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Note receivable net of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20"/>
        </w:trPr>
        <w:tc>
          <w:tcPr>
            <w:tcW w:w="5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89"/>
              </w:rPr>
              <w:t>11</w:t>
            </w: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Company recorded a loss of $69 during the nine months ended September 30, 2017, related to the sale of the PA Assets.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June 2017, in a separate transaction, the Company entered into an agreement to sell certain equipment to a third party for amount of $60 and closed the transaction in July 2017. The Company recorded a loss related to equipment of $52 during the nine months ended September 30,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Assets sold during the nine months ended September 30, 2017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5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79"/>
              </w:rPr>
              <w:t>413</w:t>
            </w:r>
          </w:p>
        </w:tc>
        <w:tc>
          <w:tcPr>
            <w:tcW w:w="80" w:type="dxa"/>
            <w:vAlign w:val="bottom"/>
            <w:shd w:val="clear" w:color="auto" w:fill="CCEEFF"/>
          </w:tcPr>
          <w:p>
            <w:pPr>
              <w:spacing w:after="0"/>
              <w:rPr>
                <w:sz w:val="18"/>
                <w:szCs w:val="18"/>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218</w:t>
            </w:r>
          </w:p>
        </w:tc>
      </w:tr>
      <w:tr>
        <w:trPr>
          <w:trHeight w:val="216"/>
        </w:trPr>
        <w:tc>
          <w:tcPr>
            <w:tcW w:w="5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79"/>
              </w:rPr>
              <w:t>631</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Loss on asset sale</w:t>
            </w:r>
          </w:p>
        </w:tc>
        <w:tc>
          <w:tcPr>
            <w:tcW w:w="140" w:type="dxa"/>
            <w:vAlign w:val="bottom"/>
          </w:tcPr>
          <w:p>
            <w:pPr>
              <w:spacing w:after="0"/>
              <w:rPr>
                <w:sz w:val="20"/>
                <w:szCs w:val="20"/>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w w:val="90"/>
              </w:rPr>
              <w:t>(121)</w:t>
            </w:r>
          </w:p>
        </w:tc>
      </w:tr>
      <w:tr>
        <w:trPr>
          <w:trHeight w:val="216"/>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sold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79"/>
              </w:rPr>
              <w:t>510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2017, the Company entered into a stock purchase agreement (the “SPA”) with Livernois &amp; London, LLC (“Livernois”). Pursuant to the terms of the SPA, the Company sold to Livernois 100% of the issued and outstanding shares of common stock of its Texas based subsidiary, ImprimisRx TX, Inc. dba ImprimisRx (“Imprimis TX”). The SPA did not transfer to Livernois any of the Company’s rights to intellectual property, products, clients, nor any of its existing business operations. As consideration for the purchase of Imprimis TX, Livernois paid the Company $10 and the Company assigned, and Livernois assumed, the remaining lease obligation totaling $113 for the Texas based facility. The Company recorded a loss of $173 from the sale of Imprimis TX for the nine months ended September 30, 2017, which is included in the accompanying condensed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September 30, 2017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periods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Net</w:t>
            </w:r>
          </w:p>
        </w:tc>
      </w:tr>
      <w:tr>
        <w:trPr>
          <w:trHeight w:val="237"/>
        </w:trPr>
        <w:tc>
          <w:tcPr>
            <w:tcW w:w="2740" w:type="dxa"/>
            <w:vAlign w:val="bottom"/>
          </w:tcPr>
          <w:p>
            <w:pPr>
              <w:spacing w:after="0"/>
              <w:rPr>
                <w:sz w:val="20"/>
                <w:szCs w:val="20"/>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 years)</w:t>
            </w:r>
          </w:p>
        </w:tc>
        <w:tc>
          <w:tcPr>
            <w:tcW w:w="280" w:type="dxa"/>
            <w:vAlign w:val="bottom"/>
          </w:tcPr>
          <w:p>
            <w:pPr>
              <w:spacing w:after="0"/>
              <w:rPr>
                <w:sz w:val="20"/>
                <w:szCs w:val="20"/>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Impairment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Carrying value</w:t>
            </w:r>
          </w:p>
        </w:tc>
      </w:tr>
      <w:tr>
        <w:trPr>
          <w:trHeight w:val="216"/>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Licenses</w:t>
            </w: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20 years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Indefinite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3-15 years</w:t>
            </w:r>
          </w:p>
        </w:tc>
        <w:tc>
          <w:tcPr>
            <w:tcW w:w="2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2,998</w:t>
            </w:r>
          </w:p>
        </w:tc>
        <w:tc>
          <w:tcPr>
            <w:tcW w:w="2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2,235</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5 years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Non-competition clause</w:t>
            </w: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3-4 years</w:t>
            </w:r>
          </w:p>
        </w:tc>
        <w:tc>
          <w:tcPr>
            <w:tcW w:w="2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5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25 years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7"/>
        </w:trPr>
        <w:tc>
          <w:tcPr>
            <w:tcW w:w="27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w:t>
            </w: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360" w:type="dxa"/>
            <w:vAlign w:val="bottom"/>
            <w:tcBorders>
              <w:top w:val="single" w:sz="8" w:color="CCEEFF"/>
            </w:tcBorders>
          </w:tcPr>
          <w:p>
            <w:pPr>
              <w:jc w:val="right"/>
              <w:ind w:right="2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Borders>
              <w:top w:val="single" w:sz="8" w:color="CCEEFF"/>
            </w:tcBorders>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2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Amortization expense for intangible assets for the three and nine months ended September 30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300" w:type="dxa"/>
            <w:vAlign w:val="bottom"/>
          </w:tcPr>
          <w:p>
            <w:pPr>
              <w:jc w:val="center"/>
              <w:ind w:left="94"/>
              <w:spacing w:after="0"/>
              <w:rPr>
                <w:sz w:val="20"/>
                <w:szCs w:val="20"/>
                <w:color w:val="auto"/>
              </w:rPr>
            </w:pPr>
            <w:r>
              <w:rPr>
                <w:rFonts w:ascii="Arial" w:cs="Arial" w:eastAsia="Arial" w:hAnsi="Arial"/>
                <w:sz w:val="18"/>
                <w:szCs w:val="18"/>
                <w:color w:val="auto"/>
                <w:w w:val="91"/>
              </w:rPr>
              <w:t>For the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1"/>
              </w:rPr>
              <w:t>For the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r>
      <w:tr>
        <w:trPr>
          <w:trHeight w:val="216"/>
        </w:trPr>
        <w:tc>
          <w:tcPr>
            <w:tcW w:w="4360" w:type="dxa"/>
            <w:vAlign w:val="bottom"/>
          </w:tcPr>
          <w:p>
            <w:pPr>
              <w:spacing w:after="0"/>
              <w:rPr>
                <w:sz w:val="18"/>
                <w:szCs w:val="18"/>
                <w:color w:val="auto"/>
              </w:rPr>
            </w:pPr>
          </w:p>
        </w:tc>
        <w:tc>
          <w:tcPr>
            <w:tcW w:w="1300" w:type="dxa"/>
            <w:vAlign w:val="bottom"/>
          </w:tcPr>
          <w:p>
            <w:pPr>
              <w:jc w:val="center"/>
              <w:ind w:left="114"/>
              <w:spacing w:after="0"/>
              <w:rPr>
                <w:sz w:val="20"/>
                <w:szCs w:val="20"/>
                <w:color w:val="auto"/>
              </w:rPr>
            </w:pPr>
            <w:r>
              <w:rPr>
                <w:rFonts w:ascii="Arial" w:cs="Arial" w:eastAsia="Arial" w:hAnsi="Arial"/>
                <w:sz w:val="18"/>
                <w:szCs w:val="18"/>
                <w:color w:val="auto"/>
                <w:w w:val="91"/>
              </w:rPr>
              <w:t>Three Months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91"/>
              </w:rPr>
              <w:t>Three Months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300" w:type="dxa"/>
            <w:vAlign w:val="bottom"/>
          </w:tcPr>
          <w:p>
            <w:pPr>
              <w:jc w:val="center"/>
              <w:ind w:left="114"/>
              <w:spacing w:after="0"/>
              <w:rPr>
                <w:sz w:val="20"/>
                <w:szCs w:val="20"/>
                <w:color w:val="auto"/>
              </w:rPr>
            </w:pPr>
            <w:r>
              <w:rPr>
                <w:rFonts w:ascii="Arial" w:cs="Arial" w:eastAsia="Arial" w:hAnsi="Arial"/>
                <w:sz w:val="18"/>
                <w:szCs w:val="18"/>
                <w:color w:val="auto"/>
                <w:w w:val="88"/>
              </w:rPr>
              <w:t>Ended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88"/>
              </w:rPr>
              <w:t>Ended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Nine Months Ended</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4360" w:type="dxa"/>
            <w:vAlign w:val="bottom"/>
          </w:tcPr>
          <w:p>
            <w:pPr>
              <w:spacing w:after="0"/>
              <w:rPr>
                <w:sz w:val="19"/>
                <w:szCs w:val="19"/>
                <w:color w:val="auto"/>
              </w:rPr>
            </w:pPr>
          </w:p>
        </w:tc>
        <w:tc>
          <w:tcPr>
            <w:tcW w:w="1300" w:type="dxa"/>
            <w:vAlign w:val="bottom"/>
          </w:tcPr>
          <w:p>
            <w:pPr>
              <w:jc w:val="center"/>
              <w:ind w:left="94"/>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September 30,</w:t>
            </w:r>
          </w:p>
        </w:tc>
      </w:tr>
      <w:tr>
        <w:trPr>
          <w:trHeight w:val="237"/>
        </w:trPr>
        <w:tc>
          <w:tcPr>
            <w:tcW w:w="436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ind w:left="94"/>
              <w:spacing w:after="0"/>
              <w:rPr>
                <w:sz w:val="20"/>
                <w:szCs w:val="20"/>
                <w:color w:val="auto"/>
              </w:rPr>
            </w:pPr>
            <w:r>
              <w:rPr>
                <w:rFonts w:ascii="Arial" w:cs="Arial" w:eastAsia="Arial" w:hAnsi="Arial"/>
                <w:sz w:val="18"/>
                <w:szCs w:val="18"/>
                <w:color w:val="auto"/>
                <w:w w:val="89"/>
              </w:rPr>
              <w:t>2017</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9"/>
              </w:rPr>
              <w:t>2016</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300" w:type="dxa"/>
            <w:vAlign w:val="bottom"/>
            <w:shd w:val="clear" w:color="auto" w:fill="CCEEFF"/>
          </w:tcPr>
          <w:p>
            <w:pPr>
              <w:jc w:val="right"/>
              <w:ind w:right="113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Licenses</w:t>
            </w:r>
          </w:p>
        </w:tc>
        <w:tc>
          <w:tcPr>
            <w:tcW w:w="1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Trade name</w:t>
            </w:r>
          </w:p>
        </w:tc>
        <w:tc>
          <w:tcPr>
            <w:tcW w:w="1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30"/>
        </w:trPr>
        <w:tc>
          <w:tcPr>
            <w:tcW w:w="436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3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September 30, 2017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r>
      <w:tr>
        <w:trPr>
          <w:trHeight w:val="237"/>
        </w:trPr>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60" w:type="dxa"/>
            <w:vAlign w:val="bottom"/>
            <w:tcBorders>
              <w:bottom w:val="single" w:sz="8" w:color="CCEEFF"/>
            </w:tcBorders>
          </w:tcPr>
          <w:p>
            <w:pPr>
              <w:spacing w:after="0"/>
              <w:rPr>
                <w:sz w:val="20"/>
                <w:szCs w:val="20"/>
                <w:color w:val="auto"/>
              </w:rPr>
            </w:pPr>
          </w:p>
        </w:tc>
      </w:tr>
      <w:tr>
        <w:trPr>
          <w:trHeight w:val="230"/>
        </w:trPr>
        <w:tc>
          <w:tcPr>
            <w:tcW w:w="35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the carrying value of the Company’s goodwill during the nine months ended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NOTE 9. ACCOUNTS PAYABLE AND ACCRUED EXPENSES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w w:val="98"/>
              </w:rPr>
              <w:t>Accounts payable and accrued expenses consisted of the following:</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5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(see Note 10)</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Accrued exit fee for notes payable (see Note 10)</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18"/>
                <w:szCs w:val="18"/>
                <w:color w:val="auto"/>
              </w:rPr>
            </w:pPr>
          </w:p>
        </w:tc>
      </w:tr>
      <w:tr>
        <w:trPr>
          <w:trHeight w:val="23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Building lease liability</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accounts payable and accrued expenses</w:t>
            </w: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4,835</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4,205</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(3,538)</w:t>
            </w: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Non-current total accrued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800</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667</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and Life Sciences Alternative Funding, LLC (“LSAF”) originally entered into a loan and security agreement (the “LSAF Loan”) on May 11, 2015, which was most recently amended on December 27, 2016. In July 2017, the Company entered into a term loan and security agreement in the principal amount of $16,000 (the “SWK Loan Agreement” or “SWK Loan”) with SWK Funding LLC and its partners (“SWK”), as lender and collateral agent. The SWK Loan Agreement was fully funded at closing with a five-year term, however, such term may be reduced to four years if certain revenue requirements are not achieved. Concurrently with the funding, the Company utilized a portion of the SWK Loan funds as full payment to an affiliate of LSAF to terminate all amounts due to LSAF in connection with the LSAF Loan. In total, including previously made principal payments, the Company made payments of $13,999 to pay-off the LSAF Loan, which also included the previously accrued exit fee, interest paid in kind and other expenses related to the payoff. The Company also recorded a loss on early extinguishment of debt during the three and nine months ended September 30, 2017 of $884 related to the pay-off.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7"/>
          <w:szCs w:val="17"/>
          <w:color w:val="auto"/>
        </w:rPr>
        <w:t>The SWK Loan bears interest at a variable rate equal to the three-month London Inter-Bank Offered Rate (subject to a minimum of 1.50% and maximum of 3.00%), plus an applicable margin of 10.50%. The SWK Loan Agreement permits the Company to pay interest only on the principal amount loaned thereunder for the first six payments (payments are due on a quarterly basis), which interest-only period may be reduced to four payments if the Company does not meet certain minimum revenue requirements. Following the interest-only period, the Company will be required to pay interest, plus repayments of the principal amount loaned under the SWK Loan Agreement, in quarterly payments, which shall not exceed $750 per quarter. All amounts owed under the SWK Loan Agreement, including a final fee equal to 5% of the aggregate principal amount loaned thereunder, will be due and payable on July 19, 2022, or if certain revenue requirements are not met, July 19, 2021. The Company may elect to prepay all, but not less than all, of the amounts owed under the SWK Loan Agreement prior to the maturity date at any time after July 19, 2019. If certain revenue requirements are not met, the Company may be allowed to prepay the loan from July 19, 2018 to July 19, 2019, provided that a prepayment fee equal to 6% of the principal amount of the loan will also be due. The Company is also obligated under the SWK Loan Agreement to pay for certain expenses incurred by the SWK Lender through and after the date of the SWK Loan Agreement, including certain fees and expenses relating to the preparation and administration of the SWK Loan Agreement. The Company incurred expenses and final fee of approximately $1,282 in connection with the Loan Agreement. The final fee and expenses are being amortized as interest expense over the term of the debt using the interest method and the related liability of $800 for the final fee is included in accrued expenses (see Note 9) in the accompanying condensed consolidated balance sheet.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SWK Loan Agreement, the Company issued to SWK warrants to purchase up to 415,586 shares of the Company’s common stock (the “Lender Warrants”) with an exercise price of $3.08. In August 2017, the Company and SWK amended the warrants, to allow for the purchase up to 615,386 warrants with an exercise price of $2.08. The Lender Warrants are exercisable immediately, and have a term of 7 years. The Lender Warrants are subject to a cashless exercise feature, with the exercise price and number of shares issuable upon exercise subject to change in connection with stock splits, dividends, reclassifications and other conditions. The relative fair value of the Lender Warrants were approximately $1,046 and was estimated using the Black-Scholes-Merton model with the following assumptions: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warrants granted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relative fair value of the Lender Warrants was recorded as a debt discount, decreasing notes payable and increasing additional paid-in capital on the accompanying condensed consolidated balance sheet. The debt discount is being amortized to interest expense over the term of the debt using the interest method. During the three and nine months ended September 30, 2017, debt discount amortization related to notes payable were $141 and $680, respectively, and $265 and $791 during the three and nine months ended September 30,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future minimum payments under the Company’s notes payable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top w:val="single" w:sz="8" w:color="CCEEFF"/>
            </w:tcBorders>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3,440</w:t>
            </w: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11,201</w:t>
            </w:r>
          </w:p>
        </w:tc>
        <w:tc>
          <w:tcPr>
            <w:tcW w:w="80" w:type="dxa"/>
            <w:vAlign w:val="bottom"/>
            <w:tcBorders>
              <w:bottom w:val="single" w:sz="8" w:color="CCEEFF"/>
            </w:tcBorders>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24,199</w:t>
            </w:r>
          </w:p>
        </w:tc>
        <w:tc>
          <w:tcPr>
            <w:tcW w:w="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(7,949)</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gross (including accrued interest of $251)</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16,251</w:t>
            </w:r>
          </w:p>
        </w:tc>
        <w:tc>
          <w:tcPr>
            <w:tcW w:w="80" w:type="dxa"/>
            <w:vAlign w:val="bottom"/>
            <w:tcBorders>
              <w:top w:val="single" w:sz="8" w:color="CCEEFF"/>
            </w:tcBorders>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Less: unamortized discount</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(2,123)</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Note payable (including accrued interest of $251), net of unamortized debt discount</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564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54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11. CAPITAL LEASE OBLIGATION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future payments under the Company’s capital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773</w:t>
            </w:r>
          </w:p>
        </w:tc>
        <w:tc>
          <w:tcPr>
            <w:tcW w:w="40" w:type="dxa"/>
            <w:vAlign w:val="bottom"/>
          </w:tcPr>
          <w:p>
            <w:pPr>
              <w:spacing w:after="0"/>
              <w:rPr>
                <w:sz w:val="18"/>
                <w:szCs w:val="18"/>
                <w:color w:val="auto"/>
              </w:rPr>
            </w:pPr>
          </w:p>
        </w:tc>
      </w:tr>
      <w:tr>
        <w:trPr>
          <w:trHeight w:val="23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40" w:type="dxa"/>
            <w:vAlign w:val="bottom"/>
            <w:shd w:val="clear" w:color="auto" w:fill="CCEEFF"/>
          </w:tcPr>
          <w:p>
            <w:pPr>
              <w:spacing w:after="0"/>
              <w:rPr>
                <w:sz w:val="20"/>
                <w:szCs w:val="20"/>
                <w:color w:val="auto"/>
              </w:rPr>
            </w:pPr>
          </w:p>
        </w:tc>
      </w:tr>
      <w:tr>
        <w:trPr>
          <w:trHeight w:val="203"/>
        </w:trPr>
        <w:tc>
          <w:tcPr>
            <w:tcW w:w="5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1,718</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03"/>
        </w:trPr>
        <w:tc>
          <w:tcPr>
            <w:tcW w:w="5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w:t>
            </w: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1,590</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03"/>
        </w:trPr>
        <w:tc>
          <w:tcPr>
            <w:tcW w:w="57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1,445</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net of unamortized discount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03"/>
        </w:trPr>
        <w:tc>
          <w:tcPr>
            <w:tcW w:w="5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Capital lease obligation net of current portion and unamortized discount</w:t>
            </w:r>
          </w:p>
        </w:tc>
        <w:tc>
          <w:tcPr>
            <w:tcW w:w="2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883</w:t>
            </w:r>
          </w:p>
        </w:tc>
        <w:tc>
          <w:tcPr>
            <w:tcW w:w="20" w:type="dxa"/>
            <w:vAlign w:val="bottom"/>
            <w:tcBorders>
              <w:top w:val="single" w:sz="8" w:color="CCEEFF"/>
              <w:bottom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2017, debt discount amortization related to the capital lease obligation was $40 and $133,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we entered into securities purchase agreements with two accredited investors, which provided for the sale by the Company of 1,312,500 shares of its common stock, at a price of $2.40 per share (the “Registered Offering”). We received net proceeds of $2,940 after deducting the underwriter discount of 6% of the gross proceeds from the Registered Offering and other related expenses.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March 2017, the Company issued 25,000 shares of its restricted common stock, with a fair value of $60, as payment for investor relations related services.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2017, the Company issued 100,000 shares of common stock as a result of warrant exercises. The Company received cash proceeds of $179 upon the exercise of the warrants with an exercise price of $1.79.</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November 2015, the Company entered into a 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(the “Sales Agreement”) with Cantor Fitzgerald &amp; Co., as agent (“Cantor Fitzgerald”), pursuant to which the Company may offer and sell, from time to time through Cantor Fitzgerald, shares of our common stock having an aggregate offering price as set forth in the Sales Agreement and a related prospectus supplement filed with the Securities and Exchange Commission. The Company agreed to pay Cantor Fitzgerald a cash commission of 3.0% of the aggregate gross proceeds from each sale of shares under the Sales Agreement. The Company sold 96,946 shares of common stock and received net proceeds of $162, after deducting $5 for sales commission and offering expenses, under the Sales Agreement during the nine months ended September 30, 2017, leaving an aggregate of $9,031 available for future sales of shares thereunder as of September 30, 2017.</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During the nine months ended September 30, 2017, 41,099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still outstanding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“Plans”)). As of September 30, 2017, the 2017 Plan provide for the issuance of a maximum of 2,000,000 shares of the Company’s common stock. The purpose of the Plans is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for the nine months ended September 30, 2017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center"/>
              <w:ind w:left="180"/>
              <w:spacing w:after="0"/>
              <w:rPr>
                <w:sz w:val="20"/>
                <w:szCs w:val="20"/>
                <w:color w:val="auto"/>
              </w:rPr>
            </w:pPr>
            <w:r>
              <w:rPr>
                <w:rFonts w:ascii="Arial" w:cs="Arial" w:eastAsia="Arial" w:hAnsi="Arial"/>
                <w:sz w:val="18"/>
                <w:szCs w:val="18"/>
                <w:color w:val="auto"/>
                <w:w w:val="92"/>
              </w:rPr>
              <w:t>Weighted</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center"/>
              <w:ind w:left="180"/>
              <w:spacing w:after="0"/>
              <w:rPr>
                <w:sz w:val="20"/>
                <w:szCs w:val="20"/>
                <w:color w:val="auto"/>
              </w:rPr>
            </w:pPr>
            <w:r>
              <w:rPr>
                <w:rFonts w:ascii="Arial" w:cs="Arial" w:eastAsia="Arial" w:hAnsi="Arial"/>
                <w:sz w:val="18"/>
                <w:szCs w:val="18"/>
                <w:color w:val="auto"/>
                <w:w w:val="94"/>
              </w:rPr>
              <w:t>Avg.</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center"/>
              <w:ind w:left="180"/>
              <w:spacing w:after="0"/>
              <w:rPr>
                <w:sz w:val="20"/>
                <w:szCs w:val="20"/>
                <w:color w:val="auto"/>
              </w:rPr>
            </w:pPr>
            <w:r>
              <w:rPr>
                <w:rFonts w:ascii="Arial" w:cs="Arial" w:eastAsia="Arial" w:hAnsi="Arial"/>
                <w:sz w:val="18"/>
                <w:szCs w:val="18"/>
                <w:color w:val="auto"/>
                <w:w w:val="89"/>
              </w:rPr>
              <w:t>Exercise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Remaining Contractual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 shares</w:t>
            </w:r>
          </w:p>
        </w:tc>
        <w:tc>
          <w:tcPr>
            <w:tcW w:w="960" w:type="dxa"/>
            <w:vAlign w:val="bottom"/>
          </w:tcPr>
          <w:p>
            <w:pPr>
              <w:jc w:val="right"/>
              <w:ind w:right="60"/>
              <w:spacing w:after="0"/>
              <w:rPr>
                <w:sz w:val="20"/>
                <w:szCs w:val="20"/>
                <w:color w:val="auto"/>
              </w:rPr>
            </w:pPr>
            <w:r>
              <w:rPr>
                <w:rFonts w:ascii="Arial" w:cs="Arial" w:eastAsia="Arial" w:hAnsi="Arial"/>
                <w:sz w:val="18"/>
                <w:szCs w:val="18"/>
                <w:color w:val="auto"/>
              </w:rPr>
              <w:t>Price</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rPr>
              <w:t>Life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2017</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2,013,313</w:t>
            </w:r>
          </w:p>
        </w:tc>
        <w:tc>
          <w:tcPr>
            <w:tcW w:w="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6.20</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533,500</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1.92</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2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(283,740)</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4.25</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September 30, 2017</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2,263,073</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5.51</w:t>
            </w:r>
          </w:p>
        </w:tc>
        <w:tc>
          <w:tcPr>
            <w:tcW w:w="18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w:t>
            </w:r>
          </w:p>
        </w:tc>
        <w:tc>
          <w:tcPr>
            <w:tcW w:w="3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60" w:type="dxa"/>
            <w:vAlign w:val="bottom"/>
            <w:vMerge w:val="restart"/>
          </w:tcPr>
          <w:p>
            <w:pPr>
              <w:jc w:val="right"/>
              <w:ind w:right="800"/>
              <w:spacing w:after="0"/>
              <w:rPr>
                <w:sz w:val="20"/>
                <w:szCs w:val="20"/>
                <w:color w:val="auto"/>
              </w:rPr>
            </w:pPr>
            <w:r>
              <w:rPr>
                <w:rFonts w:ascii="Arial" w:cs="Arial" w:eastAsia="Arial" w:hAnsi="Arial"/>
                <w:sz w:val="15"/>
                <w:szCs w:val="15"/>
                <w:color w:val="auto"/>
                <w:w w:val="71"/>
              </w:rPr>
              <w:t>$</w:t>
            </w:r>
          </w:p>
        </w:tc>
        <w:tc>
          <w:tcPr>
            <w:tcW w:w="6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79"/>
              </w:rPr>
              <w:t>5.90</w:t>
            </w:r>
          </w:p>
        </w:tc>
        <w:tc>
          <w:tcPr>
            <w:tcW w:w="1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6.46</w:t>
            </w: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911,005</w:t>
            </w:r>
          </w:p>
        </w:tc>
        <w:tc>
          <w:tcPr>
            <w:tcW w:w="36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640" w:type="dxa"/>
            <w:vAlign w:val="bottom"/>
            <w:tcBorders>
              <w:bottom w:val="single" w:sz="8" w:color="CCEEFF"/>
            </w:tcBorders>
            <w:gridSpan w:val="2"/>
            <w:vMerge w:val="continue"/>
          </w:tcPr>
          <w:p>
            <w:pPr>
              <w:spacing w:after="0"/>
              <w:rPr>
                <w:sz w:val="20"/>
                <w:szCs w:val="20"/>
                <w:color w:val="auto"/>
              </w:rPr>
            </w:pPr>
          </w:p>
        </w:tc>
        <w:tc>
          <w:tcPr>
            <w:tcW w:w="1860" w:type="dxa"/>
            <w:vAlign w:val="bottom"/>
            <w:tcBorders>
              <w:bottom w:val="single" w:sz="8" w:color="CCEEFF"/>
            </w:tcBorders>
            <w:gridSpan w:val="2"/>
            <w:vMerge w:val="continue"/>
          </w:tcPr>
          <w:p>
            <w:pPr>
              <w:spacing w:after="0"/>
              <w:rPr>
                <w:sz w:val="20"/>
                <w:szCs w:val="20"/>
                <w:color w:val="auto"/>
              </w:rPr>
            </w:pPr>
          </w:p>
        </w:tc>
        <w:tc>
          <w:tcPr>
            <w:tcW w:w="320" w:type="dxa"/>
            <w:vAlign w:val="bottom"/>
            <w:tcBorders>
              <w:bottom w:val="single" w:sz="8" w:color="CCEEFF"/>
            </w:tcBorders>
            <w:gridSpan w:val="2"/>
            <w:vMerge w:val="continue"/>
          </w:tcPr>
          <w:p>
            <w:pPr>
              <w:spacing w:after="0"/>
              <w:rPr>
                <w:sz w:val="20"/>
                <w:szCs w:val="20"/>
                <w:color w:val="auto"/>
              </w:rPr>
            </w:pPr>
          </w:p>
        </w:tc>
        <w:tc>
          <w:tcPr>
            <w:tcW w:w="12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expected to vest</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2,123,576</w:t>
            </w:r>
          </w:p>
        </w:tc>
        <w:tc>
          <w:tcPr>
            <w:tcW w:w="3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79"/>
              </w:rPr>
              <w:t>5.53</w:t>
            </w:r>
          </w:p>
        </w:tc>
        <w:tc>
          <w:tcPr>
            <w:tcW w:w="1860" w:type="dxa"/>
            <w:vAlign w:val="bottom"/>
            <w:tcBorders>
              <w:bottom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6.34</w:t>
            </w:r>
          </w:p>
        </w:tc>
        <w:tc>
          <w:tcPr>
            <w:tcW w:w="320" w:type="dxa"/>
            <w:vAlign w:val="bottom"/>
            <w:tcBorders>
              <w:bottom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30, 2017, based on the closing price of the Company’s common stock of $1.61 on that date.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30, 2017, the Company granted stock options to certain employees.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nine months ended September 30, 2017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jc w:val="both"/>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5.81 - 6.11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1.90 - 1.92%</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September 30,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Options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8"/>
              </w:rPr>
              <w:t>Exercisable</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Weighted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Weighted</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r>
      <w:tr>
        <w:trPr>
          <w:trHeight w:val="216"/>
        </w:trPr>
        <w:tc>
          <w:tcPr>
            <w:tcW w:w="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Remaining</w:t>
            </w:r>
          </w:p>
        </w:tc>
        <w:tc>
          <w:tcPr>
            <w:tcW w:w="22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Average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r>
      <w:tr>
        <w:trPr>
          <w:trHeight w:val="230"/>
        </w:trPr>
        <w:tc>
          <w:tcPr>
            <w:tcW w:w="4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Contractual</w:t>
            </w:r>
          </w:p>
        </w:tc>
        <w:tc>
          <w:tcPr>
            <w:tcW w:w="22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Exercise</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Number</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r>
      <w:tr>
        <w:trPr>
          <w:trHeight w:val="237"/>
        </w:trPr>
        <w:tc>
          <w:tcPr>
            <w:tcW w:w="3560" w:type="dxa"/>
            <w:vAlign w:val="bottom"/>
            <w:gridSpan w:val="3"/>
          </w:tcPr>
          <w:p>
            <w:pPr>
              <w:spacing w:after="0"/>
              <w:rPr>
                <w:sz w:val="20"/>
                <w:szCs w:val="20"/>
                <w:color w:val="auto"/>
              </w:rPr>
            </w:pPr>
            <w:r>
              <w:rPr>
                <w:rFonts w:ascii="Arial" w:cs="Arial" w:eastAsia="Arial" w:hAnsi="Arial"/>
                <w:sz w:val="18"/>
                <w:szCs w:val="18"/>
                <w:color w:val="auto"/>
              </w:rPr>
              <w:t>Range of Exercise Prices</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Life in Years</w:t>
            </w:r>
          </w:p>
        </w:tc>
        <w:tc>
          <w:tcPr>
            <w:tcW w:w="2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Price</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Exercisable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r>
      <w:tr>
        <w:trPr>
          <w:trHeight w:val="216"/>
        </w:trPr>
        <w:tc>
          <w:tcPr>
            <w:tcW w:w="3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$1.70 - $2.60</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583,000</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169,998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$3.20</w:t>
            </w:r>
          </w:p>
        </w:tc>
        <w:tc>
          <w:tcPr>
            <w:tcW w:w="3000" w:type="dxa"/>
            <w:vAlign w:val="bottom"/>
          </w:tcPr>
          <w:p>
            <w:pPr>
              <w:ind w:left="20"/>
              <w:spacing w:after="0"/>
              <w:rPr>
                <w:sz w:val="20"/>
                <w:szCs w:val="20"/>
                <w:color w:val="auto"/>
              </w:rPr>
            </w:pPr>
            <w:r>
              <w:rPr>
                <w:rFonts w:ascii="Arial" w:cs="Arial" w:eastAsia="Arial" w:hAnsi="Arial"/>
                <w:sz w:val="18"/>
                <w:szCs w:val="18"/>
                <w:color w:val="auto"/>
              </w:rPr>
              <w:t>- $4.50</w:t>
            </w:r>
          </w:p>
        </w:tc>
        <w:tc>
          <w:tcPr>
            <w:tcW w:w="1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542,625</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247,501</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$5.49</w:t>
            </w: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$6.36</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107,286</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103,218</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$6.64</w:t>
            </w:r>
          </w:p>
        </w:tc>
        <w:tc>
          <w:tcPr>
            <w:tcW w:w="3000" w:type="dxa"/>
            <w:vAlign w:val="bottom"/>
          </w:tcPr>
          <w:p>
            <w:pPr>
              <w:ind w:left="20"/>
              <w:spacing w:after="0"/>
              <w:rPr>
                <w:sz w:val="20"/>
                <w:szCs w:val="20"/>
                <w:color w:val="auto"/>
              </w:rPr>
            </w:pPr>
            <w:r>
              <w:rPr>
                <w:rFonts w:ascii="Arial" w:cs="Arial" w:eastAsia="Arial" w:hAnsi="Arial"/>
                <w:sz w:val="18"/>
                <w:szCs w:val="18"/>
                <w:color w:val="auto"/>
              </w:rPr>
              <w:t>- $8.99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1,025,132</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7.98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385,258</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r>
      <w:tr>
        <w:trPr>
          <w:trHeight w:val="25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$42.80</w:t>
            </w: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5,030</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5,030</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r>
      <w:tr>
        <w:trPr>
          <w:trHeight w:val="217"/>
        </w:trPr>
        <w:tc>
          <w:tcPr>
            <w:tcW w:w="44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3"/>
              </w:rPr>
              <w:t>$1.70</w:t>
            </w:r>
          </w:p>
        </w:tc>
        <w:tc>
          <w:tcPr>
            <w:tcW w:w="30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 $42.80</w:t>
            </w: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2,263,073</w:t>
            </w:r>
          </w:p>
        </w:tc>
        <w:tc>
          <w:tcPr>
            <w:tcW w:w="2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6.37</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5.51</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911,005</w:t>
            </w:r>
          </w:p>
        </w:tc>
        <w:tc>
          <w:tcPr>
            <w:tcW w:w="20" w:type="dxa"/>
            <w:vAlign w:val="bottom"/>
            <w:tcBorders>
              <w:top w:val="single" w:sz="8" w:color="CCEEFF"/>
              <w:bottom w:val="single" w:sz="8" w:color="auto"/>
            </w:tcBorders>
          </w:tcPr>
          <w:p>
            <w:pPr>
              <w:spacing w:after="0"/>
              <w:rPr>
                <w:sz w:val="18"/>
                <w:szCs w:val="18"/>
                <w:color w:val="auto"/>
              </w:rPr>
            </w:pPr>
          </w:p>
        </w:tc>
        <w:tc>
          <w:tcPr>
            <w:tcW w:w="42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5.90</w:t>
            </w:r>
          </w:p>
        </w:tc>
      </w:tr>
      <w:tr>
        <w:trPr>
          <w:trHeight w:val="20"/>
        </w:trPr>
        <w:tc>
          <w:tcPr>
            <w:tcW w:w="4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2017, there was approximately $3,000 of total unrecognized compensation expense related to unvested stock options granted under the Plans. That expense is expected to be recognized over the weighted-average remaining vesting period of 2.7 years. The stock-based compensation expense for all stock options was $347 and $1,296 during the three and nine months ended September 30,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 summary of the Company’s RSU activity and related information for the nine months ended September 30, 2017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 Average Grant</w:t>
            </w:r>
          </w:p>
        </w:tc>
      </w:tr>
      <w:tr>
        <w:trPr>
          <w:trHeight w:val="237"/>
        </w:trPr>
        <w:tc>
          <w:tcPr>
            <w:tcW w:w="5980" w:type="dxa"/>
            <w:vAlign w:val="bottom"/>
          </w:tcPr>
          <w:p>
            <w:pPr>
              <w:spacing w:after="0"/>
              <w:rPr>
                <w:sz w:val="20"/>
                <w:szCs w:val="20"/>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Number of RSUs</w:t>
            </w:r>
          </w:p>
        </w:tc>
        <w:tc>
          <w:tcPr>
            <w:tcW w:w="120" w:type="dxa"/>
            <w:vAlign w:val="bottom"/>
          </w:tcPr>
          <w:p>
            <w:pPr>
              <w:spacing w:after="0"/>
              <w:rPr>
                <w:sz w:val="20"/>
                <w:szCs w:val="20"/>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Date Fair Value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2017</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1,292,876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RSUs granted</w:t>
            </w:r>
          </w:p>
        </w:tc>
        <w:tc>
          <w:tcPr>
            <w:tcW w:w="2060" w:type="dxa"/>
            <w:vAlign w:val="bottom"/>
            <w:gridSpan w:val="2"/>
          </w:tcPr>
          <w:p>
            <w:pPr>
              <w:jc w:val="right"/>
              <w:ind w:right="300"/>
              <w:spacing w:after="0"/>
              <w:rPr>
                <w:sz w:val="20"/>
                <w:szCs w:val="20"/>
                <w:color w:val="auto"/>
              </w:rPr>
            </w:pPr>
            <w:r>
              <w:rPr>
                <w:rFonts w:ascii="Arial" w:cs="Arial" w:eastAsia="Arial" w:hAnsi="Arial"/>
                <w:sz w:val="18"/>
                <w:szCs w:val="18"/>
                <w:color w:val="auto"/>
              </w:rPr>
              <w:t>62,892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23"/>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cancelled/forfeit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September 30, 2017</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1,314,669</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0"/>
        </w:trPr>
        <w:tc>
          <w:tcPr>
            <w:tcW w:w="59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2017, the total unrecognized compensation expense related to unvested RSUs was approximately $1,295, which is expected to be recognized over a weighted-average period of 1.1 years, based on estimated and actual vesting schedules of the applicable RSUs. The stock-based compensation for RSUs during the three and nine months ended September 30, 2017 was $302 and $909,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settlement agreements and other non-employees for services rendered or to be rendered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for the nine months ended September 30, 2017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gridSpan w:val="7"/>
          </w:tcPr>
          <w:p>
            <w:pPr>
              <w:jc w:val="right"/>
              <w:ind w:right="400"/>
              <w:spacing w:after="0"/>
              <w:rPr>
                <w:sz w:val="20"/>
                <w:szCs w:val="20"/>
                <w:color w:val="auto"/>
              </w:rPr>
            </w:pPr>
            <w:r>
              <w:rPr>
                <w:rFonts w:ascii="Arial" w:cs="Arial" w:eastAsia="Arial" w:hAnsi="Arial"/>
                <w:sz w:val="16"/>
                <w:szCs w:val="16"/>
                <w:color w:val="auto"/>
                <w:w w:val="92"/>
              </w:rPr>
              <w:t>Number of Shares Subject</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4"/>
          </w:tcPr>
          <w:p>
            <w:pPr>
              <w:jc w:val="center"/>
              <w:ind w:right="660"/>
              <w:spacing w:after="0"/>
              <w:rPr>
                <w:sz w:val="20"/>
                <w:szCs w:val="20"/>
                <w:color w:val="auto"/>
              </w:rPr>
            </w:pPr>
            <w:r>
              <w:rPr>
                <w:rFonts w:ascii="Arial" w:cs="Arial" w:eastAsia="Arial" w:hAnsi="Arial"/>
                <w:sz w:val="16"/>
                <w:szCs w:val="16"/>
                <w:color w:val="auto"/>
                <w:w w:val="88"/>
              </w:rPr>
              <w:t>Weighted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60" w:type="dxa"/>
            <w:vAlign w:val="bottom"/>
            <w:gridSpan w:val="7"/>
          </w:tcPr>
          <w:p>
            <w:pPr>
              <w:jc w:val="right"/>
              <w:ind w:right="480"/>
              <w:spacing w:after="0"/>
              <w:rPr>
                <w:sz w:val="20"/>
                <w:szCs w:val="20"/>
                <w:color w:val="auto"/>
              </w:rPr>
            </w:pPr>
            <w:r>
              <w:rPr>
                <w:rFonts w:ascii="Arial" w:cs="Arial" w:eastAsia="Arial" w:hAnsi="Arial"/>
                <w:sz w:val="16"/>
                <w:szCs w:val="16"/>
                <w:color w:val="auto"/>
                <w:w w:val="95"/>
              </w:rPr>
              <w:t>to Warrants Outstanding</w:t>
            </w:r>
          </w:p>
        </w:tc>
        <w:tc>
          <w:tcPr>
            <w:tcW w:w="280" w:type="dxa"/>
            <w:vAlign w:val="bottom"/>
          </w:tcPr>
          <w:p>
            <w:pPr>
              <w:spacing w:after="0"/>
              <w:rPr>
                <w:sz w:val="19"/>
                <w:szCs w:val="19"/>
                <w:color w:val="auto"/>
              </w:rPr>
            </w:pPr>
          </w:p>
        </w:tc>
        <w:tc>
          <w:tcPr>
            <w:tcW w:w="1820" w:type="dxa"/>
            <w:vAlign w:val="bottom"/>
            <w:gridSpan w:val="6"/>
          </w:tcPr>
          <w:p>
            <w:pPr>
              <w:jc w:val="center"/>
              <w:ind w:right="140"/>
              <w:spacing w:after="0"/>
              <w:rPr>
                <w:sz w:val="20"/>
                <w:szCs w:val="20"/>
                <w:color w:val="auto"/>
              </w:rPr>
            </w:pPr>
            <w:r>
              <w:rPr>
                <w:rFonts w:ascii="Arial" w:cs="Arial" w:eastAsia="Arial" w:hAnsi="Arial"/>
                <w:sz w:val="16"/>
                <w:szCs w:val="16"/>
                <w:color w:val="auto"/>
                <w:w w:val="92"/>
              </w:rPr>
              <w:t>Avg. Exercise Price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Warrants outstanding - January 1, 2017</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w w:val="89"/>
              </w:rPr>
              <w:t>5,748,829</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6"/>
                <w:szCs w:val="16"/>
                <w:color w:val="auto"/>
              </w:rPr>
              <w:t>Granted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6"/>
                <w:szCs w:val="16"/>
                <w:color w:val="auto"/>
              </w:rPr>
              <w:t>615,386</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3"/>
          </w:tcPr>
          <w:p>
            <w:pPr>
              <w:spacing w:after="0"/>
              <w:rPr>
                <w:sz w:val="20"/>
                <w:szCs w:val="20"/>
                <w:color w:val="auto"/>
              </w:rPr>
            </w:pPr>
            <w:r>
              <w:rPr>
                <w:rFonts w:ascii="Arial" w:cs="Arial" w:eastAsia="Arial" w:hAnsi="Arial"/>
                <w:sz w:val="16"/>
                <w:szCs w:val="16"/>
                <w:color w:val="auto"/>
              </w:rPr>
              <w:t>Expired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Warrants outstanding and exercisable - September 30, 2017</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6,264,215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gridSpan w:val="5"/>
            <w:vMerge w:val="restart"/>
          </w:tcPr>
          <w:p>
            <w:pPr>
              <w:spacing w:after="0"/>
              <w:rPr>
                <w:sz w:val="20"/>
                <w:szCs w:val="20"/>
                <w:color w:val="auto"/>
              </w:rPr>
            </w:pPr>
            <w:r>
              <w:rPr>
                <w:rFonts w:ascii="Arial" w:cs="Arial" w:eastAsia="Arial" w:hAnsi="Arial"/>
                <w:sz w:val="16"/>
                <w:szCs w:val="16"/>
                <w:color w:val="auto"/>
                <w:w w:val="98"/>
              </w:rPr>
              <w:t>Weighted average remaining contractual life of the outstanding warrants in years - September 30,</w:t>
            </w: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684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580" w:type="dxa"/>
            <w:vAlign w:val="bottom"/>
            <w:gridSpan w:val="2"/>
          </w:tcPr>
          <w:p>
            <w:pPr>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gridSpan w:val="8"/>
          </w:tcPr>
          <w:p>
            <w:pPr>
              <w:spacing w:after="0"/>
              <w:rPr>
                <w:sz w:val="20"/>
                <w:szCs w:val="20"/>
                <w:color w:val="auto"/>
              </w:rPr>
            </w:pPr>
            <w:r>
              <w:rPr>
                <w:rFonts w:ascii="Arial" w:cs="Arial" w:eastAsia="Arial" w:hAnsi="Arial"/>
                <w:sz w:val="18"/>
                <w:szCs w:val="18"/>
                <w:color w:val="auto"/>
                <w:w w:val="97"/>
              </w:rPr>
              <w:t>A list of the warrants outstanding as of September 30, 2017 is included in the following table:</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5"/>
          </w:tcPr>
          <w:p>
            <w:pPr>
              <w:jc w:val="right"/>
              <w:spacing w:after="0"/>
              <w:rPr>
                <w:sz w:val="20"/>
                <w:szCs w:val="20"/>
                <w:color w:val="auto"/>
              </w:rPr>
            </w:pPr>
            <w:r>
              <w:rPr>
                <w:rFonts w:ascii="Arial" w:cs="Arial" w:eastAsia="Arial" w:hAnsi="Arial"/>
                <w:sz w:val="18"/>
                <w:szCs w:val="18"/>
                <w:color w:val="auto"/>
                <w:w w:val="92"/>
              </w:rPr>
              <w:t>Warrants Outstanding</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7"/>
          </w:tcPr>
          <w:p>
            <w:pPr>
              <w:ind w:left="20"/>
              <w:spacing w:after="0"/>
              <w:rPr>
                <w:sz w:val="20"/>
                <w:szCs w:val="20"/>
                <w:color w:val="auto"/>
              </w:rPr>
            </w:pPr>
            <w:r>
              <w:rPr>
                <w:rFonts w:ascii="Arial" w:cs="Arial" w:eastAsia="Arial" w:hAnsi="Arial"/>
                <w:sz w:val="18"/>
                <w:szCs w:val="18"/>
                <w:color w:val="auto"/>
              </w:rPr>
              <w:t>Warrants Exercisable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Warrants</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Exercise</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0"/>
              </w:rPr>
              <w:t>Warrants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4"/>
              </w:rPr>
              <w:t>Expiration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gridSpan w:val="3"/>
          </w:tcPr>
          <w:p>
            <w:pPr>
              <w:spacing w:after="0"/>
              <w:rPr>
                <w:sz w:val="20"/>
                <w:szCs w:val="20"/>
                <w:color w:val="auto"/>
              </w:rPr>
            </w:pPr>
            <w:r>
              <w:rPr>
                <w:rFonts w:ascii="Arial" w:cs="Arial" w:eastAsia="Arial" w:hAnsi="Arial"/>
                <w:sz w:val="18"/>
                <w:szCs w:val="18"/>
                <w:color w:val="auto"/>
              </w:rPr>
              <w:t>Warrant Series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Issue Date</w:t>
            </w:r>
          </w:p>
        </w:tc>
        <w:tc>
          <w:tcPr>
            <w:tcW w:w="132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5"/>
          </w:tcPr>
          <w:p>
            <w:pPr>
              <w:jc w:val="center"/>
              <w:ind w:right="40"/>
              <w:spacing w:after="0"/>
              <w:rPr>
                <w:sz w:val="20"/>
                <w:szCs w:val="20"/>
                <w:color w:val="auto"/>
              </w:rPr>
            </w:pPr>
            <w:r>
              <w:rPr>
                <w:rFonts w:ascii="Arial" w:cs="Arial" w:eastAsia="Arial" w:hAnsi="Arial"/>
                <w:sz w:val="18"/>
                <w:szCs w:val="18"/>
                <w:color w:val="auto"/>
                <w:w w:val="90"/>
              </w:rPr>
              <w:t>Exercisable</w:t>
            </w:r>
          </w:p>
        </w:tc>
        <w:tc>
          <w:tcPr>
            <w:tcW w:w="180" w:type="dxa"/>
            <w:vAlign w:val="bottom"/>
          </w:tcPr>
          <w:p>
            <w:pPr>
              <w:spacing w:after="0"/>
              <w:rPr>
                <w:sz w:val="20"/>
                <w:szCs w:val="20"/>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5/11/2015</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Underwriter warrants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2/7/2013</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55,688</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ind w:left="240"/>
              <w:spacing w:after="0"/>
              <w:rPr>
                <w:sz w:val="20"/>
                <w:szCs w:val="20"/>
                <w:color w:val="auto"/>
              </w:rPr>
            </w:pPr>
            <w:r>
              <w:rPr>
                <w:rFonts w:ascii="Arial" w:cs="Arial" w:eastAsia="Arial" w:hAnsi="Arial"/>
                <w:sz w:val="18"/>
                <w:szCs w:val="18"/>
                <w:color w:val="auto"/>
                <w:w w:val="90"/>
              </w:rPr>
              <w:t>55,688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warrants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8/16/2016</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40,000</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0"/>
              </w:rPr>
              <w:t>40,000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8/16/2021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Warrants issued to investor relations consultant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7/19/2013</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60,000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ind w:left="240"/>
              <w:spacing w:after="0"/>
              <w:rPr>
                <w:sz w:val="20"/>
                <w:szCs w:val="20"/>
                <w:color w:val="auto"/>
              </w:rPr>
            </w:pPr>
            <w:r>
              <w:rPr>
                <w:rFonts w:ascii="Arial" w:cs="Arial" w:eastAsia="Arial" w:hAnsi="Arial"/>
                <w:sz w:val="18"/>
                <w:szCs w:val="18"/>
                <w:color w:val="auto"/>
                <w:w w:val="90"/>
              </w:rPr>
              <w:t>60,000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7/19/2018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Placement Agent Warrants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12/27/2016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210,313</w:t>
            </w: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210,313</w:t>
            </w: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12/27/2019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PIPE Investor Warrants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12/27/2016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5,157,828</w:t>
            </w:r>
          </w:p>
        </w:tc>
        <w:tc>
          <w:tcPr>
            <w:tcW w:w="40" w:type="dxa"/>
            <w:vAlign w:val="bottom"/>
          </w:tcPr>
          <w:p>
            <w:pPr>
              <w:spacing w:after="0"/>
              <w:rPr>
                <w:sz w:val="18"/>
                <w:szCs w:val="18"/>
                <w:color w:val="auto"/>
              </w:rPr>
            </w:pP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5,157,828</w:t>
            </w:r>
          </w:p>
        </w:tc>
        <w:tc>
          <w:tcPr>
            <w:tcW w:w="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12/27/2019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Lender warrants (see Note 10)</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7/19/2017</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615,386</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615,386</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7/19/2024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6,264,215</w:t>
            </w:r>
          </w:p>
        </w:tc>
        <w:tc>
          <w:tcPr>
            <w:tcW w:w="40" w:type="dxa"/>
            <w:vAlign w:val="bottom"/>
          </w:tcPr>
          <w:p>
            <w:pPr>
              <w:spacing w:after="0"/>
              <w:rPr>
                <w:sz w:val="18"/>
                <w:szCs w:val="18"/>
                <w:color w:val="auto"/>
              </w:rPr>
            </w:pP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6,264,215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18</w:t>
            </w: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For the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For the</w:t>
            </w:r>
          </w:p>
        </w:tc>
        <w:tc>
          <w:tcPr>
            <w:tcW w:w="140" w:type="dxa"/>
            <w:vAlign w:val="bottom"/>
          </w:tcPr>
          <w:p>
            <w:pPr>
              <w:spacing w:after="0"/>
              <w:rPr>
                <w:sz w:val="17"/>
                <w:szCs w:val="17"/>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color w:val="auto"/>
                <w:w w:val="90"/>
              </w:rPr>
              <w:t>For the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6"/>
                <w:szCs w:val="16"/>
                <w:color w:val="auto"/>
                <w:w w:val="94"/>
              </w:rPr>
              <w:t>For the</w:t>
            </w:r>
          </w:p>
        </w:tc>
      </w:tr>
      <w:tr>
        <w:trPr>
          <w:trHeight w:val="20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Three Months 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6"/>
                <w:szCs w:val="16"/>
                <w:color w:val="auto"/>
                <w:w w:val="90"/>
              </w:rPr>
              <w:t>Three Months Ended</w:t>
            </w:r>
          </w:p>
        </w:tc>
        <w:tc>
          <w:tcPr>
            <w:tcW w:w="140" w:type="dxa"/>
            <w:vAlign w:val="bottom"/>
          </w:tcPr>
          <w:p>
            <w:pPr>
              <w:spacing w:after="0"/>
              <w:rPr>
                <w:sz w:val="17"/>
                <w:szCs w:val="17"/>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color w:val="auto"/>
                <w:w w:val="92"/>
              </w:rPr>
              <w:t>Nine Months 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6"/>
                <w:szCs w:val="16"/>
                <w:color w:val="auto"/>
                <w:w w:val="93"/>
              </w:rPr>
              <w:t>Nine Months Ended</w:t>
            </w:r>
          </w:p>
        </w:tc>
      </w:tr>
      <w:tr>
        <w:trPr>
          <w:trHeight w:val="229"/>
        </w:trPr>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September 30, 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September 30, 2016</w:t>
            </w:r>
          </w:p>
        </w:tc>
        <w:tc>
          <w:tcPr>
            <w:tcW w:w="140" w:type="dxa"/>
            <w:vAlign w:val="bottom"/>
          </w:tcPr>
          <w:p>
            <w:pPr>
              <w:spacing w:after="0"/>
              <w:rPr>
                <w:sz w:val="19"/>
                <w:szCs w:val="19"/>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September 30, 2017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6"/>
                <w:szCs w:val="16"/>
                <w:color w:val="auto"/>
                <w:w w:val="89"/>
              </w:rPr>
              <w:t>September 30, 2016</w:t>
            </w:r>
          </w:p>
        </w:tc>
      </w:tr>
      <w:tr>
        <w:trPr>
          <w:trHeight w:val="203"/>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Employees - selling and marketing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Employees - general and administrative</w:t>
            </w:r>
          </w:p>
        </w:tc>
        <w:tc>
          <w:tcPr>
            <w:tcW w:w="14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1,657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2,465</w:t>
            </w:r>
          </w:p>
        </w:tc>
        <w:tc>
          <w:tcPr>
            <w:tcW w:w="80" w:type="dxa"/>
            <w:vAlign w:val="bottom"/>
          </w:tcPr>
          <w:p>
            <w:pPr>
              <w:spacing w:after="0"/>
              <w:rPr>
                <w:sz w:val="17"/>
                <w:szCs w:val="17"/>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Directors - general and administrative</w:t>
            </w: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Consultants - selling and marketing</w:t>
            </w:r>
          </w:p>
        </w:tc>
        <w:tc>
          <w:tcPr>
            <w:tcW w:w="14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23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 general and administrative</w:t>
            </w:r>
          </w:p>
        </w:tc>
        <w:tc>
          <w:tcPr>
            <w:tcW w:w="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648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879</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2,265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3,104</w:t>
            </w:r>
          </w:p>
        </w:tc>
        <w:tc>
          <w:tcPr>
            <w:tcW w:w="8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v. Imprimis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2017, Allergan USA, Inc. (“Allergan”) filed a lawsuit in the U.S. District Court for the Central District of California against the Company, primarily claiming the Company’s violations under the federal Lanham Act and other state laws. In October 2017, the Company filed a motion to dismiss or in the alternative, stay litigation related to all of the Allergan claims. A decision regarding our motion to dismiss has not yet been determined. The Company has previously and continues to dispute all claims against it and intends to vigorously defend these allegations.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Asset Purchase, License and Commission Agreements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acquired intellectual property rights related to certain proprietary innovations from certain inventors (the “Inventors”) through multiple asset purchase, license and commission agreements. In consideration for the acquisition of the intellectual property rights, the Company is obligated to make certain milestone payments related to patent and regulatory filings to the Inventors and also make payments, in one instance a minimum annual amount, based on certain percentages of revenues and net sales amounts, as defined within the respective agreements. During the three and nine months ended September 30, 2017, the Company recognized $92 and $361, respectively, and $91 and $452, during the three and nine months ended September 20, 2016, respectively, in expense amounts related to these agreements. Such amounts are included in cost of sales and sales and marketing expenses in the accompanying condensed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2017,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used to protect and rehabilitate the ocular surface (the “Klarity Product”).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Dr. Lindstrom was paid $0 and $50 during the three and nine months ended September 30, 2017, respectively. Dr. Lindstrom is a member of the Company’s Board of Directors, chairman of its Compensation Committee and a member of its Nomination and Corporate Governance Committee.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has reviewed the agreement and financials terms thereof, and does not expect total payments to Dr. Lindstrom will be in excess of $120,000 during the next twelve months. Furthermore, the Board has determined that entering into the Klarity License Agreement would not impair Dr. Lindstrom’s independence nor his ability to provide independent oversight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 – Precision Lens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2017, the Company entered into a Strategic Sales &amp; Marketing Agreement (the “Plens Agreement”) with Cameron Ehlen Group, Inc. dba Precision Lens (“Precision Lens”). Pursuant to the terms of the Plens Agreement, Precision Lens will provide exclusive sales and marketing representation services to Imprimis in select geographies in the U.S. Midwest, in connection with the our ophthalmic compounded formulation portfolio including our Dropless Therapy®, LessDrops® combination eye drops, Simple Drops™ preservative-free glaucoma drops, MKO Melt™ conscious sedation and other ocular-related formulations typically used for dilation, general inflammation and infection (the “Products”).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Plens Agreement, the Company is required to make commission payments to Precision Lens equal to 10% of each calendar year’s annual net sales for Products above and beyond the Company’s initial $1,500 in annual net sales for Products for each calendar year. In addition, the Company is required to make periodic milestone payments to Precision Lens in shares of the Company’s restricted common stock including: (i) 10,000 shares if net sales for Products reach $5,000 prior to December 31, 2017; (ii) 15,000 shares if net sales for Products reach $5,000; (iii) 15,000 shares if net sales for Products reach $10,000; (iv) 15,000 shares if net sales for Products reach $15,000; and (v) 15,000 shares if net sales for Products reach $20,000. No payments have been made in relation to this agreement as of September 30, 2017.</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Sales and Marketing Agreement – SightLife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2017, the Company entered into a Strategic Sales &amp; Marketing Agreement (the “SightLife Agreement”) with SightLife Surgical, Inc. (“SightLife”). Pursuant to the terms of the SightLife Agreement, SightLife will provide exclusive United States sales and marketing representation services to the Company in connection with certain dry eye disease formulations (“DED Products”).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terms of the SightLife Agreement, the Company is required to make commission payments to SightLife equal to 10% of each calendar year’s annual net sales for DED Products. In addition, the Company is required to make periodic milestone payments to SightLife in shares of the Company’s restricted common stock including: (i) 5,000 shares if net sales for DED Products reach $2,000 prior to December 31, 2017; (ii) 7,500 shares if net sales for DED Products reach $2,500; (iii) 7,500 shares if net sales for DED Products reach $5,000; (iv) 7,500 shares if net sales for DED Products reach $7,500; and (v) 7,500 shares if net sales for DED Products reach $10,000. No payments have been made in relation to this agreement as of September 30,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its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U.S.; therefore, total revenues for 2017 and 2016 are attributed to the U.S. All long-lived assets at September 30, 2017 and December 31, 2016 are located in the U.S.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and nine months ended September 30, 2017 and 2016.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72% and 70% during the three and nine months ended September 30, 2017, respectively, and 76% and 72% during the three and nine months ended September 30, 2016, respectively, of active pharmaceutical ingredient purchases.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September 30, 2017 through the filing date of this Quarterly Report. Based on its evaluation, nothing other than the events described below needs to be disclosed.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October 2017, the Company sold 373,528 shares of common stock under the Sales Agreement and received net proceeds of $814, after deducting offering related expenses and commissions.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2016 and subsequent reports on Form 8-K, which discuss our business in greater detail. As used in this discussion and analysis, unless the context indicates otherwise, the terms the “Company”, “Imprimis” “we”, “us” and “our” refer to Imprimis Pharmaceuticals, Inc. and its consolidated subsidiaries, consisting of Park Compounding, Inc., Imprimis Rx NJ, LLC dba ImprimisRx, Imprimis NJOF, LLC, and Surface Pharmaceuticals, Inc. In this discussion and analysis, we refer to our consolidated subsidiaries collectively as our “ImprimisRx compounding pharmacies.”</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Except as otherwise noted, all dollar amounts in this discussion and analysis are expressed in thousands.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 ophthalmology-focused pharmaceutical company that produces and dispenses high quality innovative compounded medications in all 50 states. Imprimis is dedicated to patient access and affordability to many critical medicines. Headquartered in San Diego, California, Imprimis produces and dispenses its compounded ophthalmology formulations from its New Jersey facilities. Imprimis is the largest shareholder of Eton Pharmaceuticals, Inc., a company it spun out in 2017, owns Surface Pharmaceuticals, Inc. which is focused on development and commercialization of innovative therapeutics for ocular surface diseases utilizing the U.S. Food and Drug Administration’s 505(b)(2) regulatory pathway and Park Compounding, a wholly owned, compounding pharmacy.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3" w:name="page24"/>
    <w:bookmarkEnd w:id="23"/>
    <w:p>
      <w:pPr>
        <w:jc w:val="both"/>
        <w:ind w:firstLine="648"/>
        <w:spacing w:after="0" w:line="291" w:lineRule="auto"/>
        <w:rPr>
          <w:sz w:val="20"/>
          <w:szCs w:val="20"/>
          <w:color w:val="auto"/>
        </w:rPr>
      </w:pPr>
      <w:r>
        <w:rPr>
          <w:rFonts w:ascii="Arial" w:cs="Arial" w:eastAsia="Arial" w:hAnsi="Arial"/>
          <w:sz w:val="16"/>
          <w:szCs w:val="16"/>
          <w:color w:val="auto"/>
        </w:rPr>
        <w:t>Our ophthalmology offerings address three of the largest markets in the category, cataract surgery, glaucoma and dry eye disease. Our objective is to serve with ophthalmic professionals to enable them to better address their patients’ pharmaceutical needs. The cornerstone of our ophthalmology program</w:t>
      </w:r>
    </w:p>
    <w:p>
      <w:pPr>
        <w:jc w:val="both"/>
        <w:spacing w:after="0" w:line="234" w:lineRule="auto"/>
        <w:rPr>
          <w:sz w:val="20"/>
          <w:szCs w:val="20"/>
          <w:color w:val="auto"/>
        </w:rPr>
      </w:pPr>
      <w:r>
        <w:rPr>
          <w:rFonts w:ascii="Arial" w:cs="Arial" w:eastAsia="Arial" w:hAnsi="Arial"/>
          <w:sz w:val="16"/>
          <w:szCs w:val="16"/>
          <w:color w:val="auto"/>
        </w:rPr>
        <w:t>consists of our proprietary Dropless Therapy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injectable and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topical formulations that compete in the multi-billion dollar U.S. eye drop market. These formulations have been uniquely designed to address patient compliance issues and provide other compelling medical and economic benefits. We also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offer a conscious sedation medication, the IV Free MKO Melt</w:t>
      </w:r>
      <w:r>
        <w:rPr>
          <w:rFonts w:ascii="Arial" w:cs="Arial" w:eastAsia="Arial" w:hAnsi="Arial"/>
          <w:sz w:val="26"/>
          <w:szCs w:val="26"/>
          <w:color w:val="auto"/>
          <w:vertAlign w:val="superscript"/>
        </w:rPr>
        <w:t>®</w:t>
      </w:r>
      <w:r>
        <w:rPr>
          <w:rFonts w:ascii="Arial" w:cs="Arial" w:eastAsia="Arial" w:hAnsi="Arial"/>
          <w:sz w:val="16"/>
          <w:szCs w:val="16"/>
          <w:color w:val="auto"/>
        </w:rPr>
        <w:t>, a proprietary alternative to intravenous sedation. The MKO Melt is administered sublingually to sedate patients undergoing ocular and other surgeries. During 2017, we launched programs with innovative medications used for glaucoma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chronic dry eye disease (DED). Our Simple Drops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campaign includes a series of preservative-free eye drops and combination eye drops for glaucoma patients. Within our DED platform, we have a portfolio of formulations that we began to roll out in the second half of 2017, including a patent-pending</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nutraceutical-antibiotic oral capsule formulation and our Total Tears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compounded eye drop offerings of which Klarity Drops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(“Klarity”) which includes customizable cyclosporine based formulations, will be the cornerstone of. We also provide other compounded medications used in several therapeutic areas as primary and adjunctive therapies for: oncology, autoimmunity, chronic infectious diseases, and endocrine and metabolic diseases.</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Approximately 90 percent of our revenue is derived from buy-and-bill customers as a cash pay business and as such, the majority of our commercial transactions do not involve distributors, wholesalers, insurance companies, pharmacy benefit managers or other middle parties. We do not operate using and are not dependent on discount cards, rebates, or other methods and programs that typically eliminate transparency to the consumer. By making ourselves generally independent of third party payments, we are not subject to insurance company formulary inclusion and pharmacy benefit manager payment clawbacks. In this regard, our transactions are simple, involving a patient-in-need, a physician’s diagnosis and a fair price and great service for a quality pharmaceutical product. The efficiency of our business model allows us to quickly innovate and safely deliver novel and clinically relevant products to the market with fewer complications and at lower costs for our customers than traditional pharmaceutical company competitors.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$86,065 at September 30, 2017.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produce and dispense our medications directly to customers through our ImprimisRx facilities located in Ledgewood, New Jersey, and Park Compounding located in Irvine, California. Our New Jersey facility is comprised of two separate facilities, with one facility registered with the FDA as an outsourcing facility (“NJOF”) under Section 503B of the Federal Food, Drug &amp; Cosmetic Act (FDCA). The other New Jersey facility (“NJRX”), and our California facility, are licensed pharmacies operating under Sections 503A of the FDCA. All products that we produce and sell are made in the United States of America.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Below are descriptions of our current programs. We also continue to evaluate and assess intellectual property and other assets we have developed or acquired, including provisional patent applications, in order to support our development and potential commercialization of additional medications focused in the ophthalmology market and in other therapeutic areas.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Ophthalmology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2013, we acquired intellectual property trademarked as SSP Technology</w:t>
      </w:r>
      <w:r>
        <w:rPr>
          <w:rFonts w:ascii="Arial" w:cs="Arial" w:eastAsia="Arial" w:hAnsi="Arial"/>
          <w:sz w:val="28"/>
          <w:szCs w:val="28"/>
          <w:color w:val="auto"/>
          <w:vertAlign w:val="superscript"/>
        </w:rPr>
        <w:t>®</w:t>
      </w:r>
      <w:r>
        <w:rPr>
          <w:rFonts w:ascii="Arial" w:cs="Arial" w:eastAsia="Arial" w:hAnsi="Arial"/>
          <w:sz w:val="17"/>
          <w:szCs w:val="17"/>
          <w:color w:val="auto"/>
        </w:rPr>
        <w:t>, which allows for combination and administration of anti-inflammatory and anti-bacterial agents after the completion of ocular surgery. SSP Technology allows for increased solubility of active pharmaceutical ingredients and the creation of tunable, uniform particle sizes which enable these combined medications to be used as an intraoperative injectable or as a topical eye drop. Since our acquisition of this technology we have continued its development to include additional active pharmaceutical ingredients, such as NSAIDs. These combination medications have begun to impact the growing cataract surgery eye drop and refractive surgery eye drop markets. Based on our success and standing in the ophthalmology market, we have expanded further into additional ocular surgery and other markets where there is a risk of inflammation and infection and into other markets including glaucoma and dry eye disease. We plan to expand into additional ocular markets as well including wet age-related macular degeneration (wet AMD) and diabetic macular edema (DME).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jc w:val="both"/>
        <w:ind w:firstLine="648"/>
        <w:spacing w:after="0" w:line="255" w:lineRule="auto"/>
        <w:rPr>
          <w:sz w:val="20"/>
          <w:szCs w:val="20"/>
          <w:color w:val="auto"/>
        </w:rPr>
      </w:pPr>
      <w:r>
        <w:rPr>
          <w:rFonts w:ascii="Arial" w:cs="Arial" w:eastAsia="Arial" w:hAnsi="Arial"/>
          <w:sz w:val="18"/>
          <w:szCs w:val="18"/>
          <w:color w:val="auto"/>
        </w:rPr>
        <w:t>Our proprietary ophthalmic medications provide physicians with the ability to address primary complications associated with ocular surgery including infection risk and post-operative inflammation due to patient non-compliance associated with traditional multiple bottle eye drop regimens. This is achieved by reducing the complexity of and in many cases altogether avoiding the need for post-operative eye drop regimens. We market these ophthalmic formulations as Dropless Therapy and LessDrops combination eye drops. We also package multiple ophthalmic medications, which may include our proprietary Dropless Therapy or LessDrops formulations, and other non-proprietary formulations as kits and dispensed to patients with needs for multiple ocular therapies.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Dropless Therapy</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cataract surgery market continues to experience significant growth. According to a 2013 Market Scope report, 3.8 million cataract surgeries are performed annually in the U.S. and nearly 22 million cataract surgeries were performed globally, with expected annual market growth of approximately 3%. The National Eye Institute estimates that over 24 million Americans currently have cataracts and that this number will grow to 38 million by 2030 and reach more than 50 million by 2050. Transparency Market Research estimates that the ophthalmology drug market will reach an estimated $21.6 billion by 2018.</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Typically, the treatment regimen for the prevention of post-cataract and other intraocular surgery complications is a pre-operative and post-operative self-administered eye drop regimen, which requires strict patient compliance and careful adherence to a prescribed dosing schedule. Physicians have reported, and studies have shown, that eye drop regimens can be confusing to patients, which can cause non-compliance and incorrect dosing. Numerous published studies conducted in the U.S. and Europe have demonstrated that antibiotics administered into the eye at the time of cataract surgery significantly reduced the risk of developing post-surgery inflammation and infection.</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Dropless Therapy medications are single, injectable intraocular doses that are administered during cataract surgery. Ophthalmologists have reported that Dropless Therapy has substantially reduced or eliminated the need for patient-administered eye drops following ocular surgery, thereby largely eliminating patient non-compliance and dosing errors associated with post-operative self-administered eye drop care regimens. Since launching Dropless Therapy in April 2014, multiple investigator initiated studies have been completed and their positive findings published in trade and peer-reviewed publications. A published study comparing Dropless Cataract Surgery to post-surgical topical drops found that 92 percent of the patients preferred Dropless Therapy over eye drops, and regarding post-operative visual outcome, 88 percent of patients preferred Dropless over topical drops. In a large peer-reviewed retrospective study of 1,541 patients receiving Dropless Therapy during cataract surgery, researchers reported that nearly 92 percent of the cases required no supplemental medication following surgery. A 2015 economic study with Cataract Surgeons for Improved Eyecare and conducted by Andrew Chang &amp; Co, LLC, demonstrated that, assuming a cost of $100 per dose (dollar amount not expressed in thousands), Dropless Therapy could provide collective savings to Medicare, Medicaid and patients of up to $13 billion, with a most likely savings estimate of $8.7 billion, over a 10-year period (dollar amounts not expressed in thousands). In July 2017, we announced that our Dropless formulations had surpassed 500,000 units sold.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LessDrops Combination Eye Drops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the 3.8 million cataract surgeries performed annually in the U.S., the American Academy of Ophthalmology (AAO) estimates that over one-half of Americans require some form of vision correction and 43 million of these individuals are candidates for refractive surgery. Nearly 96 percent of the refractive surgery procedures performed are LASIK (laser in situ keratomileusis) surgeries, an outpatient surgical procedure used to treat nearsightedness, farsightedness, and astigmatism. According to Statista, an estimated 600,000 LASIK procedures were performed in the U.S. in 2015.</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Our LessDrops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topical formulations, introduced during first quarter 2015, include combination steroid, antibiotic and non-steroidal anti-inflammatory topical eye drops for patient administration following cataract, refractive and other ocular surgeries. We estimate that our LessDrops combination eye drops may require the administration by patients of up to 50 percent fewer drops post-surgery and cost up to 75 percent less than other currently available post-surgery eye drop regimens. We plan to expand our LessDrops portfolio to provide additional eye drop choices for our ophthalmologist customers.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jc w:val="both"/>
        <w:ind w:firstLine="648"/>
        <w:spacing w:after="0" w:line="312" w:lineRule="auto"/>
        <w:rPr>
          <w:sz w:val="20"/>
          <w:szCs w:val="20"/>
          <w:color w:val="auto"/>
        </w:rPr>
      </w:pPr>
      <w:r>
        <w:rPr>
          <w:rFonts w:ascii="Arial" w:cs="Arial" w:eastAsia="Arial" w:hAnsi="Arial"/>
          <w:sz w:val="16"/>
          <w:szCs w:val="16"/>
          <w:color w:val="auto"/>
        </w:rPr>
        <w:t>We believe we are capturing an estimated 10 percent of the U.S. post-surgery infection/inflammation eye drop market. Over 1,700 ophthalmologist customers have adopted Dropless and LessDrops medications and we have serviced over 600,000 cataract and refractive surgeries since April 2014. A growing number of high-volume cataract surgery practices, hospitals and ambulatory surgery centers throughout the U.S. have become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Glaucoma Eye Drops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May 2017, we launched a series of preservative-free eye drops and combination eye drops for glaucoma patients. According to the Glaucoma Research Foundation, there are over 3 million Americans with glaucoma but only half are aware they have it. Glaucoma is incurable, and if not managed can lead to blindness. Generally, the first line of treatment consists of a prostaglandin-analogue (PGA) eye drop regimen. As the disease progresses, non-PGA products are generally added as a second line treatment. Topical agents, other than PGAs, include beta blockers, alpha agonists, miotics and steroids. Up to 50 percent of glaucoma patients require more than one drug following a few months of initial treatment, however the FDA has yet to approve a PGA</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combination product despite combination products including a PGA (Xalacom</w:t>
      </w:r>
      <w:r>
        <w:rPr>
          <w:rFonts w:ascii="Arial" w:cs="Arial" w:eastAsia="Arial" w:hAnsi="Arial"/>
          <w:sz w:val="30"/>
          <w:szCs w:val="30"/>
          <w:color w:val="auto"/>
          <w:vertAlign w:val="superscript"/>
        </w:rPr>
        <w:t>®</w:t>
      </w:r>
      <w:r>
        <w:rPr>
          <w:rFonts w:ascii="Arial" w:cs="Arial" w:eastAsia="Arial" w:hAnsi="Arial"/>
          <w:sz w:val="18"/>
          <w:szCs w:val="18"/>
          <w:color w:val="auto"/>
        </w:rPr>
        <w:t>, DuoTrav</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Ganfort</w:t>
      </w:r>
      <w:r>
        <w:rPr>
          <w:rFonts w:ascii="Arial" w:cs="Arial" w:eastAsia="Arial" w:hAnsi="Arial"/>
          <w:sz w:val="30"/>
          <w:szCs w:val="30"/>
          <w:color w:val="auto"/>
          <w:vertAlign w:val="superscript"/>
        </w:rPr>
        <w:t>®</w:t>
      </w:r>
      <w:r>
        <w:rPr>
          <w:rFonts w:ascii="Arial" w:cs="Arial" w:eastAsia="Arial" w:hAnsi="Arial"/>
          <w:sz w:val="18"/>
          <w:szCs w:val="18"/>
          <w:color w:val="auto"/>
        </w:rPr>
        <w:t>) available outside of the U.S. Our glaucoma topical medications will include combinations of active pharmaceutical ingredients (APIs) that are similar to those formulations marketed and available in countries outside of the U.S. Our combination eye drops may require the administration of fewer drops by patients and cost significantly less than currently available glaucoma drop regimens.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 use of combination products is rising because of two major advantages; improved patient compliance by avoiding separate administration of drops and prevention of washout effect by eliminating the need for consecutive dosing intervals.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Dry Eye Disease Program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2017, we acquired exclusive worldwide rights to Klarity, an innovative and patented ophthalmic topical solution and gel technology for patients with dry eye disease (DED). Klarity is designed to protect and rehabilitate the ocular surface following ophthalmic surgery, contact lens wear, or in patients with moderate to severe DED. The Klarity formulations are preservative-free and can be formulated to any viscosity, ranging from a topical drop or gel to a dispersive viscosurgical device. We launched our first Klarity based formulations which include the active ingredient of cyclocsporine in October 2017, and intend to launch other Klarity based formulations later this year and in 2018. We expect the Klarity formulations will be the cornerstone of our new DED program.</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Dry eye is among the most common conditions seen by eye care professionals. Dry eye occurs when the eye does not produce enough tears, or when the tears are not of the correct consistency and evaporate too quickly. Inflammation of the surface of the eye may also occur. According to AARP (2015), it is reported that 20 to 30 million people suffer from mild dry eye, and nine to 12 million have moderate to severe dry eye. Although dry eye can impact people of any age, elderly people are frequently affected with a reported five million afflicted with DED.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MKO Melt</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Conscious Sedation</w:t>
      </w:r>
    </w:p>
    <w:p>
      <w:pPr>
        <w:spacing w:after="0" w:line="12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May 2016, we launched our patent-pending IV Free MKO Melt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conscious sedation formulation. Traditionally, sedation medications for ocular surgery are administered intravenously, which require IV medications and supplies, and the need for additional staff to assist in preparation, administration and monitoring related to this process. Our MKO Melt is administered sublingually and is an option to IV anesthetic to sedate patients undergoing ocular surgeries. The MKO Melt may have use in numerous other surgical procedures outside of ophthalmology including MRI procedures, dental procedures, colonoscopies, vasectomies, biopsies and women’s health.</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Other Businesses, Assets and Development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2017, we entered into two asset purchase and license agreements (the “Eton License Agreements”) with our previously wholly owned subsidiary, Eton Pharmaceuticals, Inc. (“Eton”). Pursuant to the terms of the Eton License Agreements, we assigned and licensed to Eton certain intellectual property and related rights to develop, formulate, make, sell, and sub-license our proprietary formulations of synthetic corticotropin and injectable pentoxifylline (collectively, the “Eton Products”). Eton intends to seek FDA approval for the commercialization of its drug candidates through the Section 505(b)(2) regulatory pathway under the Federal Food, Drug, and Cosmetic Act of 1938 (the “FDCA”), as amended, and in corresponding regulatory paths in other foreign jurisdictions. If approved, Eton is required to make royalty payments to us in the amount of three percent (3%) to six percent (6%) of net sales of the Eton Products. In addition, Eton is required to make certain milestone payments to us including payments of $50 upon initial patent issuances for each Eton Product. Eton also has acquired two additional sterile injectable drug candidates that qualify under the Drug Efficacy Study Implementation (DESI) program which it plans to develop and commercialize through the 505(b)(2) pathway.</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Eton License Agreements became effective in June 2017, when Eton closed an offering of its Series A Preferred Stock for gross proceeds of approximately $20,000 (the “Series A Round”). At the time of closing we lost our controlling interest, and deconsolidated Eton from our consolidated financial statements. We own three million five hundred thousand (3,500,000) shares of Eton common stock, which is approximately 27% of the equity and voting interests of Eton following the close of the Series A Round.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 L. Baum, our CEO is a member of the Eton board of directors, and Andrew R. Boll, our CFO, was a member of the Eton board of directors until his resignation from the Eton board in July 2017. Mr. Boll and Mr. Baum, along with other Imprimis employees have entered into consulting agreements with Eton.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Pharmaceuticals, Inc.</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own patented and patent-pending topical and oral formulations that have been used to treat symptoms associated with DED and meibomian gland dysfunction (MGD), and we believe these formulations may be candidates to be developed under the 505(b)(2) new drug application FDA approval pathway. Similar to the transactions completed with Eton, we are currently pursuing an opportunity to separately finance and develop these formulations through a subsidiary, called Surface Pharmaceuticals, Inc. (“Surface”). We have established Surface, are transferring the assets to it, empaneled a board of directors and have agreed to terms with a senior leader to become the chief executive officer to lead the company.</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Surface is focused on development and commercialization of innovative therapeutics for ocular surface diseases utilizing the U.S. Food and Drug Administration’s 505(b)(2) regulatory pathway. Its current drug pipeline consists of three proprietary product candidates. Its patent-pending preservative-free</w:t>
      </w:r>
    </w:p>
    <w:p>
      <w:pPr>
        <w:jc w:val="both"/>
        <w:spacing w:after="0" w:line="217" w:lineRule="auto"/>
        <w:rPr>
          <w:sz w:val="20"/>
          <w:szCs w:val="20"/>
          <w:color w:val="auto"/>
        </w:rPr>
      </w:pPr>
      <w:r>
        <w:rPr>
          <w:rFonts w:ascii="Arial" w:cs="Arial" w:eastAsia="Arial" w:hAnsi="Arial"/>
          <w:sz w:val="18"/>
          <w:szCs w:val="18"/>
          <w:color w:val="auto"/>
        </w:rPr>
        <w:t>topical eye drop product candidates, SURF-100 and SURF-200, utilize a patented delivery vehicle known as Klarity Drops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that was invented by Surface’s chairman of the board (and director of Imprimis) and renowned ophthalmologist Richard L. Lindstrom, MD. SURF-300 is a patent-pending oral capsule that targets patients also suffering from DED signs and symptoms.</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arrangements to establish Surface will be contingent a successful initial round of equity financing. If we are successful in financing Surface, Imprimis would retain an equity position in Surface and a royalty on commercial sales of certain Surface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 Compounding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2017, we changed the name of our Irvine, California based compounding pharmacy to Park Compounding, Inc. (“Park”). Park is primarily focused in the integrative medicine business which includes personalized medications used in several integrative areas including oncology, autoimmunity, chronic infectious diseases, and endocrine and metabolic diseases. The portfolio includes ascorbic acid (non-corn source), lyophilized artesunate and other medications used for various integrative therapies.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Other Markets</w:t>
      </w:r>
    </w:p>
    <w:p>
      <w:pPr>
        <w:spacing w:after="0" w:line="225" w:lineRule="exact"/>
        <w:rPr>
          <w:sz w:val="20"/>
          <w:szCs w:val="20"/>
          <w:color w:val="auto"/>
        </w:rPr>
      </w:pPr>
    </w:p>
    <w:p>
      <w:pPr>
        <w:jc w:val="both"/>
        <w:ind w:right="20" w:firstLine="648"/>
        <w:spacing w:after="0" w:line="228" w:lineRule="auto"/>
        <w:rPr>
          <w:sz w:val="20"/>
          <w:szCs w:val="20"/>
          <w:color w:val="auto"/>
        </w:rPr>
      </w:pPr>
      <w:r>
        <w:rPr>
          <w:rFonts w:ascii="Arial" w:cs="Arial" w:eastAsia="Arial" w:hAnsi="Arial"/>
          <w:sz w:val="18"/>
          <w:szCs w:val="18"/>
          <w:color w:val="auto"/>
        </w:rPr>
        <w:t>In October 2015, we introduced our compounded pyrimethamine and leucovorin formulations, lower-cost therapeutic alternatives to FDA-approved Daraprim</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toxoplasmosis. Toxoplasmosis can be of major concern for patients with weakened immune systems such as patients with HIV/AIDS, pregnant women and children. Our combination pyrimethamine and leucovorin formulations are now offered by Express Scripts, the largest pharmacy benefit manager in the U.S., and by many other hospitals and healthcare organizations.</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offer hormone replacement therapy, weight loss, dermatologic, and other personalized medications, which we believe may provide differentiating and potentially beneficial factors as compared to competing therapies.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own assets that we may continue to develop into a platform to serve institutional purchasers of FDA approved drugs.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Relationships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produce and dispense our innovative medications to a growing number of patients, physicians, hospitals, ambulatory surgery centers and pharmacy benefits managers (PBMs). In September 2016, we entered into a purchase and supply agreement with AmSurg Holdings, Inc. a leading national provider of multi-specialty outsourced physician services to more than 245 U.S. hospitals, ambulatory surgery centers and other healthcare facilities. Pursuant to the terms of the agreement, we will provide AmSurg with our core ophthalmic medications including our Dropless Therapy and LessDrops combination eye drops.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July 2017, we entered into a supply agreement with a large, nationwide provider of LASIK and PRK surgeries for our LessDrops formulations. This group has over 50 surgery centers nationwide. We have already made our first shipments to this customer and have had to increase our production capabilities to allow for the expected increase in orders that may be forthcoming.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Facilities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One of our key strategies is the use of compounding pharmacies to formulate our proprietary compounded drug formulations and distribute them directly to physicians and patients. Generally, compounding pharmacies combine different APIs, all of which are FDA-approved, to create specialized preparations prescribed by a physician to treat an individually identified patient. Physicians prescribe our products because a standard medication approved by the FDA is not appropriate for a patient’s needs. Examples of compounded formulations include medications with alternative dosage strengths or unique dosage forms, such as topical creams or gels, suspensions, or solutions with more tolerable drug delivery vehicles. A compounding pharmacy is only permitted to compound or prepare a patient-specific formulation upon receipt of a physician prescription for an individual patient. Our compounding pharmacies make, dispense and sell our proprietary and non-proprietary compounded formulations and are collectively licensed to distribute to 50 states.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2016, we registered NJOF with the FDA as a Section 503B outsourcing facility. An outsourcing facility is an entity permitted to compound large quantities of certain drug formulations without a prescription and distribute them out of state without limitation. An outsourcing facility is required to comply with certain additional requirements that do not apply to compounding pharmacies, including adherence to current good manufacturing practices (cGMP). We estimate that our capital expenditures to build and equip the New Jersey facility were approximately $5,770. We have also finalized improvements to our Park Compounding pharmacy. We have invested approximately $530 and completed the improvement efforts at our California pharmacy in January 2017.</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2016, our Texas facility was damaged related to a faulty sprinkler head. Although we started restoration of the facility, in September 2016, after consideration of the totality of circumstances of our collective facility infrastructure, including estimated production capacity and capabilities of NJOF, and the damage to our Texas facility, we decided to cease operations in Texas. In February 2017, we entered into a stock purchase agreement to sell our Texas entity for $10 and transfer the lease agreement to the new owners.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June 2017, we announced the sale of our Folcroft, Pennsylvania pharmacy and sinus related assets for $450, the transaction closed on July 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urology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and Development of Formulations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Imprimis Cares initiative. 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 Additionally, we will need to rely on relationships with third parties, including pharmacists, physicians and other inventors, to assist in the identification, research, development and assessment of such formulations, which exposes us to risks. Moreover, we may be unable to identify attractive acquisition opportunities and negotiate agreements with their owners that are acceptable to us, particularly if such assets involve competition among several purchasers, and we have limited resources to invest in or acquire additional potential product development assets and integrate them into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Strategy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make, dispense and sell our commercially available proprietary compounded formulations and certain other non-proprietary products through our compounding pharmacies pursuant to a prescription for an individually identified patient. All of our formulations may be customizable depending on the needs of the individual patient. Additionally, in November 2016, we registered part of our New Jersey facility as an outsourcing facility. Formulations dispensed from NJOF don’t require a patient specific prescription.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 and Pricing Optimization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ophthalmic formulations. An economic study conducted in 2015 by researchers at Andrew Chang &amp; Co, LLC and co-sponsored by us demonstrated that, assuming the cost of Dropless Therapy is $100 per dose (dollar amount not expressed in thousands), our Dropless Therapy formulations could provide collective savings to Medicare, Medicaid and patients of up to $13 billion, with a most likely savings estimate of $8.7 billion, over a 10-year period. Based on this research, we believe optimized pricing for our Dropless Therapy formulations could be nearly $100 per dose (dollar amount not expressed in thousands). Any efforts to attain optimized pricing for our Dropless Therapy or any of our other proprietary formulations could fail, which could make our products less attractive or unavailable to some patients or could reduce our margins.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Sales and Marketing Efforts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Although we believe that our proprietary drug formulations could have commercial appeal in international markets and we have engaged distributors and entered into out-licensing arrangements for certain of our proprietary formulations in certain non-U.S. markets, including Canada, we expect to continue to focus our sales and marketing efforts on our U.S. commercial opportunities during 2017. Our sales and marketing efforts are currently organized into two teams, the larger of which focuses on our ophthalmology business and the other on our non-ophthalmology business. In 2017, we entered into two sales and marketing agreements (described further below) that we believe will help expand the presence of our sales and marketing activities within ophthalmology. We believe these sales and marketing agreements will accelerate launches of our new ophthalmology programs in glaucoma and DED and limit our initial capital requirements commonly associated with new product launches and increased sizes of sales forces. Our sales and marketing activities consist primarily of efforts to educate doctors, ambulatory surgery centers, healthcare systems, hospitals and other users throughout the U.S. about our formulations. We expect that we may experience growth in the sales of our proprietary compounded formulations in future periods, particularly in light of our current and planned launches of new formulations and commercialization campaigns. However,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 Further, we are dependent upon market acceptance of compounded formulations generally, and some physicians may be hesitant to prescribe, and some patients may be hesitant to purchase and use, these non-FDA approved formulations, particularly when an FDA-approved alternative is available.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describes certain developments in 2017 to date that are important to understand our financial condition and results of operations. See the notes to our condensed consolidated financial statements included in this report for additional information about each of these developments. Dollar amounts are expressed in thousands.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Texas Subsidiary Sale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13, 2017, we entered into a stock purchase agreement (the “SPA”) with Livernois &amp; London, LLC (“Livernois”). Pursuant to the terms of the SPA, we sold to Livernois one hundred percent (100%) of the issued and outstanding shares of common stock of our Texas based subsidiary, ImprimisRx TX, Inc. dba ImprimisRx (“Imprimis TX”). The SPA did not transfer to Livernois any our rights to intellectual property, products, clients, nor any of our existing business operations. As consideration for the purchase of Imprimis TX, Livernois paid the us $10 and the we assigned, and Livernois assumed, the remaining lease obligation totaling $113 for our Texas based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21, 2017, we entered into securities purchase agreements (the “Purchase Agreement”) with two accredited investors (the “Investors”), which provided for the sale by the Company of 1,312,500 shares of our common stock, at a price of $2.40 per share (the “Offering”). We received net proceeds of $2,941 after deducting the underwriter discount and other offering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Klarity License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1, 2017, we entered into a license agreement (the “Klarity License Agreement”) with Richard L. Lindstrom, M.D., a member of our Board of Directors. Pursuant to the terms of the Klarity License Agreement, we licensed certain intellectual property and related rights from Dr. Lindstrom to develop, formulate, make, sell, and sub-license the topical ophthalmic solution Klarity used to protect and rehabilitate the ocular surface (the “Klarity Product”). Under the terms of the Klarity License Agreement, we are required to make royalty payments to Dr. Lindstrom ranging from three percent (3%) to six percent (6%) of net sales, dependent upon the final formulation of the Klarity Product sold. In addition, we are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our restricted common stock.</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jc w:val="both"/>
        <w:ind w:firstLine="648"/>
        <w:spacing w:after="0" w:line="279" w:lineRule="auto"/>
        <w:rPr>
          <w:sz w:val="20"/>
          <w:szCs w:val="20"/>
          <w:color w:val="auto"/>
        </w:rPr>
      </w:pPr>
      <w:r>
        <w:rPr>
          <w:rFonts w:ascii="Arial" w:cs="Arial" w:eastAsia="Arial" w:hAnsi="Arial"/>
          <w:sz w:val="17"/>
          <w:szCs w:val="17"/>
          <w:color w:val="auto"/>
        </w:rPr>
        <w:t>Dr. Lindstrom is a member of the Company’s Board of Directors, and chairman of its Compensation Committee and a member of its Nomination and Corporate Governance Committee. Our Board has reviewed the agreement and financials terms thereof, and does not expect total payments to Dr. Lindstrom will be in excess of $120,000 during the next twelve months. Furthermore, the Board has determined that entering into the Klarity License Agreement would not impair Dr. Lindstrom’s independence nor his ability to provide independent oversight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Lens Marketing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April 13, 2017, we entered into a Strategic Sales &amp; Marketing Agreement (the “Marketing Agreement”) with Cameron Ehlen Group, Inc. dba Precision Lens (“Precision Lens”). Pursuant to the terms of the Agreement, Precision Lens will provide exclusive sales and marketing representation services to Imprimis in select geographies in the U.S. Midwest, in connection with the our ophthalmic compounded formulation portfolio including our Dropless</w:t>
      </w:r>
    </w:p>
    <w:p>
      <w:pPr>
        <w:jc w:val="both"/>
        <w:spacing w:after="0" w:line="205" w:lineRule="auto"/>
        <w:rPr>
          <w:sz w:val="20"/>
          <w:szCs w:val="20"/>
          <w:color w:val="auto"/>
        </w:rPr>
      </w:pPr>
      <w:r>
        <w:rPr>
          <w:rFonts w:ascii="Arial" w:cs="Arial" w:eastAsia="Arial" w:hAnsi="Arial"/>
          <w:sz w:val="18"/>
          <w:szCs w:val="18"/>
          <w:color w:val="auto"/>
        </w:rPr>
        <w:t>Therapy®, LessDrops® combination eye drops, Simple Drops™ preservative-free glaucoma drops, MKO Melt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conscious sedation and other ocular-related formulations typically used for dilation, general inflammation and infection (the “Products”).</w:t>
      </w:r>
    </w:p>
    <w:p>
      <w:pPr>
        <w:spacing w:after="0" w:line="20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the terms of the Marketing Agreement, we are required to make commission payments to Precision Lens equal to ten percent (10%) of each calendar year’s annual net sales for Products above and beyond the Company’s initial $1,500 in annual net sales for Products for each calendar year. In addition, we are required to make periodic milestone payments to Precision Lens in shares of the Company’s restricted common stock including: (i) 10,000 shares if net sales for Products reach $5,000 prior to December 31, 2017; (ii) 15,000 shares if net sales for Products reach $5,000; (iii) 15,000 shares if net sales for Products reach $10,000; (iv) 15,000 shares if net sales for Products reach $15,000; and (v) 15,000 shares if net sales for Products reach $20,000.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SightLife Surgical Marketing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28, 2017, we entered into a Strategic Sales &amp; Marketing Agreement (the “SightLife Agreement”) with SightLife Surgical, Inc. (“SightLife”). Pursuant to the terms of the SightLife Agreement, SightLife will provide exclusive U.S. sales and marketing representation services to us in connection with certain dry eye disease formulations (“DED Products”).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SightLife Agreement, we are required to make commission payments to SightLife equal to ten percent (10%) of each calendar year’s annual net sales for DED Products. In addition, we are required to make periodic milestone payments to SightLife in shares of the our restricted common stock including: (i) 5,000 shares if net sales for DED Products reach $2,000 prior to December 31, 2017; (ii) 7,500 shares if net sales for DED Products reach $2,500; (iii) 7,500 shares if net sales for DED Products reach $5,000; (iv) 7,500 shares if net sales for DED Products reach $7,500; and (v) 7,500 shares if net sales for DED Products reach $10,000.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Eton License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more fully above under the sub-heading “</w:t>
      </w:r>
      <w:r>
        <w:rPr>
          <w:rFonts w:ascii="Arial" w:cs="Arial" w:eastAsia="Arial" w:hAnsi="Arial"/>
          <w:sz w:val="18"/>
          <w:szCs w:val="18"/>
          <w:i w:val="1"/>
          <w:iCs w:val="1"/>
          <w:color w:val="auto"/>
        </w:rPr>
        <w:t>Eton Pharmaceuticals, Inc.</w:t>
      </w:r>
      <w:r>
        <w:rPr>
          <w:rFonts w:ascii="Arial" w:cs="Arial" w:eastAsia="Arial" w:hAnsi="Arial"/>
          <w:sz w:val="18"/>
          <w:szCs w:val="18"/>
          <w:color w:val="auto"/>
        </w:rPr>
        <w:t>”, in May 2017, we entered the Eton License Agreements with our previously wholly owned subsidiary, Eton. The Eton License Agreements were made effective in June 2017. Pursuant to the terms of the Eton License Agreements, we assigned and licensed to Eton certain intellectual property and related rights to develop, formulate, make, sell, and sub-license the Eton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Sinus Assets Sale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July 2017, we completed the disposition of substantially all its assets associated with our sinus related business, including but not limited to, certain intellectual property rights, trademarks, copyrights, inventories, equipment, customer lists, databases, permits, licenses, and assignment of our lease obligation for our Pennsylvania based pharmacy (the “PA Assets”) pursuant to an Asset Purchase Agreement (the “PA Purchase Agreement), dated June 27, 2017, by and among us and our wholly owned subsidiaries ImprimisRx PA, Inc. and ImprimisRx CA, Inc.(now known as Park Compounding, Inc.) (collectively the “Sellers”) and Creative Pharmacy Solutions Central, LLC (the “Buyer”), for a total sales price of approximately $450. In connection with the closing of the PA Purchase Agreement (the “PA Closing”), the Buyer paid to us an aggregate initial cash payment of $40. In addition, the Buyer is obligated to pay the remaining $410 in the form of a note that will bear interest at 6% per annum (the “Sellers Note”). The Buyer will make forty-eight (48) monthly cash payments to the Company of $10 each over the four years following the PA Closing, totaling $462; provided however, that the Buyer will have the option to make a one-time payment of $365 any time prior to December 31, 2017, and we will waive any remaining amounts due of the Seller Note. The principal amount of the Sellers Note may also be reduced by $125, if after a period of 60 days following the closing, certain revenues associated with the PA Assets are less than 60% of the revenues associated with the PA Assets 60 days prior to the close of the transaction.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July 2017, we entered into a term loan and security agreement in the principal amount of $16,000 (the “SWK Loan Agreement” or “SWK Loan”) with SWK Funding LLC and its partners (the “SWK Lender”), as lender and collateral agent. The SWK Loan Agreement was fully funded at closing with a five year term, however, such term may be reduced to four years if certain revenue requirements are not achieved. Concurrently with the funding, we utilized a portion of the SWK Loan funds as full payment to an affiliate of Life Sciences Alternative Funding, LLC (“LSAF”) to terminate all amounts due to LSAF in connection with the existing term loan and security agreements, as amended, originally entered into between us and LSAF on May 11, 2015 (the “LSAF Loan”), which loan had a principal balance of $12,120 at the time of final payment.</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SWK Loan bears interest at a variable rate equal to the three-month London Inter-Bank Offered Rate (subject to a minimum of 1.50% and maximum of 3.00%), plus an applicable margin of 10.50%. The SWK Loan Agreement permits us to pay interest only on the principal amount loaned thereunder for the first six payments (payments are due on a quarterly basis), which interest-only period may be reduced to four payments if we do not meet certain minimum revenue requirements. Following the interest-only period, we will be required to pay interest, plus repayments of the principal amount loaned under the SWK Loan Agreement, in quarterly payments, which shall not exceed $750 per quarter. All amounts owed under the SWK Loan Agreement, including a final fee equal to 5% of the aggregate principal amount loaned thereunder, will be due and payable on July 19, 2022, or if certain revenue requirements are not met, July 19, 2021. We may elect to prepay all, but not less than all, of the amounts owed under the SWK Loan Agreement prior to the maturity date at any time after July 19, 2019. If certain revenue requirements are not met, we may be allowed to prepay the loan from July 19, 2018 to July 19, 2019, provided that a prepayment fee equal to 6% of the principal amount of the loan will also be due.</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obligations under the Loan Agreement are guaranteed on a secured basis by our wholly owned subsidiaries, ImprimisRx NJ, LLC, Imprimis NJOF, LLC and Park Compounding, Inc. Each of the Company and its subsidiaries has granted the SWK Lender a security interest in substantially all of its personal property, rights and assets, including intellectual property rights and equity ownership, to secure the payment of all amounts owed under the SWK Loan Agreement.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SWK Loan Agreement, we issued to the SWK Lender warrants to purchase up to 615,386 shares of the Company’s common stock (the “Lender Warrants”). The Lender Warrants are exercisable immediately, have an exercise price of $2.08 per share and maintain a term of 7 years. The Lender Warrants are subject to a cashless exercise feature, with the exercise price and number of shares issuable upon exercise subject to change in connection with stock splits, dividends, reclassifications and other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period-to-period comparisons of our financial results are not necessarily indicative of results for the current period or any future period. As a result of our acquisitions of our ImprimisRx compounding pharmacies, and any additional pharmacy acquisitions or other such transactions we may pursue, we may experience large expenditures specific to the transactions that are not incident to our operations. Dollar amounts are expressed in thousands (except share and per share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The following presents our revenues for the three and nine months ended September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For the Three Months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1"/>
              </w:rPr>
              <w:t>For the Nine Months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Ended</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7"/>
        </w:trPr>
        <w:tc>
          <w:tcPr>
            <w:tcW w:w="3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Variance</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3340" w:type="dxa"/>
            <w:vAlign w:val="bottom"/>
            <w:tcBorders>
              <w:top w:val="single" w:sz="8" w:color="CCEEFF"/>
            </w:tcBorders>
            <w:shd w:val="clear" w:color="auto" w:fill="CCEEFF"/>
          </w:tcPr>
          <w:p>
            <w:pPr>
              <w:jc w:val="right"/>
              <w:ind w:right="2530"/>
              <w:spacing w:after="0"/>
              <w:rPr>
                <w:sz w:val="20"/>
                <w:szCs w:val="20"/>
                <w:color w:val="auto"/>
              </w:rPr>
            </w:pPr>
            <w:r>
              <w:rPr>
                <w:rFonts w:ascii="Arial" w:cs="Arial" w:eastAsia="Arial" w:hAnsi="Arial"/>
                <w:sz w:val="18"/>
                <w:szCs w:val="18"/>
                <w:b w:val="1"/>
                <w:bCs w:val="1"/>
                <w:color w:val="auto"/>
                <w:w w:val="83"/>
              </w:rPr>
              <w:t>Sales, net</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19,411</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340" w:type="dxa"/>
            <w:vAlign w:val="bottom"/>
          </w:tcPr>
          <w:p>
            <w:pPr>
              <w:jc w:val="right"/>
              <w:ind w:right="1950"/>
              <w:spacing w:after="0"/>
              <w:rPr>
                <w:sz w:val="20"/>
                <w:szCs w:val="20"/>
                <w:color w:val="auto"/>
              </w:rPr>
            </w:pPr>
            <w:r>
              <w:rPr>
                <w:rFonts w:ascii="Arial" w:cs="Arial" w:eastAsia="Arial" w:hAnsi="Arial"/>
                <w:sz w:val="18"/>
                <w:szCs w:val="18"/>
                <w:b w:val="1"/>
                <w:bCs w:val="1"/>
                <w:color w:val="auto"/>
                <w:w w:val="84"/>
              </w:rPr>
              <w:t>License revenues</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30"/>
        </w:trPr>
        <w:tc>
          <w:tcPr>
            <w:tcW w:w="3340" w:type="dxa"/>
            <w:vAlign w:val="bottom"/>
            <w:tcBorders>
              <w:top w:val="single" w:sz="8" w:color="CCEEFF"/>
              <w:bottom w:val="single" w:sz="8" w:color="CCEEFF"/>
            </w:tcBorders>
            <w:shd w:val="clear" w:color="auto" w:fill="CCEEFF"/>
          </w:tcPr>
          <w:p>
            <w:pPr>
              <w:jc w:val="right"/>
              <w:ind w:right="195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revenue between periods was largely attributable to increased sales of our proprietary formulations and furtherance of our ophthalmology related compounded formulations, including our LessDrops formulations. Our gross ophthalmology related sales were approximately $4,897 and $13,315 for the three and nine months ended September 30, 2017, compared to $3,032 and $7,437 during the same period last year. Net revenues generated from NJOF (which include certain ophthalmology related sales) totaled $2,610 and $5,494 during the three and nine months ended September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nine months ended September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For the Three Months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1"/>
              </w:rPr>
              <w:t>For the Nine Months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Ended</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7"/>
        </w:trPr>
        <w:tc>
          <w:tcPr>
            <w:tcW w:w="3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Variance</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Variance</w:t>
            </w:r>
          </w:p>
        </w:tc>
      </w:tr>
      <w:tr>
        <w:trPr>
          <w:trHeight w:val="23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increase in our cost of sales between periods was largely attributable to an increase in the volume of unit sales of our formulations and products and our associated costs of such sales. We also incurred some inefficiencies in our overall production processes during the three and nine months ended September 30, 2017 as we shifted certain production efforts and requirements to new processes and systems, including cGMP requirements at NJOF which effected our overall gross margin percent. We estimate gross margins at NJOF were greater than 60% during the three months ended September 30,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compounded formulations and other non-proprietary pharmacy products and formulations, which include associated personnel costs, including wages and stock-based compensation.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The following presents our selling and marketing expenses for the three and nine months ended September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For the Three Months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1"/>
              </w:rPr>
              <w:t>For the Nine Months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6"/>
              </w:rPr>
              <w:t>ended</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7"/>
        </w:trPr>
        <w:tc>
          <w:tcPr>
            <w:tcW w:w="3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Variance</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Variance</w:t>
            </w:r>
          </w:p>
        </w:tc>
      </w:tr>
      <w:tr>
        <w:trPr>
          <w:trHeight w:val="23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decrease in selling and marketing expenses during the three and nine months ended September 30, 2017 compared to the same period last year, was primarily attributable to a more concentrated and focused sales effort during 2017. We have decreased our salaried sales force headcount, began utilizing contracted sales forces, and implemented efficiencies with regards to our offerings and presence at trade conferences and other various marketing activities, all related to our commercialization efforts for our proprietary and certain non-proprietary compounded formulations.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general and administrative expenses for the three and nine months ended September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For the Three Months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1"/>
              </w:rPr>
              <w:t>For the Nine Months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Ended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Variance</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Variance</w:t>
            </w:r>
          </w:p>
        </w:tc>
      </w:tr>
      <w:tr>
        <w:trPr>
          <w:trHeight w:val="23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decrease in general and administrative expenses between periods was largely attributable to the cost reduction strategies we began to implement during the third quarter of 2016 and throughout 2017. Those reduction strategies included reductions in force, implementation of information technology related efficiencies and streamlined certain operational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and nine months ended September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For the Three months ended</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1"/>
              </w:rPr>
              <w:t>For the Nine Months Ended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7"/>
        </w:trPr>
        <w:tc>
          <w:tcPr>
            <w:tcW w:w="3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Variance</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Variance</w:t>
            </w:r>
          </w:p>
        </w:tc>
      </w:tr>
      <w:tr>
        <w:trPr>
          <w:trHeight w:val="230"/>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research and development expenses between periods was primarily attributable to several formulation development studies we conducted on our core formulations during the nine months ended September 30,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was $2 and $7 for the three and nine months ended September 30, 2017, respectively, compared to $1 and $9 for the same periods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was $795 and $2,355 for the three and nine months ended September 30, 2017, compared to $733 and $2,001 during the same period last year, respectively. The increase was primarily due to interest expense recognition related to the LSAF Loan, as well as capital leases and deferred acquisition obligations related to our acquisition of Park.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Extinguishment of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and nine months ended September 30, 2017, we recorded a loss of $884, related to the early extinguishment of the LSAF Loan.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Loss from Eton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and nine months ended September 30, 2017, we recorded a loss of $1,237 and $1,453, respectively, for our share of losses based on our ownership of Eton. We began using equity method accounting for our investment in Eton beginning on June 16, 2017, the date we no longer had a controlling interest, prior to that date, their losses were consolidated within our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Deconsolidation of Eton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2017, we recorded a gain of $5,725, on the deconsolidation of Eton, see Note 2 and Note 3 in the Notes to the condensed consolidated financial statements for a more detailed explanation of this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Sale of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nine months ended September 30, 2017, we recorded a loss of $42 and $326, respectively, mostly related to assets associated with the sale of Imprimis TX and our sinus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benefit was $28 and $84 for the three and nine months ended September 30, 2017, respectively, which was related to the net change in our deferred tax liabilities and assets, specifically those related to the Park acquisition and its identifiable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net loss for the three and nine months ended September 30, 2017 and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18"/>
                <w:szCs w:val="18"/>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For the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820"/>
              <w:spacing w:after="0"/>
              <w:rPr>
                <w:sz w:val="20"/>
                <w:szCs w:val="20"/>
                <w:color w:val="auto"/>
              </w:rPr>
            </w:pPr>
            <w:r>
              <w:rPr>
                <w:rFonts w:ascii="Arial" w:cs="Arial" w:eastAsia="Arial" w:hAnsi="Arial"/>
                <w:sz w:val="18"/>
                <w:szCs w:val="18"/>
                <w:color w:val="auto"/>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8"/>
                <w:szCs w:val="18"/>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Nine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September 30, 2017</w:t>
            </w:r>
          </w:p>
        </w:tc>
        <w:tc>
          <w:tcPr>
            <w:tcW w:w="140" w:type="dxa"/>
            <w:vAlign w:val="bottom"/>
          </w:tcPr>
          <w:p>
            <w:pPr>
              <w:spacing w:after="0"/>
              <w:rPr>
                <w:sz w:val="20"/>
                <w:szCs w:val="20"/>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September 30, 2016</w:t>
            </w:r>
          </w:p>
        </w:tc>
        <w:tc>
          <w:tcPr>
            <w:tcW w:w="160" w:type="dxa"/>
            <w:vAlign w:val="bottom"/>
          </w:tcPr>
          <w:p>
            <w:pPr>
              <w:spacing w:after="0"/>
              <w:rPr>
                <w:sz w:val="20"/>
                <w:szCs w:val="20"/>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September 30, 2017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September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spacing w:after="0" w:line="191" w:lineRule="exact"/>
              <w:rPr>
                <w:sz w:val="20"/>
                <w:szCs w:val="20"/>
                <w:color w:val="auto"/>
              </w:rPr>
            </w:pPr>
            <w:r>
              <w:rPr>
                <w:rFonts w:ascii="Arial" w:cs="Arial" w:eastAsia="Arial" w:hAnsi="Arial"/>
                <w:sz w:val="18"/>
                <w:szCs w:val="18"/>
                <w:b w:val="1"/>
                <w:bCs w:val="1"/>
                <w:color w:val="auto"/>
              </w:rPr>
              <w:t>Net loss per share, basic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(0.28)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cash on hand (including restricted cash) at September 30, 2017 was $4,067, compared to $9,053 at December 31, 2016. Since inception through September 30, 2017 we have incurred aggregate losses to common stockholders of $(86,065).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jc w:val="both"/>
        <w:ind w:firstLine="648"/>
        <w:spacing w:after="0" w:line="253" w:lineRule="auto"/>
        <w:rPr>
          <w:sz w:val="20"/>
          <w:szCs w:val="20"/>
          <w:color w:val="auto"/>
        </w:rPr>
      </w:pPr>
      <w:r>
        <w:rPr>
          <w:rFonts w:ascii="Arial" w:cs="Arial" w:eastAsia="Arial" w:hAnsi="Arial"/>
          <w:sz w:val="17"/>
          <w:szCs w:val="17"/>
          <w:color w:val="auto"/>
        </w:rPr>
        <w:t>As of the date of this Quarterly Report, we believe that cash and cash equivalents of $3,867 and restricted investments of $200 totaling approximately $4,067 at September 30, 2017, along with net proceeds from the sale of our common stock through the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with Cantor Fitzgerald &amp; Co. (the “Sales Agreement”), will be sufficient to sustain our planned level of operations and capital expenditures for at least the next 12 months.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product candidate for which we pursue FDA approval, to pursue additional development programs or to explore other development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provides detailed information about our net cash flows for the three and nine months ended September 30, 2017 and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For the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For the</w:t>
            </w:r>
          </w:p>
        </w:tc>
      </w:tr>
      <w:tr>
        <w:trPr>
          <w:trHeight w:val="216"/>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Nine Months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16"/>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66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100" w:type="dxa"/>
            <w:vAlign w:val="bottom"/>
            <w:gridSpan w:val="2"/>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right"/>
              <w:ind w:right="40"/>
              <w:spacing w:after="0"/>
              <w:rPr>
                <w:sz w:val="20"/>
                <w:szCs w:val="20"/>
                <w:color w:val="auto"/>
              </w:rPr>
            </w:pPr>
            <w:r>
              <w:rPr>
                <w:rFonts w:ascii="Arial" w:cs="Arial" w:eastAsia="Arial" w:hAnsi="Arial"/>
                <w:sz w:val="18"/>
                <w:szCs w:val="18"/>
                <w:color w:val="auto"/>
              </w:rPr>
              <w:t>(7,125)</w:t>
            </w:r>
          </w:p>
        </w:tc>
      </w:tr>
      <w:tr>
        <w:trPr>
          <w:trHeight w:val="23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4,235</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15,779</w:t>
            </w:r>
          </w:p>
        </w:tc>
        <w:tc>
          <w:tcPr>
            <w:tcW w:w="80" w:type="dxa"/>
            <w:vAlign w:val="bottom"/>
            <w:shd w:val="clear" w:color="auto" w:fill="CCEEFF"/>
          </w:tcPr>
          <w:p>
            <w:pPr>
              <w:spacing w:after="0"/>
              <w:rPr>
                <w:sz w:val="20"/>
                <w:szCs w:val="20"/>
                <w:color w:val="auto"/>
              </w:rPr>
            </w:pPr>
          </w:p>
        </w:tc>
      </w:tr>
      <w:tr>
        <w:trPr>
          <w:trHeight w:val="203"/>
        </w:trPr>
        <w:tc>
          <w:tcPr>
            <w:tcW w:w="66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20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(4,986)</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(323)</w:t>
            </w:r>
          </w:p>
        </w:tc>
        <w:tc>
          <w:tcPr>
            <w:tcW w:w="100" w:type="dxa"/>
            <w:vAlign w:val="bottom"/>
            <w:tcBorders>
              <w:top w:val="single" w:sz="8" w:color="CCEEFF"/>
            </w:tcBorders>
            <w:gridSpan w:val="2"/>
          </w:tcPr>
          <w:p>
            <w:pPr>
              <w:spacing w:after="0"/>
              <w:rPr>
                <w:sz w:val="17"/>
                <w:szCs w:val="17"/>
                <w:color w:val="auto"/>
              </w:rPr>
            </w:pPr>
          </w:p>
        </w:tc>
      </w:tr>
      <w:tr>
        <w:trPr>
          <w:trHeight w:val="23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0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8,853</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2,685</w:t>
            </w:r>
          </w:p>
        </w:tc>
        <w:tc>
          <w:tcPr>
            <w:tcW w:w="80" w:type="dxa"/>
            <w:vAlign w:val="bottom"/>
            <w:shd w:val="clear" w:color="auto" w:fill="CCEEFF"/>
          </w:tcPr>
          <w:p>
            <w:pPr>
              <w:spacing w:after="0"/>
              <w:rPr>
                <w:sz w:val="20"/>
                <w:szCs w:val="20"/>
                <w:color w:val="auto"/>
              </w:rPr>
            </w:pPr>
          </w:p>
        </w:tc>
      </w:tr>
      <w:tr>
        <w:trPr>
          <w:trHeight w:val="203"/>
        </w:trPr>
        <w:tc>
          <w:tcPr>
            <w:tcW w:w="66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Cash and cash equivalents at end of the year</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3,867</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2,362</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operating activities was $(8,509) in 2017, as compared to $(8,977) used in operating activities during the same period in the prior year. The net cash used in operating activities was mainly attributed to expanding our operations, including hiring additional personnel, commercialization and marketing activities related to our proprietary formulations, prescription fulfillment activities and other related undertakings.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in 2017 and 2016 was $(712) and $(7,125), respectively. Cash used in investing activities in 2017, were primarily associated with equipment purchases and upgrades and investments in our intellectual property portfolio. Cash used in investing activities in 2016 was primarily related to construction efforts and equipment purchases for our New Jersey, California and Texas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cash provided by financing activities in 2017 and 2016 was $4,235 and $15,779, respectively. The cash provided by financing activities during 2017 is primarily attributable to proceeds from the registered direct offering and sale of shares of common stock in March 2017 and net proceeds from the SWK Loan (less the concurrent retirement of our then existing term loan). Cash provided by financing activities in 2016 was primarily attributable to proceeds received in January 2016 from the LSAF Convertible Note, proceeds received from the underwritten public offering and sale of shares of common stock in March 2016 and proceeds received from the private placement of common stock and warrants in December 2016.</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principal sources of cash consist of cash provided by financing activities, including $2,940 in net proceeds related to a registered direct offering of our common stock in March 2017, proceeds related to $16,000 SWK Loan in July 2017 (less the concurrent retirement of our then existing term loan), the proceeds related the sale of our common stock through the Sales Agreement and from ongoing product and formulation sales. We may also sell some or all of our owenership interestes in Eton or our other subsidiaries. We do not currently receive sufficient revenues to support our operations.</w:t>
      </w:r>
    </w:p>
    <w:p>
      <w:pPr>
        <w:spacing w:after="0" w:line="15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need significant additional capital to support our business plan and fund our proposed business operations. We are eligible to receive additional proceeds from future sales of our common stock under the Sales Agreement.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SWK Loan.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September 30, 2017. Based on this evaluation, our principal executive officer and principal financial officer have concluded that our disclosure controls and procedures were effective to achieve their stated purpose as of September 30, 2017, the end of the period covered by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September 30, 2017,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v. Imprimis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2017, Allergan USA, Inc. (“Allergan”) filed a lawsuit in the U.S. District Court for the Central District of California against us, primarily claiming violations under the federal Lanham Act and other state laws. In October 2017, we filed a motion to dismiss or in the alternative, stay litigation related to all of the Allergan claims. A decision has not yet been determined regarding our motion to dismiss. We have previously and continue to dispute all claims against us and intend to vigorously defend these allegations.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not aware of any pending legal proceedings to which we are a party or of which any of our property is subject the adverse outcome of which, individually or in the aggregate, is likely to have a material adverse effect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 Dollar amounts are express in thousands.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incurred losses in every year of our operations, including net losses of $(19,087) and $(15,899) for the years ended December 31, 2016 and 2015, respectively, and net losses of $(5,692) and $(9,214) for the three and nine months ended September 30, 2017 and $(3,850) and $(12,985) for the three and nine months ended September 30, 2016, respectively. As of September 30, 2017, our accumulated deficit was $(86,065). We expect to decrease our operating losses during 2017, however, our projections may not be correct and our plans could change and we could incur increasing operating losses in the foreseeable future for our commercialization activities, research and development and our pharmacy operations. Although we have been generating some revenue from our pharmacy operations, our ability to generate significant revenues and achieve profitability will depend on many factors, including those discussed in this “Risk Factors” section. Our business plan and strategies involve costly activities that are susceptible to failure, and, therefore, we may never be able to generate sufficient revenue to support our business or reach the level of sales and revenues necessary to achieve and sustain profitability.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and use external sales companies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8" w:name="page39"/>
    <w:bookmarkEnd w:id="38"/>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sell certain of our proprietary formulations primarily through a unified network of compounding pharmacies, but we may not be successful in our efforts to establish such a network or integrate these businesses into our operations.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business strategy includes establishing a unified compounding pharmacy network, whether through acquisitions, establishing new pharmacies or entering into licensing arrangements with third-party pharmacies, to market and sell our proprietary formulations and other non-proprietary products in all 50 states.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operate from compounding facilities in New Jersey and California.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network strategy, including difficulties that arise as a result of our lack of experience, and we may be unsuccessful. For instance,</w:t>
      </w:r>
    </w:p>
    <w:p>
      <w:pPr>
        <w:spacing w:after="0" w:line="187"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our efforts to integrate, manage or otherwise realize the benefits we expect from acquisitions of our ImprimisRx compounding pharmacies or any additional pharmacy businesses or outsourcing facilities we to acquire or build in the future;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achieve a sufficient physician and patient customer base to sustain our pharmacy operations;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efforts to expand pharmacy operations and establish a unified pharmacy network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this unified pharmacy network and, even if we are successful, we may be unable to generate sufficient revenue to recover our costs.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currently distribute our proprietary formulations through compounding pharmacies. Formulations prepared and dispensed by compounding pharmacies contain FDA-approved ingredients, but are not themselves approved by the FDA. Thus, our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As a result, some physicians may be hesitant to prescribe and some patients may be hesitant to purchase and use non-FDA approved compounded formulations, particularly when an FDA-approved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the formulations by our compounding facilities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ImprimisRx compounding pharmacies are in material compliance with applicable regulatory requirements. If any of our ImprimisRx compounding pharmacies fail to comply with such requirements, they could be forced to permanently or temporarily cease or limit their sterile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 503A,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jc w:val="both"/>
        <w:ind w:firstLine="648"/>
        <w:spacing w:after="0" w:line="268" w:lineRule="auto"/>
        <w:rPr>
          <w:sz w:val="20"/>
          <w:szCs w:val="20"/>
          <w:color w:val="auto"/>
        </w:rPr>
      </w:pPr>
      <w:r>
        <w:rPr>
          <w:rFonts w:ascii="Arial" w:cs="Arial" w:eastAsia="Arial" w:hAnsi="Arial"/>
          <w:sz w:val="17"/>
          <w:szCs w:val="17"/>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interstate compounding. The current draft standard MOU presented by the FDA in February 2015 would limit interstate shipments of compounded drug units to 30% of all compounded and non-compounded units dispensed or distributed by the pharmacy per month. The FDA has stated in guidance issued in February 2015 that it will not enforce interstate restrictions until after it publishes a final standard MOU and has made it available to states for signature for some designated period of time. If the final standard MOU is not signed by a particular state, then interstate shipments of compounded preparations from a pharmacy located in that state would be limited to quantities not greater than 5% of total prescription orders dispensed or distributed by the pharmacy (the 5% rule); however, we are not aware that the FDA currently enforces or has in the past enforced the 5% rule and, under current draft guidance, the FDA has stated that it will not enforce the 5% rule until a standard MOU has been made available to states for signature. The FDA has proposed a 180-day period for states to agree to the standard MOU after the final version is presented, after which it would begin to enforce the 5% rule. Until a final MOU is issued and presented to states to consider, the extent of interstate dispensing restrictions imposed by Section 503A is unknown. However, if the final standard MOU contains a 30% limit on interstate distribution or if the FDA begins to enforce the 5% rule, our pharmacy operations could be materially limited.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There are many competitive risks related to marketing and selling our proprietary formulations and operating our compounding pharmacy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product candidate in November 2013, our acquisitions of the ImprimisRx compounding pharmacies and various product development opportunities in 2014 and 2015,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plan to pursue the development of new proprietary compounded formulations in the ophthalmology, urology, otolaryngology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Imprimis Cares initiative.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ImprimisRx compounding pharmacies and current and future relationships with pharmacists, physicians and other inventors to provide us with additional development opportunities, our growth and prospects could be limited.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be unable to successfully develop and commercialize our proprietary formulations or any other assets we may acquire.</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product candidate, we develop a commercialization strategy for it, which may include marketing and selling the formulation in compounded form through compounding pharmacies or outsourcing facilities, or pursuing FDA approval of the product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19, 2017, we incurred $16,000 of indebtedness under a loan agreement with SWK Funding, LLC and its partners (SWK) and concurrent with the funding, we utilized a portion of the SWK Loan funds as full payment to an affiliate of Life Sciences Alternative Funding, LLC (LSAF) to terminate all amounts due to LSAF in connection with the existing term loan and security agreements, as amended, originally entered into between the Company and LSAF on May 11, 2015 (the “LSAF Loan”), which loan had a principal balance of $12,120 at the time of final payment.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SWK debt instrument contain various restrictive covenants, including, among others, our obligation to deliver to SWK certain financial and other information, our obligation to comply with certain notice and insurance requirements, and our inability, without SWK’s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SWK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currently receive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jc w:val="both"/>
        <w:ind w:firstLine="648"/>
        <w:spacing w:after="0" w:line="269" w:lineRule="auto"/>
        <w:rPr>
          <w:sz w:val="20"/>
          <w:szCs w:val="20"/>
          <w:color w:val="auto"/>
        </w:rPr>
      </w:pPr>
      <w:r>
        <w:rPr>
          <w:rFonts w:ascii="Arial" w:cs="Arial" w:eastAsia="Arial" w:hAnsi="Arial"/>
          <w:sz w:val="17"/>
          <w:szCs w:val="17"/>
          <w:color w:val="auto"/>
        </w:rPr>
        <w:t>We have raised over $55,000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product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with SWK.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technologies or businesses.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we may be unable to demonstrate the necessary safety and efficacy to obtain such FDA approval.</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current business strategy is focused on developing and commercializing product opportunities as compounded formulations.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product candidate on a timely basis or at all. Before we obtain FDA approval for the sale of any potential product candidates, we will be required to demonstrate through preclinical studies and clinical trials that it is safe and effective for each intended use, which we may not be able to do. A failure to demonstrate safety and efficacy of a product candidate to the FDA’s satisfaction would result in our failure to obtain FDA approval. Moreover, even if the FDA were to grant regulatory approval of a product candidate, the approval may be limited to specific therapeutic areas or limited as to its distribution, which could reduce revenue potential, and we will be subject to extensive and costly post-approval requirements and oversight with respect to commercialization of the product candidate.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product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product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product candidates may be limited or eliminated, which may prevent us from recouping our investment in research and development efforts for the product candidate and would have a material adverse effect on our business, results of operations, financial condition and prospects.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successfully develop any product candidate into an FDA-approved drug, we will be subject to extensive continuing regulatory requirements and review, including review of adverse drug experiences and clinical results from any post-marketing tests or continued actions required as a condition of approval. The manufacturer and manufacturing facilities we use to produce any drug preparations will be subject to periodic review and inspection by the FDA. We will be reliant on third parties to maintain their manufacturing processes in compliance with FDA and all other applicable regulatory requirements. Any changes to a product that has been approval, including the way it is manufactured or promoted, will often require FDA approval again before the product, as modified, may be marketed and sold. In addition, we and the manufacturers of the drug will be subject to ongoing FDA requirements for submission of safety and other post-market information. If we or the manufacturers of the drug failed to comply with these or any other applicable regulatory requirements, a regulatory agency may, among other things, issue warning letters, impose civil or criminal penalties, suspend or withdraw regulatory approval, impose restrictions on our operations, close the facilities of the manufacturers, seize or detain products or require a product recall.</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Regulatory review also covers a company’s activities in the promotion of its FDA-approved drugs, with significant potential penalties and restrictions for promotion of a drug for an unapproved use. Sales and marketing programs are under scrutiny for compliance with various mandated requirements, such as illegal promotions to health care professionals. Failure to comply with these requirements could expose us to negative publicity, fines and penalties that could harm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Currently, we own and/or license 33 U.S. patents or patent applications and we own eight international patent applications filed under the Patent Cooperation Treaty and 30 foreign patent or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for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adverse impact on our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healthcare industry is changing rapidly as consumers, governments, medical professionals and the pharmaceutical industry examine ways to broaden medical coverage while controlling the increase in healthcare costs. Such changes could include changes to make the government’s Medicare and Medicaid reimbursement programs more restrictive, which could limit or curtail the potential for our proprietary formulations to obtain eligibility for reimbursement from such payors, or changes to expand the reach of HIPAA or other health privacy laws, which could make compliance with these laws more costly and burdensome. Further, the Health Reform Law may have a considerable impact on the existing U.S. system for the delivery and financing of health care and conceivably could have a material effect on our business. Any changes to laws and regulations affecting the healthcare industry could impose significant additional costs on our operations in order to maintain compliance or could otherwise negatively affect our business, operations or financial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some of our existing stockholders are able to exert control over us and our significant corporate decisions.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executive officers and directors collectively own, or have the right to acquire within 60 days after November 13, 2017, approximately 13%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results. If we cannot provide reliable financial results, our financial statements could be misstated, our reputation may be harmed and the trading price of our common stock could decline. As we discussed in Item 9A of our 2016 Annual Report, our management concluded that our internal controls over financial reporting were effective as of December 31, 2016.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SWK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Offers or availability for sale of a substantial number of shares of our common stock may cause the price of our common stock to decline.</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080" w:val="left"/>
        </w:tabs>
        <w:rPr>
          <w:rFonts w:ascii="Arial" w:cs="Arial" w:eastAsia="Arial" w:hAnsi="Arial"/>
          <w:sz w:val="17"/>
          <w:szCs w:val="17"/>
          <w:u w:val="single" w:color="auto"/>
          <w:color w:val="0000EE"/>
        </w:rPr>
      </w:pPr>
      <w:r>
        <w:rPr>
          <w:rFonts w:ascii="Arial" w:cs="Arial" w:eastAsia="Arial" w:hAnsi="Arial"/>
          <w:sz w:val="18"/>
          <w:szCs w:val="18"/>
          <w:b w:val="1"/>
          <w:bCs w:val="1"/>
          <w:color w:val="auto"/>
        </w:rPr>
        <w:t>31.1*</w:t>
      </w:r>
      <w:r>
        <w:rPr>
          <w:sz w:val="20"/>
          <w:szCs w:val="20"/>
          <w:color w:val="auto"/>
        </w:rPr>
        <w:tab/>
      </w:r>
      <w:hyperlink w:anchor="page54">
        <w:r>
          <w:rPr>
            <w:rFonts w:ascii="Arial" w:cs="Arial" w:eastAsia="Arial" w:hAnsi="Arial"/>
            <w:sz w:val="17"/>
            <w:szCs w:val="17"/>
            <w:u w:val="single" w:color="auto"/>
            <w:color w:val="0000EE"/>
          </w:rPr>
          <w:t>Certification of Mark L. Baum, principal executive officer, pursuant to Rule 13a-14(a) or 15d-14(a) of the Securities and Exchange Act of</w:t>
        </w:r>
      </w:hyperlink>
    </w:p>
    <w:p>
      <w:pPr>
        <w:spacing w:after="0" w:line="27" w:lineRule="exact"/>
        <w:rPr>
          <w:sz w:val="20"/>
          <w:szCs w:val="20"/>
          <w:color w:val="auto"/>
        </w:rPr>
      </w:pPr>
    </w:p>
    <w:p>
      <w:pPr>
        <w:ind w:left="110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1934, as adopted pursuant to Section 302 of the Sarbanes- Oxley Act of 2002.</w:t>
        </w:r>
      </w:hyperlink>
    </w:p>
    <w:p>
      <w:pPr>
        <w:spacing w:after="0" w:line="207" w:lineRule="exact"/>
        <w:rPr>
          <w:sz w:val="20"/>
          <w:szCs w:val="20"/>
          <w:color w:val="auto"/>
        </w:rPr>
      </w:pPr>
    </w:p>
    <w:p>
      <w:pPr>
        <w:ind w:left="1100" w:right="20" w:hanging="1093"/>
        <w:spacing w:after="0" w:line="277"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b w:val="1"/>
          <w:bCs w:val="1"/>
          <w:color w:val="auto"/>
        </w:rPr>
        <w:t>31.2*</w:t>
      </w:r>
      <w:r>
        <w:rPr>
          <w:sz w:val="20"/>
          <w:szCs w:val="20"/>
          <w:color w:val="auto"/>
        </w:rPr>
        <w:tab/>
      </w:r>
      <w:hyperlink w:anchor="page56">
        <w:r>
          <w:rPr>
            <w:rFonts w:ascii="Arial" w:cs="Arial" w:eastAsia="Arial" w:hAnsi="Arial"/>
            <w:sz w:val="18"/>
            <w:szCs w:val="18"/>
            <w:u w:val="single" w:color="auto"/>
            <w:color w:val="0000EE"/>
          </w:rPr>
          <w:t>Certification of Andrew R. Boll, principal financial and accounting officer, pursuant to Rule 13a-14(a) or 15d-14(a) of the Securities and</w:t>
        </w:r>
      </w:hyperlink>
      <w:r>
        <w:rPr>
          <w:rFonts w:ascii="Arial" w:cs="Arial" w:eastAsia="Arial" w:hAnsi="Arial"/>
          <w:sz w:val="18"/>
          <w:szCs w:val="18"/>
          <w:u w:val="single" w:color="auto"/>
          <w:color w:val="0000EE"/>
        </w:rPr>
        <w:t xml:space="preserve"> </w:t>
      </w:r>
      <w:hyperlink w:anchor="page56">
        <w:r>
          <w:rPr>
            <w:rFonts w:ascii="Arial" w:cs="Arial" w:eastAsia="Arial" w:hAnsi="Arial"/>
            <w:sz w:val="18"/>
            <w:szCs w:val="18"/>
            <w:u w:val="single" w:color="auto"/>
            <w:color w:val="0000EE"/>
          </w:rPr>
          <w:t>Exchange Act of 1934, as adopted pursuant to Section 302 of the Sarbanes- Oxley Act of 2002.</w:t>
        </w:r>
      </w:hyperlink>
    </w:p>
    <w:p>
      <w:pPr>
        <w:spacing w:after="0" w:line="170" w:lineRule="exact"/>
        <w:rPr>
          <w:sz w:val="20"/>
          <w:szCs w:val="20"/>
          <w:color w:val="auto"/>
        </w:rPr>
      </w:pPr>
    </w:p>
    <w:p>
      <w:pPr>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b w:val="1"/>
          <w:bCs w:val="1"/>
          <w:color w:val="auto"/>
        </w:rPr>
        <w:t>32.1**</w:t>
      </w:r>
      <w:r>
        <w:rPr>
          <w:sz w:val="20"/>
          <w:szCs w:val="20"/>
          <w:color w:val="auto"/>
        </w:rPr>
        <w:tab/>
      </w:r>
      <w:hyperlink w:anchor="page58">
        <w:r>
          <w:rPr>
            <w:rFonts w:ascii="Arial" w:cs="Arial" w:eastAsia="Arial" w:hAnsi="Arial"/>
            <w:sz w:val="16"/>
            <w:szCs w:val="16"/>
            <w:u w:val="single" w:color="auto"/>
            <w:color w:val="0000EE"/>
          </w:rPr>
          <w:t>Certification pursuant to 18 U.S.C. Section 1350, as adopted pursuant to Section 906 of the Sarbanes-Oxley Act of 2002, executed by Mark L.</w:t>
        </w:r>
      </w:hyperlink>
    </w:p>
    <w:p>
      <w:pPr>
        <w:spacing w:after="0" w:line="27" w:lineRule="exact"/>
        <w:rPr>
          <w:sz w:val="20"/>
          <w:szCs w:val="20"/>
          <w:color w:val="auto"/>
        </w:rPr>
      </w:pPr>
    </w:p>
    <w:p>
      <w:pPr>
        <w:ind w:left="110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Baum, principal executive officer, and Andrew R. Boll, principal financial and accounting officer.</w:t>
        </w:r>
      </w:hyperlink>
    </w:p>
    <w:p>
      <w:pPr>
        <w:spacing w:after="0" w:line="20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101.INS*</w:t>
      </w:r>
      <w:r>
        <w:rPr>
          <w:sz w:val="20"/>
          <w:szCs w:val="20"/>
          <w:color w:val="auto"/>
        </w:rPr>
        <w:tab/>
      </w:r>
      <w:r>
        <w:rPr>
          <w:rFonts w:ascii="Arial" w:cs="Arial" w:eastAsia="Arial" w:hAnsi="Arial"/>
          <w:sz w:val="16"/>
          <w:szCs w:val="16"/>
          <w:color w:val="auto"/>
        </w:rPr>
        <w:t>XBRL Instance Document</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101.SCH*</w:t>
      </w:r>
      <w:r>
        <w:rPr>
          <w:sz w:val="20"/>
          <w:szCs w:val="20"/>
          <w:color w:val="auto"/>
        </w:rPr>
        <w:tab/>
      </w:r>
      <w:r>
        <w:rPr>
          <w:rFonts w:ascii="Arial" w:cs="Arial" w:eastAsia="Arial" w:hAnsi="Arial"/>
          <w:sz w:val="16"/>
          <w:szCs w:val="16"/>
          <w:color w:val="auto"/>
        </w:rPr>
        <w:t>XBRL Taxonomy Extension Schema</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101.CAL*</w:t>
      </w:r>
      <w:r>
        <w:rPr>
          <w:sz w:val="20"/>
          <w:szCs w:val="20"/>
          <w:color w:val="auto"/>
        </w:rPr>
        <w:tab/>
      </w:r>
      <w:r>
        <w:rPr>
          <w:rFonts w:ascii="Arial" w:cs="Arial" w:eastAsia="Arial" w:hAnsi="Arial"/>
          <w:sz w:val="16"/>
          <w:szCs w:val="16"/>
          <w:color w:val="auto"/>
        </w:rPr>
        <w:t>XBRL Taxonomy Extension Calculation Linkbase</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101.DEF*</w:t>
      </w:r>
      <w:r>
        <w:rPr>
          <w:sz w:val="20"/>
          <w:szCs w:val="20"/>
          <w:color w:val="auto"/>
        </w:rPr>
        <w:tab/>
      </w:r>
      <w:r>
        <w:rPr>
          <w:rFonts w:ascii="Arial" w:cs="Arial" w:eastAsia="Arial" w:hAnsi="Arial"/>
          <w:sz w:val="16"/>
          <w:szCs w:val="16"/>
          <w:color w:val="auto"/>
        </w:rPr>
        <w:t>XBRL Taxonomy Extension Definition Linkbase</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101.LAB*</w:t>
      </w:r>
      <w:r>
        <w:rPr>
          <w:sz w:val="20"/>
          <w:szCs w:val="20"/>
          <w:color w:val="auto"/>
        </w:rPr>
        <w:tab/>
      </w:r>
      <w:r>
        <w:rPr>
          <w:rFonts w:ascii="Arial" w:cs="Arial" w:eastAsia="Arial" w:hAnsi="Arial"/>
          <w:sz w:val="16"/>
          <w:szCs w:val="16"/>
          <w:color w:val="auto"/>
        </w:rPr>
        <w:t>XBRL Taxonomy Extension Label Linkbase</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101.PRE*</w:t>
      </w:r>
      <w:r>
        <w:rPr>
          <w:sz w:val="20"/>
          <w:szCs w:val="20"/>
          <w:color w:val="auto"/>
        </w:rPr>
        <w:tab/>
      </w:r>
      <w:r>
        <w:rPr>
          <w:rFonts w:ascii="Arial" w:cs="Arial" w:eastAsia="Arial" w:hAnsi="Arial"/>
          <w:sz w:val="16"/>
          <w:szCs w:val="16"/>
          <w:color w:val="auto"/>
        </w:rPr>
        <w:t>XBRL Taxonomy Extension Presentation Linkbase</w:t>
      </w:r>
    </w:p>
    <w:p>
      <w:pPr>
        <w:spacing w:after="0" w:line="22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14, 2017</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Mark L. Baum, certify that:</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14, 2017</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R. Boll, certify that:</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198"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jc w:val="both"/>
        <w:ind w:left="980" w:hanging="324"/>
        <w:spacing w:after="0" w:line="248"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980" w:hanging="324"/>
        <w:spacing w:after="0" w:line="248"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980" w:hanging="324"/>
        <w:spacing w:after="0" w:line="291" w:lineRule="auto"/>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7"/>
          <w:szCs w:val="17"/>
          <w:color w:val="auto"/>
        </w:rPr>
      </w:pPr>
    </w:p>
    <w:p>
      <w:pPr>
        <w:jc w:val="both"/>
        <w:ind w:left="980" w:hanging="324"/>
        <w:spacing w:after="0" w:line="248"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80" w:hanging="324"/>
        <w:spacing w:after="0" w:line="262"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980" w:hanging="324"/>
        <w:spacing w:after="0" w:line="262"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14, 2017</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September 30, 2017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2020-01-18T19:59:57Z</dcterms:created>
  <dcterms:modified xsi:type="dcterms:W3CDTF">2020-01-18T19:59:57Z</dcterms:modified>
</cp:coreProperties>
</file>