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6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700" cy="4948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49485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BOLL ANDREW R.</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HARROW HEALTH,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jc w:val="center"/>
        <w:ind w:right="109"/>
        <w:spacing w:after="0"/>
        <w:rPr>
          <w:rFonts w:ascii="Times New Roman" w:cs="Times New Roman" w:eastAsia="Times New Roman" w:hAnsi="Times New Roman"/>
          <w:sz w:val="19"/>
          <w:szCs w:val="19"/>
          <w:color w:val="0000EE"/>
        </w:rPr>
      </w:pPr>
      <w:hyperlink r:id="rId13">
        <w:r>
          <w:rPr>
            <w:rFonts w:ascii="Times New Roman" w:cs="Times New Roman" w:eastAsia="Times New Roman" w:hAnsi="Times New Roman"/>
            <w:sz w:val="19"/>
            <w:szCs w:val="19"/>
            <w:u w:val="single" w:color="auto"/>
            <w:color w:val="0000EE"/>
          </w:rPr>
          <w:t>HARROW HEALTH, INC.</w:t>
        </w:r>
        <w:r>
          <w:rPr>
            <w:rFonts w:ascii="Times New Roman" w:cs="Times New Roman" w:eastAsia="Times New Roman" w:hAnsi="Times New Roman"/>
            <w:sz w:val="19"/>
            <w:szCs w:val="19"/>
            <w:color w:val="0000EE"/>
          </w:rPr>
          <w:t xml:space="preserve"> </w:t>
        </w:r>
      </w:hyperlink>
      <w:r>
        <w:rPr>
          <w:rFonts w:ascii="Times New Roman" w:cs="Times New Roman" w:eastAsia="Times New Roman" w:hAnsi="Times New Roman"/>
          <w:sz w:val="19"/>
          <w:szCs w:val="19"/>
          <w:color w:val="000000"/>
        </w:rPr>
        <w:t>[</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5"/>
          <w:szCs w:val="15"/>
          <w:color w:val="0000FF"/>
        </w:rPr>
        <w:t>HROW</w:t>
      </w:r>
      <w:r>
        <w:rPr>
          <w:rFonts w:ascii="Times New Roman" w:cs="Times New Roman" w:eastAsia="Times New Roman" w:hAnsi="Times New Roman"/>
          <w:sz w:val="19"/>
          <w:szCs w:val="19"/>
          <w:color w:val="0000EE"/>
        </w:rPr>
        <w:t xml:space="preserve"> </w:t>
      </w:r>
      <w:r>
        <w:rPr>
          <w:rFonts w:ascii="Times New Roman" w:cs="Times New Roman" w:eastAsia="Times New Roman" w:hAnsi="Times New Roman"/>
          <w:sz w:val="19"/>
          <w:szCs w:val="19"/>
          <w:color w:val="000000"/>
        </w:rPr>
        <w:t>]</w:t>
      </w:r>
    </w:p>
    <w:p>
      <w:pPr>
        <w:spacing w:after="0" w:line="39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03/31/2023</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6" w:lineRule="exact"/>
        <w:rPr>
          <w:sz w:val="24"/>
          <w:szCs w:val="24"/>
          <w:color w:val="auto"/>
        </w:rPr>
      </w:pPr>
    </w:p>
    <w:tbl>
      <w:tblPr>
        <w:tblLayout w:type="fixed"/>
        <w:tblInd w:w="191" w:type="dxa"/>
        <w:tblCellMar>
          <w:top w:w="0" w:type="dxa"/>
          <w:left w:w="0" w:type="dxa"/>
          <w:bottom w:w="0" w:type="dxa"/>
          <w:right w:w="0" w:type="dxa"/>
        </w:tblCellMar>
      </w:tblPr>
      <w:tr>
        <w:trPr>
          <w:trHeight w:val="165"/>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0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0"/>
        </w:trPr>
        <w:tc>
          <w:tcPr>
            <w:tcW w:w="2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00" w:type="dxa"/>
            <w:vAlign w:val="bottom"/>
          </w:tcPr>
          <w:p>
            <w:pPr>
              <w:ind w:left="32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1"/>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0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831"/>
        <w:spacing w:after="0"/>
        <w:rPr>
          <w:sz w:val="20"/>
          <w:szCs w:val="20"/>
          <w:color w:val="auto"/>
        </w:rPr>
      </w:pPr>
      <w:r>
        <w:rPr>
          <w:rFonts w:ascii="Times New Roman" w:cs="Times New Roman" w:eastAsia="Times New Roman" w:hAnsi="Times New Roman"/>
          <w:sz w:val="16"/>
          <w:szCs w:val="16"/>
          <w:color w:val="0000FF"/>
        </w:rPr>
        <w:t>Chief Financial Officer</w:t>
      </w:r>
    </w:p>
    <w:p>
      <w:pPr>
        <w:spacing w:after="0" w:line="504" w:lineRule="exact"/>
        <w:rPr>
          <w:sz w:val="24"/>
          <w:szCs w:val="24"/>
          <w:color w:val="auto"/>
        </w:rPr>
      </w:pPr>
    </w:p>
    <w:p>
      <w:pPr>
        <w:sectPr>
          <w:pgSz w:w="11900" w:h="16838" w:orient="portrait"/>
          <w:cols w:equalWidth="0" w:num="3">
            <w:col w:w="3180" w:space="720"/>
            <w:col w:w="3109" w:space="720"/>
            <w:col w:w="3351"/>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3700" w:type="dxa"/>
            <w:vAlign w:val="bottom"/>
            <w:gridSpan w:val="6"/>
            <w:vMerge w:val="restart"/>
          </w:tcPr>
          <w:p>
            <w:pPr>
              <w:jc w:val="center"/>
              <w:ind w:right="178"/>
              <w:spacing w:after="0"/>
              <w:rPr>
                <w:sz w:val="20"/>
                <w:szCs w:val="20"/>
                <w:color w:val="auto"/>
              </w:rPr>
            </w:pPr>
            <w:r>
              <w:rPr>
                <w:rFonts w:ascii="Arial" w:cs="Arial" w:eastAsia="Arial" w:hAnsi="Arial"/>
                <w:sz w:val="13"/>
                <w:szCs w:val="13"/>
                <w:color w:val="auto"/>
                <w:w w:val="96"/>
              </w:rPr>
              <w:t>4. If Amendment, Date of Original Filed (Month/Day/Year)</w:t>
            </w:r>
          </w:p>
        </w:tc>
        <w:tc>
          <w:tcPr>
            <w:tcW w:w="3620" w:type="dxa"/>
            <w:vAlign w:val="bottom"/>
            <w:gridSpan w:val="9"/>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700" w:type="dxa"/>
            <w:vAlign w:val="bottom"/>
            <w:gridSpan w:val="6"/>
            <w:vMerge w:val="continue"/>
          </w:tcPr>
          <w:p>
            <w:pPr>
              <w:spacing w:after="0"/>
              <w:rPr>
                <w:sz w:val="7"/>
                <w:szCs w:val="7"/>
                <w:color w:val="auto"/>
              </w:rPr>
            </w:pPr>
          </w:p>
        </w:tc>
        <w:tc>
          <w:tcPr>
            <w:tcW w:w="36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NASHVILLE</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TN</w:t>
            </w:r>
          </w:p>
        </w:tc>
        <w:tc>
          <w:tcPr>
            <w:tcW w:w="106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37205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20" w:type="dxa"/>
            <w:vAlign w:val="bottom"/>
            <w:gridSpan w:val="9"/>
          </w:tcPr>
          <w:p>
            <w:pPr>
              <w:ind w:left="480"/>
              <w:spacing w:after="0"/>
              <w:rPr>
                <w:sz w:val="20"/>
                <w:szCs w:val="20"/>
                <w:color w:val="auto"/>
              </w:rPr>
            </w:pPr>
            <w:r>
              <w:rPr>
                <w:rFonts w:ascii="Times New Roman" w:cs="Times New Roman" w:eastAsia="Times New Roman" w:hAnsi="Times New Roman"/>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43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3"/>
          </w:tcPr>
          <w:p>
            <w:pPr>
              <w:jc w:val="center"/>
              <w:ind w:left="67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6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4"/>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0"/>
                <w:szCs w:val="20"/>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03/31/2023</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jc w:val="right"/>
              <w:ind w:right="17"/>
              <w:spacing w:after="0"/>
              <w:rPr>
                <w:sz w:val="20"/>
                <w:szCs w:val="20"/>
                <w:color w:val="auto"/>
              </w:rPr>
            </w:pPr>
            <w:r>
              <w:rPr>
                <w:rFonts w:ascii="Times New Roman" w:cs="Times New Roman" w:eastAsia="Times New Roman" w:hAnsi="Times New Roman"/>
                <w:sz w:val="16"/>
                <w:szCs w:val="16"/>
                <w:color w:val="0000FF"/>
              </w:rPr>
              <w:t>90,000</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A</w:t>
            </w:r>
          </w:p>
        </w:tc>
        <w:tc>
          <w:tcPr>
            <w:tcW w:w="600" w:type="dxa"/>
            <w:vAlign w:val="bottom"/>
            <w:tcBorders>
              <w:bottom w:val="single" w:sz="8" w:color="2C2C2C"/>
            </w:tcBorders>
          </w:tcPr>
          <w:p>
            <w:pPr>
              <w:jc w:val="center"/>
              <w:ind w:right="92"/>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6</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358,461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w:t>
            </w:r>
            <w:r>
              <w:rPr>
                <w:rFonts w:ascii="Times New Roman" w:cs="Times New Roman" w:eastAsia="Times New Roman" w:hAnsi="Times New Roman"/>
                <w:sz w:val="20"/>
                <w:szCs w:val="20"/>
                <w:color w:val="008000"/>
                <w:vertAlign w:val="superscript"/>
              </w:rPr>
              <w:t>(1)</w:t>
            </w:r>
          </w:p>
        </w:tc>
        <w:tc>
          <w:tcPr>
            <w:tcW w:w="1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03/31/2023</w:t>
            </w:r>
          </w:p>
        </w:tc>
        <w:tc>
          <w:tcPr>
            <w:tcW w:w="6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34,442</w:t>
            </w:r>
            <w:r>
              <w:rPr>
                <w:rFonts w:ascii="Times New Roman" w:cs="Times New Roman" w:eastAsia="Times New Roman" w:hAnsi="Times New Roman"/>
                <w:sz w:val="20"/>
                <w:szCs w:val="20"/>
                <w:color w:val="008000"/>
                <w:vertAlign w:val="superscript"/>
              </w:rPr>
              <w:t>(1)</w:t>
            </w:r>
          </w:p>
        </w:tc>
        <w:tc>
          <w:tcPr>
            <w:tcW w:w="6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6"/>
                <w:szCs w:val="16"/>
                <w:color w:val="0000FF"/>
              </w:rPr>
              <w:t>D</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21.16</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324,019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2"/>
          </w:tcPr>
          <w:p>
            <w:pPr>
              <w:jc w:val="right"/>
              <w:ind w:right="2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1"/>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4"/>
                <w:szCs w:val="14"/>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Derivative</w:t>
            </w:r>
          </w:p>
        </w:tc>
        <w:tc>
          <w:tcPr>
            <w:tcW w:w="460" w:type="dxa"/>
            <w:vAlign w:val="bottom"/>
          </w:tcPr>
          <w:p>
            <w:pPr>
              <w:spacing w:after="0"/>
              <w:rPr>
                <w:sz w:val="10"/>
                <w:szCs w:val="10"/>
                <w:color w:val="auto"/>
              </w:rPr>
            </w:pPr>
          </w:p>
        </w:tc>
        <w:tc>
          <w:tcPr>
            <w:tcW w:w="1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Securities</w:t>
            </w:r>
          </w:p>
        </w:tc>
        <w:tc>
          <w:tcPr>
            <w:tcW w:w="460" w:type="dxa"/>
            <w:vAlign w:val="bottom"/>
          </w:tcPr>
          <w:p>
            <w:pPr>
              <w:spacing w:after="0"/>
              <w:rPr>
                <w:sz w:val="10"/>
                <w:szCs w:val="10"/>
                <w:color w:val="auto"/>
              </w:rPr>
            </w:pPr>
          </w:p>
        </w:tc>
        <w:tc>
          <w:tcPr>
            <w:tcW w:w="14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line="125" w:lineRule="exact"/>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 or</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Disposed of (D)</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6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 4 and 5)</w:t>
            </w: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6</w:t>
            </w:r>
          </w:p>
        </w:tc>
        <w:tc>
          <w:tcPr>
            <w:tcW w:w="120" w:type="dxa"/>
            <w:vAlign w:val="bottom"/>
          </w:tcPr>
          <w:p>
            <w:pPr>
              <w:spacing w:after="0"/>
              <w:rPr>
                <w:sz w:val="11"/>
                <w:szCs w:val="11"/>
                <w:color w:val="auto"/>
              </w:rPr>
            </w:pPr>
          </w:p>
        </w:tc>
        <w:tc>
          <w:tcPr>
            <w:tcW w:w="1040" w:type="dxa"/>
            <w:vAlign w:val="bottom"/>
            <w:vMerge w:val="restart"/>
          </w:tcPr>
          <w:p>
            <w:pPr>
              <w:jc w:val="right"/>
              <w:ind w:right="177"/>
              <w:spacing w:after="0"/>
              <w:rPr>
                <w:sz w:val="20"/>
                <w:szCs w:val="20"/>
                <w:color w:val="auto"/>
              </w:rPr>
            </w:pPr>
            <w:r>
              <w:rPr>
                <w:rFonts w:ascii="Times New Roman" w:cs="Times New Roman" w:eastAsia="Times New Roman" w:hAnsi="Times New Roman"/>
                <w:sz w:val="13"/>
                <w:szCs w:val="13"/>
                <w:color w:val="0000FF"/>
              </w:rPr>
              <w:t>03/31/2023</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M</w:t>
            </w:r>
          </w:p>
        </w:tc>
        <w:tc>
          <w:tcPr>
            <w:tcW w:w="60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90,000</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(2)</w:t>
            </w:r>
          </w:p>
        </w:tc>
        <w:tc>
          <w:tcPr>
            <w:tcW w:w="7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04/01/2023</w:t>
            </w:r>
          </w:p>
        </w:tc>
        <w:tc>
          <w:tcPr>
            <w:tcW w:w="600" w:type="dxa"/>
            <w:vAlign w:val="bottom"/>
          </w:tcPr>
          <w:p>
            <w:pPr>
              <w:ind w:left="2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60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color w:val="0000FF"/>
              </w:rPr>
              <w:t>90,000</w:t>
            </w:r>
          </w:p>
        </w:tc>
        <w:tc>
          <w:tcPr>
            <w:tcW w:w="60" w:type="dxa"/>
            <w:vAlign w:val="bottom"/>
          </w:tcPr>
          <w:p>
            <w:pPr>
              <w:spacing w:after="0"/>
              <w:rPr>
                <w:sz w:val="11"/>
                <w:szCs w:val="11"/>
                <w:color w:val="auto"/>
              </w:rPr>
            </w:pPr>
          </w:p>
        </w:tc>
        <w:tc>
          <w:tcPr>
            <w:tcW w:w="680" w:type="dxa"/>
            <w:vAlign w:val="bottom"/>
            <w:vMerge w:val="restart"/>
          </w:tcPr>
          <w:p>
            <w:pPr>
              <w:jc w:val="right"/>
              <w:ind w:righ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vMerge w:val="restart"/>
          </w:tcPr>
          <w:p>
            <w:pPr>
              <w:jc w:val="right"/>
              <w:ind w:right="43"/>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660" w:type="dxa"/>
            <w:vAlign w:val="bottom"/>
            <w:gridSpan w:val="2"/>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00" w:type="dxa"/>
            <w:vAlign w:val="bottom"/>
            <w:vMerge w:val="restart"/>
          </w:tcPr>
          <w:p>
            <w:pPr>
              <w:ind w:left="10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ind w:left="320"/>
              <w:spacing w:after="0"/>
              <w:rPr>
                <w:sz w:val="20"/>
                <w:szCs w:val="20"/>
                <w:color w:val="auto"/>
              </w:rPr>
            </w:pPr>
            <w:r>
              <w:rPr>
                <w:rFonts w:ascii="Times New Roman" w:cs="Times New Roman" w:eastAsia="Times New Roman" w:hAnsi="Times New Roman"/>
                <w:sz w:val="10"/>
                <w:szCs w:val="10"/>
                <w:color w:val="008000"/>
              </w:rPr>
              <w:t>(3)</w:t>
            </w:r>
          </w:p>
        </w:tc>
        <w:tc>
          <w:tcPr>
            <w:tcW w:w="120" w:type="dxa"/>
            <w:vAlign w:val="bottom"/>
          </w:tcPr>
          <w:p>
            <w:pPr>
              <w:spacing w:after="0"/>
              <w:rPr>
                <w:sz w:val="19"/>
                <w:szCs w:val="19"/>
                <w:color w:val="auto"/>
              </w:rPr>
            </w:pPr>
          </w:p>
        </w:tc>
        <w:tc>
          <w:tcPr>
            <w:tcW w:w="104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0000FF"/>
              </w:rPr>
              <w:t>04/03/2023</w:t>
            </w: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346,500</w:t>
            </w:r>
          </w:p>
        </w:tc>
        <w:tc>
          <w:tcPr>
            <w:tcW w:w="460" w:type="dxa"/>
            <w:vAlign w:val="bottom"/>
          </w:tcPr>
          <w:p>
            <w:pPr>
              <w:spacing w:after="0"/>
              <w:rPr>
                <w:sz w:val="19"/>
                <w:szCs w:val="19"/>
                <w:color w:val="auto"/>
              </w:rPr>
            </w:pPr>
          </w:p>
        </w:tc>
        <w:tc>
          <w:tcPr>
            <w:tcW w:w="740" w:type="dxa"/>
            <w:vAlign w:val="bottom"/>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7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04/03/2028</w:t>
            </w:r>
          </w:p>
        </w:tc>
        <w:tc>
          <w:tcPr>
            <w:tcW w:w="6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0000FF"/>
                <w:w w:val="99"/>
              </w:rPr>
              <w:t>346,500</w:t>
            </w:r>
          </w:p>
        </w:tc>
        <w:tc>
          <w:tcPr>
            <w:tcW w:w="60" w:type="dxa"/>
            <w:vAlign w:val="bottom"/>
          </w:tcPr>
          <w:p>
            <w:pPr>
              <w:spacing w:after="0"/>
              <w:rPr>
                <w:sz w:val="19"/>
                <w:szCs w:val="19"/>
                <w:color w:val="auto"/>
              </w:rPr>
            </w:pPr>
          </w:p>
        </w:tc>
        <w:tc>
          <w:tcPr>
            <w:tcW w:w="680" w:type="dxa"/>
            <w:vAlign w:val="bottom"/>
          </w:tcPr>
          <w:p>
            <w:pPr>
              <w:jc w:val="right"/>
              <w:ind w:righ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0000FF"/>
              </w:rPr>
              <w:t>346,500</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-1973580</wp:posOffset>
            </wp:positionV>
            <wp:extent cx="28575" cy="1978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97866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the exercise price and tax liability incident to the exercise of the stock option. Such withholding did not involve any market sales or other market transactions.</w:t>
      </w:r>
    </w:p>
    <w:p>
      <w:pPr>
        <w:spacing w:after="0" w:line="38" w:lineRule="exact"/>
        <w:rPr>
          <w:rFonts w:ascii="Times New Roman" w:cs="Times New Roman" w:eastAsia="Times New Roman" w:hAnsi="Times New Roman"/>
          <w:sz w:val="13"/>
          <w:szCs w:val="13"/>
          <w:color w:val="008000"/>
        </w:rPr>
      </w:pPr>
    </w:p>
    <w:p>
      <w:pPr>
        <w:ind w:left="40" w:right="36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was granted on April 1, 2013 under the Issuers 2007 Stock Incentive and Awards Plan and the shares subject to the stock option became exercisable over a 3 year period, according to a quarterly vesting schedule following its grant date. The stock option had an expiration date of April 1, 2023.</w:t>
      </w:r>
    </w:p>
    <w:p>
      <w:pPr>
        <w:spacing w:after="0" w:line="22" w:lineRule="exact"/>
        <w:rPr>
          <w:rFonts w:ascii="Times New Roman" w:cs="Times New Roman" w:eastAsia="Times New Roman" w:hAnsi="Times New Roman"/>
          <w:sz w:val="13"/>
          <w:szCs w:val="13"/>
          <w:color w:val="008000"/>
        </w:rPr>
      </w:pPr>
    </w:p>
    <w:p>
      <w:pPr>
        <w:ind w:left="40" w:right="220" w:hanging="2"/>
        <w:spacing w:after="0" w:line="231"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("PSUs") granted under the Issuer's 2017 Stock Incentive and Awards Plan, as amended (the "Plan"). Each PSU represents a contingent right to receive one share of common stock of the Issuer upon vesting. The vesting of the PSUs (granted in lieu of service only stock option and restricted stock unit awards) require (i) a minimum of a two-year service period, and (ii) the achievement and maintenance of Harrow common stock price targets of $25 (causing the vesting of 49,500 PSU shares), $35 (causing the vesting of 74,250 PSU shares), $45 (causing the vesting of 99,000 PSU shares), $50 (causing the vesting of 123,750 PSU shares).</w:t>
      </w:r>
    </w:p>
    <w:p>
      <w:pPr>
        <w:spacing w:after="0" w:line="41"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220" w:type="dxa"/>
            <w:vAlign w:val="bottom"/>
          </w:tcPr>
          <w:p>
            <w:pPr>
              <w:spacing w:after="0"/>
              <w:rPr>
                <w:sz w:val="20"/>
                <w:szCs w:val="20"/>
                <w:color w:val="auto"/>
              </w:rPr>
            </w:pPr>
            <w:r>
              <w:rPr>
                <w:rFonts w:ascii="Times New Roman" w:cs="Times New Roman" w:eastAsia="Times New Roman" w:hAnsi="Times New Roman"/>
                <w:sz w:val="16"/>
                <w:szCs w:val="16"/>
                <w:color w:val="0000FF"/>
                <w:w w:val="99"/>
              </w:rPr>
              <w:t>/s/ Andrew R. Boll</w:t>
            </w:r>
          </w:p>
        </w:tc>
        <w:tc>
          <w:tcPr>
            <w:tcW w:w="78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04/04/2023</w:t>
            </w:r>
          </w:p>
        </w:tc>
      </w:tr>
      <w:tr>
        <w:trPr>
          <w:trHeight w:val="20"/>
        </w:trPr>
        <w:tc>
          <w:tcPr>
            <w:tcW w:w="12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42150"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2023-04-04T18:52:10Z</dcterms:created>
  <dcterms:modified xsi:type="dcterms:W3CDTF">2023-04-04T18:52:10Z</dcterms:modified>
</cp:coreProperties>
</file>