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17,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001-35814</w:t>
            </w:r>
          </w:p>
        </w:tc>
        <w:tc>
          <w:tcPr>
            <w:tcW w:w="220" w:type="dxa"/>
            <w:vAlign w:val="bottom"/>
          </w:tcPr>
          <w:p>
            <w:pPr>
              <w:spacing w:after="0"/>
              <w:rPr>
                <w:sz w:val="19"/>
                <w:szCs w:val="19"/>
                <w:color w:val="auto"/>
              </w:rPr>
            </w:pPr>
          </w:p>
        </w:tc>
        <w:tc>
          <w:tcPr>
            <w:tcW w:w="448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45-0567010</w:t>
            </w:r>
          </w:p>
        </w:tc>
      </w:tr>
      <w:tr>
        <w:trPr>
          <w:trHeight w:val="216"/>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448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File Number)</w:t>
            </w:r>
          </w:p>
        </w:tc>
        <w:tc>
          <w:tcPr>
            <w:tcW w:w="448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260" w:type="dxa"/>
            <w:vAlign w:val="bottom"/>
          </w:tcPr>
          <w:p>
            <w:pPr>
              <w:spacing w:after="0"/>
              <w:rPr>
                <w:sz w:val="24"/>
                <w:szCs w:val="24"/>
                <w:color w:val="auto"/>
              </w:rPr>
            </w:pPr>
          </w:p>
        </w:tc>
        <w:tc>
          <w:tcPr>
            <w:tcW w:w="450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22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37215</w:t>
            </w:r>
          </w:p>
        </w:tc>
      </w:tr>
      <w:tr>
        <w:trPr>
          <w:trHeight w:val="234"/>
        </w:trPr>
        <w:tc>
          <w:tcPr>
            <w:tcW w:w="2260" w:type="dxa"/>
            <w:vAlign w:val="bottom"/>
          </w:tcPr>
          <w:p>
            <w:pPr>
              <w:spacing w:after="0"/>
              <w:rPr>
                <w:sz w:val="20"/>
                <w:szCs w:val="20"/>
                <w:color w:val="auto"/>
              </w:rPr>
            </w:pPr>
          </w:p>
        </w:tc>
        <w:tc>
          <w:tcPr>
            <w:tcW w:w="450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40" w:type="dxa"/>
            <w:vAlign w:val="bottom"/>
          </w:tcPr>
          <w:p>
            <w:pPr>
              <w:spacing w:after="0"/>
              <w:rPr>
                <w:sz w:val="20"/>
                <w:szCs w:val="20"/>
                <w:color w:val="auto"/>
              </w:rPr>
            </w:pPr>
          </w:p>
        </w:tc>
        <w:tc>
          <w:tcPr>
            <w:tcW w:w="224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2260" w:type="dxa"/>
            <w:vAlign w:val="bottom"/>
          </w:tcPr>
          <w:p>
            <w:pPr>
              <w:spacing w:after="0"/>
              <w:rPr>
                <w:sz w:val="24"/>
                <w:szCs w:val="24"/>
                <w:color w:val="auto"/>
              </w:rPr>
            </w:pPr>
          </w:p>
        </w:tc>
        <w:tc>
          <w:tcPr>
            <w:tcW w:w="8980" w:type="dxa"/>
            <w:vAlign w:val="bottom"/>
            <w:gridSpan w:val="6"/>
          </w:tcPr>
          <w:p>
            <w:pPr>
              <w:jc w:val="center"/>
              <w:ind w:right="21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(615) 733-4730</w:t>
            </w:r>
          </w:p>
        </w:tc>
      </w:tr>
      <w:tr>
        <w:trPr>
          <w:trHeight w:val="432"/>
        </w:trPr>
        <w:tc>
          <w:tcPr>
            <w:tcW w:w="226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24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228"/>
        </w:trPr>
        <w:tc>
          <w:tcPr>
            <w:tcW w:w="2260" w:type="dxa"/>
            <w:vAlign w:val="bottom"/>
          </w:tcPr>
          <w:p>
            <w:pPr>
              <w:spacing w:after="0"/>
              <w:rPr>
                <w:sz w:val="19"/>
                <w:szCs w:val="19"/>
                <w:color w:val="auto"/>
              </w:rPr>
            </w:pPr>
          </w:p>
        </w:tc>
        <w:tc>
          <w:tcPr>
            <w:tcW w:w="67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240" w:type="dxa"/>
            <w:vAlign w:val="bottom"/>
          </w:tcPr>
          <w:p>
            <w:pPr>
              <w:spacing w:after="0"/>
              <w:rPr>
                <w:sz w:val="19"/>
                <w:szCs w:val="19"/>
                <w:color w:val="auto"/>
              </w:rPr>
            </w:pPr>
          </w:p>
        </w:tc>
      </w:tr>
      <w:tr>
        <w:trPr>
          <w:trHeight w:val="41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45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228"/>
        </w:trPr>
        <w:tc>
          <w:tcPr>
            <w:tcW w:w="42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19"/>
                <w:szCs w:val="19"/>
                <w:color w:val="auto"/>
              </w:rPr>
            </w:pPr>
          </w:p>
        </w:tc>
        <w:tc>
          <w:tcPr>
            <w:tcW w:w="44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17, 2025, Harrow, Inc. (the “Company”) completed the previously announced acquisition of Melt Pharmaceuticals, Inc. (“Melt”) pursuant to the Agreement and Plan of Merger, dated September 24, 2025 (the “Merger Agreement”), by and among the Company, Harrow Acquisition Sub, Inc., Melt, and the stockholder representative.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material terms of the Merger Agreement and the related milestone payment agreement were previously described in the Company’s Current Report on Form 8-K filed on September 26, 2025, which description is incorporated herein by reference.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closing, the Company paid approximately $4.3 million in cash as initial consideration for the remaining equity interests of Melt. The contingent regulatory and commercial milestone payments described in the Company’s September 26, 2025 Form 8-K remain unchanged.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closing conditions under the Merger Agreement were satisfied or waived, and the merger became effective on November 17,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applicable, the disclosure included in Item 2.01 of this Current Report on Form 8-K regarding the potential future issuance of shares of the Company’s common stock in connection with the Melt acquisition is incorporated by reference into this Item 3.02. Any such shares would be issued pursuant to the exemption from registration provided by Section 4(a)(2) of the Securities Act of 1933,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18, 2025, the Company issued a press release announcing the closing of the Melt acquisition. A copy of the press release is filed as Exhibit 99.1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Harrow, Inc. on November 18, 2025</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18, 2025</w:t>
            </w: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1"/>
        </w:trPr>
        <w:tc>
          <w:tcPr>
            <w:tcW w:w="3800" w:type="dxa"/>
            <w:vAlign w:val="bottom"/>
          </w:tcPr>
          <w:p>
            <w:pPr>
              <w:spacing w:after="0"/>
              <w:rPr>
                <w:sz w:val="16"/>
                <w:szCs w:val="16"/>
                <w:color w:val="auto"/>
              </w:rPr>
            </w:pPr>
          </w:p>
        </w:tc>
        <w:tc>
          <w:tcPr>
            <w:tcW w:w="2400" w:type="dxa"/>
            <w:vAlign w:val="bottom"/>
          </w:tcPr>
          <w:p>
            <w:pPr>
              <w:ind w:left="18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800" w:type="dxa"/>
            <w:vAlign w:val="bottom"/>
          </w:tcPr>
          <w:p>
            <w:pPr>
              <w:spacing w:after="0"/>
              <w:rPr>
                <w:sz w:val="20"/>
                <w:szCs w:val="20"/>
                <w:color w:val="auto"/>
              </w:rPr>
            </w:pP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Financial Officer</w:t>
            </w:r>
          </w:p>
        </w:tc>
      </w:tr>
      <w:tr>
        <w:trPr>
          <w:trHeight w:val="432"/>
        </w:trPr>
        <w:tc>
          <w:tcPr>
            <w:tcW w:w="38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294005</wp:posOffset>
            </wp:positionV>
            <wp:extent cx="1714500" cy="891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Announces Closing of Acquisition of Melt Pharmaceuticals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NASHVILLE, Tenn., November 18, 2025 </w:t>
      </w:r>
      <w:r>
        <w:rPr>
          <w:rFonts w:ascii="Times New Roman" w:cs="Times New Roman" w:eastAsia="Times New Roman" w:hAnsi="Times New Roman"/>
          <w:sz w:val="18"/>
          <w:szCs w:val="18"/>
          <w:color w:val="auto"/>
        </w:rPr>
        <w:t>– Harrow (Nasdaq: HROW), a leading provider of ophthalmic disease management solutions in North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today announced that it has completed the acquisition of Melt Pharmaceuticals, Inc. (Melt), a clinical-stage pharmaceutical company pioneering non-opioid, non-IV therapies for sedation for medical procedures in the hospital, outpatient, and in-office settings. Melt’s product candidates, MELT-210, MELT-300, and MELT-400, are based on the proprietary Zydis® ODT (oral dissolving tablet) drug delivery platform. The closing of the Melt acquisition marks a strategic expansion of Harrow’s portfolio and reinforces its commitment to delivering innovative therapies that improve patient outcomes.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global patent coverage and potential applications in ophthalmology, gastroenterology, dental care, and a wide range of outpatient procedures where sedation or anxiety management is needed, from diagnostic imaging to endoscopy procedures to pre-anesthesia, Melt’s drug candidates, including MELT-300, position Harrow to enter the multi-billion-dollar annual U.S. and global procedural sedation and anxiety market.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MELT-300 represents a transformative opportunity, building on more than a decade of real-world experience with MKO Melt® — a compounded sublingual sedation product sold by Harrow’s ImprimisRx subsidiary and currently administered by over 800 U.S. ophthalmic institutions, primarily for cataract surgery. As a potential FDA-approved successor, MELT-300 is a patented, sublingually delivered formulation of a fixed dose of midazolam (3mg) and ketamine (50mg) designed to provide rapid, predictable sedation without the need for intravenous administration. The MELT-300 </w:t>
      </w:r>
      <w:r>
        <w:rPr>
          <w:rFonts w:ascii="Times New Roman" w:cs="Times New Roman" w:eastAsia="Times New Roman" w:hAnsi="Times New Roman"/>
          <w:sz w:val="18"/>
          <w:szCs w:val="18"/>
          <w:u w:val="single" w:color="auto"/>
          <w:color w:val="auto"/>
        </w:rPr>
        <w:t>Phase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Phase 3</w:t>
      </w:r>
      <w:r>
        <w:rPr>
          <w:rFonts w:ascii="Times New Roman" w:cs="Times New Roman" w:eastAsia="Times New Roman" w:hAnsi="Times New Roman"/>
          <w:sz w:val="18"/>
          <w:szCs w:val="18"/>
          <w:color w:val="auto"/>
        </w:rPr>
        <w:t xml:space="preserve"> clinical programs previously demonstrated statistical </w:t>
      </w:r>
      <w:r>
        <w:rPr>
          <w:rFonts w:ascii="Times New Roman" w:cs="Times New Roman" w:eastAsia="Times New Roman" w:hAnsi="Times New Roman"/>
          <w:sz w:val="18"/>
          <w:szCs w:val="18"/>
          <w:i w:val="1"/>
          <w:iCs w:val="1"/>
          <w:color w:val="auto"/>
        </w:rPr>
        <w:t>superiority</w:t>
      </w:r>
      <w:r>
        <w:rPr>
          <w:rFonts w:ascii="Times New Roman" w:cs="Times New Roman" w:eastAsia="Times New Roman" w:hAnsi="Times New Roman"/>
          <w:sz w:val="18"/>
          <w:szCs w:val="18"/>
          <w:color w:val="auto"/>
        </w:rPr>
        <w:t xml:space="preserve"> to midazolam alone. The innovative approach to sedation MELT-300 offers has the potential to transform patient experiences across a wide range of office-based and outpatient procedures, addressing the healthcare system’s growing demand to reduce exposure to opioids, including fentanyl.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development of MELT-300 marks a defining milestone for Harrow — our first product taken from ideation to the brink of commercialization. I still remember the first call we received about this novel concept of non-IV, non-opioid sedation, and the immediate sense that it could truly change the patient experience for procedural sedation. From helping shape the early formulation, to supporting and funding the clinical program, to now executing the remaining pharmacokinetics (PK) studies and preparing to submit our first NDA — this journey showcases Harrow’s ability to recognize promising opportunities early and execute to deliver meaningful value,” said Mark L. Baum, Chief Executive Officer of Harrow. “We’re incredibly excited about MELT-300’s potential to transform procedural sedation, reduce opioid exposure, and expand safe, accessible sedation options across medical specialties. It’s not just a scientific or commercial achievement — it’s a meaningful step forward for patients and for the US healthcare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Harrow Announces Closing of Acquisition of Melt Pharmaceuticals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17, 2025</w:t>
      </w:r>
    </w:p>
    <w:p>
      <w:pPr>
        <w:spacing w:after="0" w:line="2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Harrow’s Chief Scientific Officer, Amir Shojaei, added, “In addition to the MELT-300 program, in parallel, our clinical development team is also excited to advance the MELT-210 drug candidate in procedural sedation, which we have rarely spoken about, but which nevertheless remains an important part of the rationale behind this acquisition. MELT-210 is a sublingual dosage of midazolam (3mg) in the Zydis ODT technology and has been studied in both Phase 2 and Phase 3 trials as a comparator drug in the MELT-300 program. Due to the advantageous characteristics of MELT-210, including its rapid uptake and short half-life, compared to current market alternatives, we believe MELT-210 will have strong commercial potential. We look forward to engaging with FDA to discuss next steps for this advanced drug development program, and in due course, to have a second product in the market from the Melt portfolio.”</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“I’ve relied on MKO Melt for years because it delivers what both clinicians and patients want — effective, needle-free sedation without opioids or the need for IV access. The workflow efficiencies and safety profile have made it a cornerstone of our surgical suite,” said Dr. Lawrence Woodard, M.D., Medical Director of Omni Eye Services of Atlanta. “Seeing this innovation advance toward FDA approval with MELT-300 reinforces its importance, not only for ophthalmology but for a wide range of outpatient and office-based procedures. Beyond individual practices, the societal impact of reducing opioid exposure while expanding access to safe, convenient sedation could be enormous.”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 Steps for MELT-300</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MELT-300 program was the subject of a Special Protocol Assessment (SPA), confirming that the completed Phase 3 study design, statistical approach, and endpoints adequately support a future regulatory submission. Having completed the Phase 3 program, Harrow’s focus now turns to advancing MELT-300 toward FDA approval and commercialization.</w:t>
      </w:r>
    </w:p>
    <w:p>
      <w:pPr>
        <w:spacing w:after="0" w:line="172" w:lineRule="exact"/>
        <w:rPr>
          <w:sz w:val="20"/>
          <w:szCs w:val="20"/>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 into Harrow: </w:t>
      </w:r>
      <w:r>
        <w:rPr>
          <w:rFonts w:ascii="Times New Roman" w:cs="Times New Roman" w:eastAsia="Times New Roman" w:hAnsi="Times New Roman"/>
          <w:sz w:val="18"/>
          <w:szCs w:val="18"/>
          <w:color w:val="auto"/>
        </w:rPr>
        <w:t>Melt Pharmaceuticals will be fully integrated into Harrow’s operations to ensure a seamless transition and accelerate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progress toward NDA submission, approval, and market launch.</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Supporting Studies: </w:t>
      </w:r>
      <w:r>
        <w:rPr>
          <w:rFonts w:ascii="Times New Roman" w:cs="Times New Roman" w:eastAsia="Times New Roman" w:hAnsi="Times New Roman"/>
          <w:sz w:val="18"/>
          <w:szCs w:val="18"/>
          <w:color w:val="auto"/>
        </w:rPr>
        <w:t>In support of an NDA filing, Harrow will be initiating one non-clinical animal study and three PK studies to generate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of the data necessary for an NDA package.</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NDA Submission (H1 2027): </w:t>
      </w:r>
      <w:r>
        <w:rPr>
          <w:rFonts w:ascii="Times New Roman" w:cs="Times New Roman" w:eastAsia="Times New Roman" w:hAnsi="Times New Roman"/>
          <w:sz w:val="18"/>
          <w:szCs w:val="18"/>
          <w:color w:val="auto"/>
        </w:rPr>
        <w:t>Prepare and submit the NDA for MELT-300.</w:t>
      </w:r>
    </w:p>
    <w:p>
      <w:pPr>
        <w:spacing w:after="0" w:line="225"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Review and Approval (H1 2028): </w:t>
      </w:r>
      <w:r>
        <w:rPr>
          <w:rFonts w:ascii="Times New Roman" w:cs="Times New Roman" w:eastAsia="Times New Roman" w:hAnsi="Times New Roman"/>
          <w:sz w:val="18"/>
          <w:szCs w:val="18"/>
          <w:color w:val="auto"/>
        </w:rPr>
        <w:t>Engage collaboratively with the FDA through the review process, with potential approval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half of 2028.</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 Readiness and Launch (H2 2028): </w:t>
      </w:r>
      <w:r>
        <w:rPr>
          <w:rFonts w:ascii="Times New Roman" w:cs="Times New Roman" w:eastAsia="Times New Roman" w:hAnsi="Times New Roman"/>
          <w:sz w:val="18"/>
          <w:szCs w:val="18"/>
          <w:color w:val="auto"/>
        </w:rPr>
        <w:t>Leverage Harrow’s existing commercial infrastructure and MKO Melt customer network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launch preparations — including manufacturing scale-up, packaging, supply-chain validation, reimbursement, market-access planning, and much more.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Expansion Strategy: </w:t>
      </w:r>
      <w:r>
        <w:rPr>
          <w:rFonts w:ascii="Times New Roman" w:cs="Times New Roman" w:eastAsia="Times New Roman" w:hAnsi="Times New Roman"/>
          <w:sz w:val="18"/>
          <w:szCs w:val="18"/>
          <w:color w:val="auto"/>
        </w:rPr>
        <w:t>Build on Harrow’s established ophthalmic footprint to drive adoption initially in cataract and other ophthalmic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followed by expansion into additional outpatient and in-office settings where opioid-free, needle-free sedation can improve patient experience and workflow efficiency.</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Together, these next steps position MELT-300 to become the first FDA-approved, non-opioid, non-IV sublingual sedation therapy in the U.S., representing a meaningful growth opportunity for Harrow and a major advancement in patient-centric procedural care.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Harrow Announces Closing of Acquisition of Melt Pharmaceuticals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17,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Harrow, Inc. (Nasdaq: HROW) is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retina diseases. Harrow was founded with a commitment to deliver safe, effective, accessible, and affordable medications that enhance patient compliance and improve clinical outcomes. For more information about Harrow, please visit harrow.com.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U.S. Private Securities Litigation Reform Act of 1995. Any statements in this release that are not historical facts may be considered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including litigation matters, and other uncertainties related to our pharmacy operations and the pharmacy and pharmaceutical business in general;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2024, subsequent Quarterly Reports on Form 10-Q, and other filings with the SEC. Such documents may be read free of charge on the SEC’s website at sec.gov.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Investors:</w:t>
      </w:r>
      <w:r>
        <w:rPr>
          <w:sz w:val="20"/>
          <w:szCs w:val="20"/>
          <w:color w:val="auto"/>
        </w:rPr>
        <w:tab/>
      </w:r>
      <w:r>
        <w:rPr>
          <w:rFonts w:ascii="Times New Roman" w:cs="Times New Roman" w:eastAsia="Times New Roman" w:hAnsi="Times New Roman"/>
          <w:sz w:val="18"/>
          <w:szCs w:val="18"/>
          <w:b w:val="1"/>
          <w:bCs w:val="1"/>
          <w:color w:val="auto"/>
        </w:rPr>
        <w:t>Media:</w:t>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Biega</w:t>
      </w:r>
    </w:p>
    <w:p>
      <w:pPr>
        <w:spacing w:after="0" w:line="27" w:lineRule="exact"/>
        <w:rPr>
          <w:sz w:val="20"/>
          <w:szCs w:val="20"/>
          <w:color w:val="auto"/>
        </w:rPr>
      </w:pPr>
    </w:p>
    <w:p>
      <w:pPr>
        <w:ind w:right="840"/>
        <w:spacing w:after="0" w:line="250" w:lineRule="auto"/>
        <w:rPr>
          <w:sz w:val="20"/>
          <w:szCs w:val="20"/>
          <w:color w:val="auto"/>
        </w:rPr>
      </w:pPr>
      <w:r>
        <w:rPr>
          <w:rFonts w:ascii="Times New Roman" w:cs="Times New Roman" w:eastAsia="Times New Roman" w:hAnsi="Times New Roman"/>
          <w:sz w:val="18"/>
          <w:szCs w:val="18"/>
          <w:color w:val="auto"/>
        </w:rPr>
        <w:t xml:space="preserve">Vice President of Investor Relations and Communications </w:t>
      </w:r>
      <w:r>
        <w:rPr>
          <w:rFonts w:ascii="Times New Roman" w:cs="Times New Roman" w:eastAsia="Times New Roman" w:hAnsi="Times New Roman"/>
          <w:sz w:val="18"/>
          <w:szCs w:val="18"/>
          <w:u w:val="single" w:color="auto"/>
          <w:color w:val="auto"/>
        </w:rPr>
        <w:t>mbiega@harrowinc.com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617-913-8890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Silvana Guerci-Lena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Powers &amp;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silvana@powers-co.com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508-808-8993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2">
        <w:col w:w="5020" w:space="720"/>
        <w:col w:w="5500"/>
      </w:cols>
      <w:pgMar w:left="320" w:top="22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2025-11-18T07:07:53Z</dcterms:created>
  <dcterms:modified xsi:type="dcterms:W3CDTF">2025-11-18T07:07:53Z</dcterms:modified>
</cp:coreProperties>
</file>