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4"/>
        </w:rPr>
      </w:pPr>
      <w:bookmarkStart w:id="0" w:name="immy_pre14a.htm"/>
      <w:bookmarkStart w:id="1" w:name="ksimmy_pre14a"/>
      <w:bookmarkEnd w:id="0"/>
      <w:bookmarkEnd w:id="1"/>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SCHEDULE 14A INFORMATION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 Pursuant to Section 14(a) of the</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Exchange Act of 1934</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No.     )</w:t>
      </w:r>
    </w:p>
    <w:p>
      <w:pPr>
        <w:pStyle w:val="TextBody"/>
        <w:spacing w:before="0" w:after="0"/>
        <w:ind w:left="0" w:right="0" w:hanging="0"/>
        <w:rPr/>
      </w:pPr>
      <w:r>
        <w:rPr/>
      </w:r>
    </w:p>
    <w:p>
      <w:pPr>
        <w:pStyle w:val="TextBody"/>
        <w:spacing w:before="0" w:after="0"/>
        <w:ind w:left="0" w:right="0" w:hanging="0"/>
        <w:jc w:val="center"/>
        <w:rPr/>
      </w:pPr>
      <w:r>
        <w:rPr/>
        <w:t> </w:t>
      </w:r>
    </w:p>
    <w:p>
      <w:pPr>
        <w:pStyle w:val="Normal"/>
        <w:spacing w:before="0" w:after="0"/>
        <w:rPr>
          <w:sz w:val="4"/>
          <w:szCs w:val="4"/>
        </w:rPr>
      </w:pPr>
      <w:r>
        <w:rPr>
          <w:sz w:val="4"/>
          <w:szCs w:val="4"/>
        </w:rPr>
      </w:r>
      <w:bookmarkStart w:id="2" w:name="hangingindent"/>
      <w:bookmarkStart w:id="3" w:name="hangingindent"/>
      <w:bookmarkEnd w:id="3"/>
    </w:p>
    <w:tbl>
      <w:tblPr>
        <w:tblW w:w="5000" w:type="pct"/>
        <w:jc w:val="center"/>
        <w:tblInd w:w="0" w:type="dxa"/>
        <w:tblCellMar>
          <w:top w:w="0" w:type="dxa"/>
          <w:left w:w="0" w:type="dxa"/>
          <w:bottom w:w="0" w:type="dxa"/>
          <w:right w:w="0" w:type="dxa"/>
        </w:tblCellMar>
      </w:tblPr>
      <w:tblGrid>
        <w:gridCol w:w="177"/>
        <w:gridCol w:w="10028"/>
      </w:tblGrid>
      <w:tr>
        <w:trPr/>
        <w:tc>
          <w:tcPr>
            <w:tcW w:w="177" w:type="dxa"/>
            <w:tcBorders/>
            <w:shd w:fill="auto" w:val="clear"/>
          </w:tcPr>
          <w:p>
            <w:pPr>
              <w:pStyle w:val="TableContents"/>
              <w:spacing w:before="0" w:after="0"/>
              <w:rPr/>
            </w:pPr>
            <w:r>
              <w:rPr/>
              <w:t xml:space="preserve">  </w:t>
            </w:r>
          </w:p>
        </w:tc>
        <w:tc>
          <w:tcPr>
            <w:tcW w:w="1002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Filed by the Registrant   ☑                       Filed by a Party other than the Registrant  </w:t>
            </w:r>
            <w:r>
              <w:rPr>
                <w:rFonts w:ascii="Wingdings" w:hAnsi="Wingdings"/>
                <w:sz w:val="20"/>
              </w:rPr>
              <w:t>o</w:t>
            </w:r>
          </w:p>
        </w:tc>
      </w:tr>
    </w:tbl>
    <w:p>
      <w:pPr>
        <w:pStyle w:val="Normal"/>
        <w:spacing w:before="0" w:after="0"/>
        <w:rPr>
          <w:sz w:val="4"/>
          <w:szCs w:val="4"/>
        </w:rPr>
      </w:pPr>
      <w:r>
        <w:rPr>
          <w:sz w:val="4"/>
          <w:szCs w:val="4"/>
        </w:rPr>
      </w:r>
      <w:bookmarkStart w:id="4" w:name="hangingindent1"/>
      <w:bookmarkStart w:id="5" w:name="hangingindent1"/>
      <w:bookmarkEnd w:id="5"/>
    </w:p>
    <w:tbl>
      <w:tblPr>
        <w:tblW w:w="5000" w:type="pct"/>
        <w:jc w:val="center"/>
        <w:tblInd w:w="0" w:type="dxa"/>
        <w:tblCellMar>
          <w:top w:w="0" w:type="dxa"/>
          <w:left w:w="0" w:type="dxa"/>
          <w:bottom w:w="0" w:type="dxa"/>
          <w:right w:w="0" w:type="dxa"/>
        </w:tblCellMar>
      </w:tblPr>
      <w:tblGrid>
        <w:gridCol w:w="6803"/>
        <w:gridCol w:w="3402"/>
      </w:tblGrid>
      <w:tr>
        <w:trPr/>
        <w:tc>
          <w:tcPr>
            <w:tcW w:w="6803" w:type="dxa"/>
            <w:tcBorders/>
            <w:shd w:fill="auto" w:val="clear"/>
          </w:tcPr>
          <w:p>
            <w:pPr>
              <w:pStyle w:val="TableContents"/>
              <w:spacing w:before="0" w:after="0"/>
              <w:rPr/>
            </w:pPr>
            <w:r>
              <w:rPr/>
              <w:t xml:space="preserve">  </w:t>
            </w:r>
          </w:p>
        </w:tc>
        <w:tc>
          <w:tcPr>
            <w:tcW w:w="3402" w:type="dxa"/>
            <w:tcBorders/>
            <w:shd w:fill="auto" w:val="clear"/>
          </w:tcPr>
          <w:p>
            <w:pPr>
              <w:pStyle w:val="TableContents"/>
              <w:spacing w:before="0" w:after="0"/>
              <w:jc w:val="left"/>
              <w:rPr/>
            </w:pPr>
            <w:r>
              <w:rPr/>
              <w:t> </w:t>
            </w:r>
          </w:p>
        </w:tc>
      </w:tr>
    </w:tbl>
    <w:p>
      <w:pPr>
        <w:pStyle w:val="Normal"/>
        <w:spacing w:before="0" w:after="0"/>
        <w:rPr>
          <w:sz w:val="4"/>
          <w:szCs w:val="4"/>
        </w:rPr>
      </w:pPr>
      <w:r>
        <w:rPr>
          <w:sz w:val="4"/>
          <w:szCs w:val="4"/>
        </w:rPr>
      </w:r>
      <w:bookmarkStart w:id="6" w:name="hangingindent2"/>
      <w:bookmarkStart w:id="7" w:name="hangingindent2"/>
      <w:bookmarkEnd w:id="7"/>
    </w:p>
    <w:tbl>
      <w:tblPr>
        <w:tblW w:w="5000" w:type="pct"/>
        <w:jc w:val="center"/>
        <w:tblInd w:w="0" w:type="dxa"/>
        <w:tblCellMar>
          <w:top w:w="0" w:type="dxa"/>
          <w:left w:w="0" w:type="dxa"/>
          <w:bottom w:w="0" w:type="dxa"/>
          <w:right w:w="0" w:type="dxa"/>
        </w:tblCellMar>
      </w:tblPr>
      <w:tblGrid>
        <w:gridCol w:w="518"/>
        <w:gridCol w:w="9687"/>
      </w:tblGrid>
      <w:tr>
        <w:trPr/>
        <w:tc>
          <w:tcPr>
            <w:tcW w:w="518" w:type="dxa"/>
            <w:tcBorders/>
            <w:shd w:fill="auto" w:val="clear"/>
          </w:tcPr>
          <w:p>
            <w:pPr>
              <w:pStyle w:val="TableContents"/>
              <w:spacing w:before="0" w:after="0"/>
              <w:rPr/>
            </w:pPr>
            <w:r>
              <w:rPr/>
              <w:t xml:space="preserve">  </w:t>
            </w:r>
          </w:p>
        </w:tc>
        <w:tc>
          <w:tcPr>
            <w:tcW w:w="96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Check the appropriate box:</w:t>
            </w:r>
          </w:p>
        </w:tc>
      </w:tr>
    </w:tbl>
    <w:p>
      <w:pPr>
        <w:pStyle w:val="Normal"/>
        <w:spacing w:before="0" w:after="0"/>
        <w:rPr>
          <w:sz w:val="4"/>
          <w:szCs w:val="4"/>
        </w:rPr>
      </w:pPr>
      <w:r>
        <w:rPr>
          <w:sz w:val="4"/>
          <w:szCs w:val="4"/>
        </w:rPr>
      </w:r>
      <w:bookmarkStart w:id="8" w:name="hangingindent3"/>
      <w:bookmarkStart w:id="9" w:name="hangingindent3"/>
      <w:bookmarkEnd w:id="9"/>
    </w:p>
    <w:tbl>
      <w:tblPr>
        <w:tblW w:w="5000" w:type="pct"/>
        <w:jc w:val="center"/>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rPr/>
            </w:pPr>
            <w:r>
              <w:rPr/>
              <w:t xml:space="preserve">  </w:t>
            </w:r>
          </w:p>
        </w:tc>
        <w:tc>
          <w:tcPr>
            <w:tcW w:w="5103" w:type="dxa"/>
            <w:tcBorders/>
            <w:shd w:fill="auto" w:val="clear"/>
          </w:tcPr>
          <w:p>
            <w:pPr>
              <w:pStyle w:val="TableContents"/>
              <w:spacing w:before="0" w:after="0"/>
              <w:jc w:val="left"/>
              <w:rPr/>
            </w:pPr>
            <w:r>
              <w:rPr/>
              <w:t>  </w:t>
            </w:r>
          </w:p>
        </w:tc>
      </w:tr>
    </w:tbl>
    <w:tbl>
      <w:tblPr>
        <w:tblW w:w="5000" w:type="pct"/>
        <w:jc w:val="left"/>
        <w:tblInd w:w="0" w:type="dxa"/>
        <w:tblCellMar>
          <w:top w:w="0" w:type="dxa"/>
          <w:left w:w="0" w:type="dxa"/>
          <w:bottom w:w="0" w:type="dxa"/>
          <w:right w:w="0" w:type="dxa"/>
        </w:tblCellMar>
      </w:tblPr>
      <w:tblGrid>
        <w:gridCol w:w="373"/>
        <w:gridCol w:w="9832"/>
      </w:tblGrid>
      <w:tr>
        <w:trPr/>
        <w:tc>
          <w:tcPr>
            <w:tcW w:w="373" w:type="dxa"/>
            <w:tcBorders/>
            <w:shd w:fill="auto" w:val="clear"/>
          </w:tcPr>
          <w:p>
            <w:pPr>
              <w:pStyle w:val="TableContents"/>
              <w:spacing w:before="0" w:after="0"/>
              <w:ind w:left="0" w:right="0" w:hanging="0"/>
              <w:jc w:val="left"/>
              <w:rPr/>
            </w:pPr>
            <w:r>
              <w:rPr/>
              <w:t>☑</w:t>
            </w:r>
          </w:p>
        </w:tc>
        <w:tc>
          <w:tcPr>
            <w:tcW w:w="98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Preliminary Proxy Statement</w:t>
            </w:r>
          </w:p>
        </w:tc>
      </w:tr>
    </w:tbl>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83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8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Definitive Proxy Statement</w:t>
            </w:r>
          </w:p>
        </w:tc>
      </w:tr>
    </w:tbl>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8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Definitive Additional Materials</w:t>
            </w:r>
          </w:p>
        </w:tc>
      </w:tr>
    </w:tbl>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8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Soliciting Material Pursuant to §240.14a-12</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as Specified In Its Charter)</w:t>
      </w:r>
    </w:p>
    <w:p>
      <w:pPr>
        <w:pStyle w:val="TextBody"/>
        <w:spacing w:before="0" w:after="0"/>
        <w:ind w:left="0" w:right="0" w:hanging="0"/>
        <w:jc w:val="center"/>
        <w:rPr>
          <w:rFonts w:ascii="Times New Roman" w:hAnsi="Times New Roman"/>
          <w:sz w:val="20"/>
        </w:rPr>
      </w:pPr>
      <w:r>
        <w:rPr>
          <w:rFonts w:ascii="Times New Roman" w:hAnsi="Times New Roman"/>
          <w:sz w:val="20"/>
        </w:rPr>
        <w:t>(Name of person(s) filing proxy statement, if other than the registrant)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Payment of Filing Fee (Check the appropriate box):</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rPr>
        <w:t>No fee required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Fee computed on table below per Exchange Act Rules 14c-5(g) and 0-11.</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 w:name="hangingindent4"/>
      <w:bookmarkStart w:id="11" w:name="hangingindent4"/>
      <w:bookmarkEnd w:id="11"/>
    </w:p>
    <w:tbl>
      <w:tblPr>
        <w:tblW w:w="5000" w:type="pct"/>
        <w:jc w:val="center"/>
        <w:tblInd w:w="0" w:type="dxa"/>
        <w:tblCellMar>
          <w:top w:w="0" w:type="dxa"/>
          <w:left w:w="0" w:type="dxa"/>
          <w:bottom w:w="0" w:type="dxa"/>
          <w:right w:w="0" w:type="dxa"/>
        </w:tblCellMar>
      </w:tblPr>
      <w:tblGrid>
        <w:gridCol w:w="118"/>
        <w:gridCol w:w="482"/>
        <w:gridCol w:w="9605"/>
      </w:tblGrid>
      <w:tr>
        <w:trPr/>
        <w:tc>
          <w:tcPr>
            <w:tcW w:w="118" w:type="dxa"/>
            <w:tcBorders/>
            <w:shd w:fill="auto" w:val="clear"/>
          </w:tcPr>
          <w:p>
            <w:pPr>
              <w:pStyle w:val="TableContents"/>
              <w:spacing w:before="0" w:after="283"/>
              <w:rPr/>
            </w:pPr>
            <w:r>
              <w:rPr/>
              <w:t> </w:t>
            </w:r>
          </w:p>
        </w:tc>
        <w:tc>
          <w:tcPr>
            <w:tcW w:w="48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6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Title of each class of securities to which transaction applies: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 w:name="hangingindent5"/>
      <w:bookmarkStart w:id="13" w:name="hangingindent5"/>
      <w:bookmarkEnd w:id="13"/>
    </w:p>
    <w:tbl>
      <w:tblPr>
        <w:tblW w:w="5000" w:type="pct"/>
        <w:jc w:val="center"/>
        <w:tblInd w:w="0" w:type="dxa"/>
        <w:tblCellMar>
          <w:top w:w="0" w:type="dxa"/>
          <w:left w:w="0" w:type="dxa"/>
          <w:bottom w:w="0" w:type="dxa"/>
          <w:right w:w="0" w:type="dxa"/>
        </w:tblCellMar>
      </w:tblPr>
      <w:tblGrid>
        <w:gridCol w:w="116"/>
        <w:gridCol w:w="478"/>
        <w:gridCol w:w="9611"/>
      </w:tblGrid>
      <w:tr>
        <w:trPr/>
        <w:tc>
          <w:tcPr>
            <w:tcW w:w="116" w:type="dxa"/>
            <w:tcBorders/>
            <w:shd w:fill="auto" w:val="clear"/>
          </w:tcPr>
          <w:p>
            <w:pPr>
              <w:pStyle w:val="TableContents"/>
              <w:spacing w:before="0" w:after="283"/>
              <w:rPr/>
            </w:pPr>
            <w:r>
              <w:rPr/>
              <w:t> </w:t>
            </w:r>
          </w:p>
        </w:tc>
        <w:tc>
          <w:tcPr>
            <w:tcW w:w="47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Aggregate number of securities to which transaction applies: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 w:name="hangingindent6"/>
      <w:bookmarkStart w:id="15" w:name="hangingindent6"/>
      <w:bookmarkEnd w:id="15"/>
    </w:p>
    <w:tbl>
      <w:tblPr>
        <w:tblW w:w="5000" w:type="pct"/>
        <w:jc w:val="center"/>
        <w:tblInd w:w="0" w:type="dxa"/>
        <w:tblCellMar>
          <w:top w:w="0" w:type="dxa"/>
          <w:left w:w="0" w:type="dxa"/>
          <w:bottom w:w="0" w:type="dxa"/>
          <w:right w:w="0" w:type="dxa"/>
        </w:tblCellMar>
      </w:tblPr>
      <w:tblGrid>
        <w:gridCol w:w="71"/>
        <w:gridCol w:w="293"/>
        <w:gridCol w:w="9841"/>
      </w:tblGrid>
      <w:tr>
        <w:trPr/>
        <w:tc>
          <w:tcPr>
            <w:tcW w:w="71" w:type="dxa"/>
            <w:tcBorders/>
            <w:shd w:fill="auto" w:val="clear"/>
          </w:tcPr>
          <w:p>
            <w:pPr>
              <w:pStyle w:val="TableContents"/>
              <w:spacing w:before="0" w:after="283"/>
              <w:rPr/>
            </w:pPr>
            <w:r>
              <w:rPr/>
              <w:t> </w:t>
            </w:r>
          </w:p>
        </w:tc>
        <w:tc>
          <w:tcPr>
            <w:tcW w:w="29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4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Per unit price or other underlying value of transaction computed pursuant to Exchange Act Rule 0-11</w:t>
            </w:r>
          </w:p>
        </w:tc>
      </w:tr>
    </w:tbl>
    <w:p>
      <w:pPr>
        <w:pStyle w:val="Normal"/>
        <w:spacing w:before="0" w:after="0"/>
        <w:rPr>
          <w:sz w:val="4"/>
          <w:szCs w:val="4"/>
        </w:rPr>
      </w:pPr>
      <w:r>
        <w:rPr>
          <w:sz w:val="4"/>
          <w:szCs w:val="4"/>
        </w:rPr>
      </w:r>
      <w:bookmarkStart w:id="16" w:name="hangingindent7"/>
      <w:bookmarkStart w:id="17" w:name="hangingindent7"/>
      <w:bookmarkEnd w:id="17"/>
    </w:p>
    <w:tbl>
      <w:tblPr>
        <w:tblW w:w="5000" w:type="pct"/>
        <w:jc w:val="center"/>
        <w:tblInd w:w="0" w:type="dxa"/>
        <w:tblCellMar>
          <w:top w:w="0" w:type="dxa"/>
          <w:left w:w="0" w:type="dxa"/>
          <w:bottom w:w="0" w:type="dxa"/>
          <w:right w:w="0" w:type="dxa"/>
        </w:tblCellMar>
      </w:tblPr>
      <w:tblGrid>
        <w:gridCol w:w="83"/>
        <w:gridCol w:w="167"/>
        <w:gridCol w:w="9955"/>
      </w:tblGrid>
      <w:tr>
        <w:trPr/>
        <w:tc>
          <w:tcPr>
            <w:tcW w:w="83" w:type="dxa"/>
            <w:tcBorders/>
            <w:shd w:fill="auto" w:val="clear"/>
          </w:tcPr>
          <w:p>
            <w:pPr>
              <w:pStyle w:val="TableContents"/>
              <w:spacing w:before="0" w:after="283"/>
              <w:rPr/>
            </w:pPr>
            <w:r>
              <w:rPr/>
              <w:t> </w:t>
            </w:r>
          </w:p>
        </w:tc>
        <w:tc>
          <w:tcPr>
            <w:tcW w:w="167" w:type="dxa"/>
            <w:tcBorders/>
            <w:shd w:fill="auto" w:val="clear"/>
          </w:tcPr>
          <w:p>
            <w:pPr>
              <w:pStyle w:val="TableContents"/>
              <w:spacing w:before="0" w:after="0"/>
              <w:rPr/>
            </w:pPr>
            <w:r>
              <w:rPr/>
              <w:t xml:space="preserve">  </w:t>
            </w:r>
          </w:p>
        </w:tc>
        <w:tc>
          <w:tcPr>
            <w:tcW w:w="995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(set forth the amount on which the filing is calculated and state how it was determined.):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 w:name="hangingindent8"/>
      <w:bookmarkStart w:id="19" w:name="hangingindent8"/>
      <w:bookmarkEnd w:id="19"/>
    </w:p>
    <w:tbl>
      <w:tblPr>
        <w:tblW w:w="5000" w:type="pct"/>
        <w:jc w:val="center"/>
        <w:tblInd w:w="0" w:type="dxa"/>
        <w:tblCellMar>
          <w:top w:w="0" w:type="dxa"/>
          <w:left w:w="0" w:type="dxa"/>
          <w:bottom w:w="0" w:type="dxa"/>
          <w:right w:w="0" w:type="dxa"/>
        </w:tblCellMar>
      </w:tblPr>
      <w:tblGrid>
        <w:gridCol w:w="136"/>
        <w:gridCol w:w="558"/>
        <w:gridCol w:w="9511"/>
      </w:tblGrid>
      <w:tr>
        <w:trPr/>
        <w:tc>
          <w:tcPr>
            <w:tcW w:w="136" w:type="dxa"/>
            <w:tcBorders/>
            <w:shd w:fill="auto" w:val="clear"/>
          </w:tcPr>
          <w:p>
            <w:pPr>
              <w:pStyle w:val="TableContents"/>
              <w:spacing w:before="0" w:after="283"/>
              <w:rPr/>
            </w:pPr>
            <w:r>
              <w:rPr/>
              <w:t> </w:t>
            </w:r>
          </w:p>
        </w:tc>
        <w:tc>
          <w:tcPr>
            <w:tcW w:w="55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5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Proposed maximum aggregate value of transaction: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 w:name="hangingindent9"/>
      <w:bookmarkStart w:id="21" w:name="hangingindent9"/>
      <w:bookmarkEnd w:id="21"/>
    </w:p>
    <w:tbl>
      <w:tblPr>
        <w:tblW w:w="5000" w:type="pct"/>
        <w:jc w:val="center"/>
        <w:tblInd w:w="0" w:type="dxa"/>
        <w:tblCellMar>
          <w:top w:w="0" w:type="dxa"/>
          <w:left w:w="0" w:type="dxa"/>
          <w:bottom w:w="0" w:type="dxa"/>
          <w:right w:w="0" w:type="dxa"/>
        </w:tblCellMar>
      </w:tblPr>
      <w:tblGrid>
        <w:gridCol w:w="393"/>
        <w:gridCol w:w="1608"/>
        <w:gridCol w:w="8204"/>
      </w:tblGrid>
      <w:tr>
        <w:trPr/>
        <w:tc>
          <w:tcPr>
            <w:tcW w:w="393" w:type="dxa"/>
            <w:tcBorders/>
            <w:shd w:fill="auto" w:val="clear"/>
          </w:tcPr>
          <w:p>
            <w:pPr>
              <w:pStyle w:val="TableContents"/>
              <w:spacing w:before="0" w:after="283"/>
              <w:rPr/>
            </w:pPr>
            <w:r>
              <w:rPr/>
              <w:t> </w:t>
            </w:r>
          </w:p>
        </w:tc>
        <w:tc>
          <w:tcPr>
            <w:tcW w:w="16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820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Total Fee Paid: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Fee paid previously with preliminary materials.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 w:name="hangingindent10"/>
      <w:bookmarkStart w:id="23" w:name="hangingindent10"/>
      <w:bookmarkEnd w:id="23"/>
    </w:p>
    <w:tbl>
      <w:tblPr>
        <w:tblW w:w="5000" w:type="pct"/>
        <w:jc w:val="center"/>
        <w:tblInd w:w="0" w:type="dxa"/>
        <w:tblCellMar>
          <w:top w:w="0" w:type="dxa"/>
          <w:left w:w="0" w:type="dxa"/>
          <w:bottom w:w="0" w:type="dxa"/>
          <w:right w:w="0" w:type="dxa"/>
        </w:tblCellMar>
      </w:tblPr>
      <w:tblGrid>
        <w:gridCol w:w="139"/>
        <w:gridCol w:w="10066"/>
      </w:tblGrid>
      <w:tr>
        <w:trPr/>
        <w:tc>
          <w:tcPr>
            <w:tcW w:w="139"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100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spacing w:before="0" w:after="0"/>
        <w:ind w:left="0" w:right="0" w:hanging="0"/>
        <w:jc w:val="both"/>
        <w:rPr/>
      </w:pPr>
      <w:r>
        <w:rPr/>
        <w:t> </w:t>
      </w:r>
    </w:p>
    <w:p>
      <w:pPr>
        <w:pStyle w:val="TextBody"/>
        <w:spacing w:before="0" w:after="0"/>
        <w:ind w:left="0" w:right="0" w:firstLine="900"/>
        <w:jc w:val="both"/>
        <w:rPr>
          <w:rFonts w:ascii="Times New Roman" w:hAnsi="Times New Roman"/>
          <w:sz w:val="20"/>
        </w:rPr>
      </w:pPr>
      <w:r>
        <w:rPr>
          <w:rFonts w:ascii="Times New Roman" w:hAnsi="Times New Roman"/>
          <w:sz w:val="20"/>
        </w:rPr>
        <w:t>(1) Amount Previously Paid:</w:t>
      </w:r>
    </w:p>
    <w:p>
      <w:pPr>
        <w:pStyle w:val="TextBody"/>
        <w:spacing w:before="0" w:after="0"/>
        <w:ind w:left="0" w:right="0" w:hanging="0"/>
        <w:jc w:val="both"/>
        <w:rPr/>
      </w:pPr>
      <w:r>
        <w:rPr/>
        <w:t> </w:t>
      </w:r>
    </w:p>
    <w:p>
      <w:pPr>
        <w:pStyle w:val="TextBody"/>
        <w:spacing w:before="0" w:after="0"/>
        <w:ind w:left="0" w:right="0" w:firstLine="900"/>
        <w:jc w:val="both"/>
        <w:rPr>
          <w:rFonts w:ascii="Times New Roman" w:hAnsi="Times New Roman"/>
          <w:sz w:val="20"/>
        </w:rPr>
      </w:pPr>
      <w:r>
        <w:rPr>
          <w:rFonts w:ascii="Times New Roman" w:hAnsi="Times New Roman"/>
          <w:sz w:val="20"/>
        </w:rPr>
        <w:t>(2) Form, Schedule or Registration Statement No.:</w:t>
      </w:r>
    </w:p>
    <w:p>
      <w:pPr>
        <w:pStyle w:val="TextBody"/>
        <w:spacing w:before="0" w:after="0"/>
        <w:ind w:left="0" w:right="0" w:hanging="0"/>
        <w:jc w:val="both"/>
        <w:rPr/>
      </w:pPr>
      <w:r>
        <w:rPr/>
        <w:t> </w:t>
      </w:r>
    </w:p>
    <w:p>
      <w:pPr>
        <w:pStyle w:val="TextBody"/>
        <w:spacing w:before="0" w:after="0"/>
        <w:ind w:left="0" w:right="0" w:firstLine="900"/>
        <w:jc w:val="both"/>
        <w:rPr>
          <w:rFonts w:ascii="Times New Roman" w:hAnsi="Times New Roman"/>
          <w:sz w:val="20"/>
        </w:rPr>
      </w:pPr>
      <w:r>
        <w:rPr>
          <w:rFonts w:ascii="Times New Roman" w:hAnsi="Times New Roman"/>
          <w:sz w:val="20"/>
        </w:rPr>
        <w:t>(3) Filing Party:</w:t>
      </w:r>
    </w:p>
    <w:p>
      <w:pPr>
        <w:pStyle w:val="TextBody"/>
        <w:spacing w:before="0" w:after="0"/>
        <w:ind w:left="0" w:right="0" w:hanging="0"/>
        <w:jc w:val="both"/>
        <w:rPr/>
      </w:pPr>
      <w:r>
        <w:rPr/>
        <w:t> </w:t>
      </w:r>
    </w:p>
    <w:p>
      <w:pPr>
        <w:pStyle w:val="TextBody"/>
        <w:spacing w:before="0" w:after="0"/>
        <w:ind w:left="0" w:right="0" w:firstLine="900"/>
        <w:jc w:val="both"/>
        <w:rPr>
          <w:rFonts w:ascii="Times New Roman" w:hAnsi="Times New Roman"/>
          <w:sz w:val="20"/>
        </w:rPr>
      </w:pPr>
      <w:r>
        <w:rPr>
          <w:rFonts w:ascii="Times New Roman" w:hAnsi="Times New Roman"/>
          <w:sz w:val="20"/>
        </w:rPr>
        <w:t>(4) Dated Filed: </w:t>
      </w:r>
    </w:p>
    <w:p>
      <w:pPr>
        <w:pStyle w:val="TextBody"/>
        <w:spacing w:before="0" w:after="0"/>
        <w:ind w:left="0" w:right="0" w:firstLine="90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2314575" cy="1295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1295400"/>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sz w:val="20"/>
        </w:rPr>
      </w:pPr>
      <w:r>
        <w:rPr>
          <w:rFonts w:ascii="Times New Roman" w:hAnsi="Times New Roman"/>
          <w:sz w:val="20"/>
        </w:rPr>
        <w:t>July   , 2013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Stockholder:</w:t>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You are cordially invited to attend the 2013 Annual Meeting of Imprimis Pharmaceuticals, Inc., which will be held at the offices of Morrison &amp; Foerster, LLP located at 12531 High Bluff Drive, Suite 100, San Diego, CA 92130, on August 13, 2013, at 9:00 a.m. local time. We hope you will be able to attend the meeting in person.</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attached notice of meeting and proxy statement describe the matters to be acted upon at the annual meeting. If you plan to attend the annual meeting in person, please mark the designated box on the enclosed proxy card. If you are planning to attend the annual meeting and your shares are held in street name (by a broker, for example), you should ask the record owner for a legal proxy or bring your most recent account statement to the annual meeting so that we can verify your ownership of Imprimis Pharmaceuticals, Inc. stock. Please note, however, that if your shares are held in street name and you do not bring a legal proxy from the record owner, you will be able to attend the annual meeting, but you will not be able to vote at the annual meeting.</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Whether or not you plan to attend the annual meeting personally, and regardless of the number of shares you own, it is important that your shares be represented at the annual meeting. Accordingly, we urge you to promptly complete the enclosed proxy card and return it to the inspector of elections in the postage-prepaid envelope provided, or to promptly use the telephone or Internet voting system. If you do attend the annual meeting and wish to vote in person, you may withdraw your proxy at that time.</w:t>
      </w:r>
    </w:p>
    <w:p>
      <w:pPr>
        <w:pStyle w:val="TextBody"/>
        <w:spacing w:before="0" w:after="0"/>
        <w:ind w:left="0" w:right="0" w:hanging="0"/>
        <w:rPr/>
      </w:pPr>
      <w:r>
        <w:rPr/>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3814"/>
        <w:gridCol w:w="1237"/>
      </w:tblGrid>
      <w:tr>
        <w:trPr/>
        <w:tc>
          <w:tcPr>
            <w:tcW w:w="5154" w:type="dxa"/>
            <w:tcBorders/>
            <w:shd w:fill="auto" w:val="clear"/>
          </w:tcPr>
          <w:p>
            <w:pPr>
              <w:pStyle w:val="TableContents"/>
              <w:spacing w:before="0" w:after="283"/>
              <w:rPr/>
            </w:pPr>
            <w:r>
              <w:rPr/>
              <w:t> </w:t>
            </w:r>
          </w:p>
        </w:tc>
        <w:tc>
          <w:tcPr>
            <w:tcW w:w="3814" w:type="dxa"/>
            <w:tcBorders/>
            <w:shd w:fill="auto" w:val="clear"/>
          </w:tcPr>
          <w:p>
            <w:pPr>
              <w:pStyle w:val="TableContents"/>
              <w:spacing w:before="0" w:after="283"/>
              <w:rPr>
                <w:rFonts w:ascii="times new roman" w:hAnsi="times new roman"/>
                <w:sz w:val="20"/>
              </w:rPr>
            </w:pPr>
            <w:r>
              <w:rPr>
                <w:rFonts w:ascii="times new roman" w:hAnsi="times new roman"/>
                <w:sz w:val="20"/>
              </w:rPr>
              <w:t>Sincerely,</w:t>
            </w:r>
          </w:p>
        </w:tc>
        <w:tc>
          <w:tcPr>
            <w:tcW w:w="1237" w:type="dxa"/>
            <w:tcBorders/>
            <w:shd w:fill="auto" w:val="clear"/>
          </w:tcPr>
          <w:p>
            <w:pPr>
              <w:pStyle w:val="TableContents"/>
              <w:spacing w:before="0" w:after="283"/>
              <w:rPr/>
            </w:pPr>
            <w:r>
              <w:rPr/>
              <w:t> </w:t>
            </w:r>
          </w:p>
        </w:tc>
      </w:tr>
      <w:tr>
        <w:trPr/>
        <w:tc>
          <w:tcPr>
            <w:tcW w:w="5154" w:type="dxa"/>
            <w:tcBorders/>
            <w:shd w:fill="auto" w:val="clear"/>
          </w:tcPr>
          <w:p>
            <w:pPr>
              <w:pStyle w:val="TableContents"/>
              <w:spacing w:before="0" w:after="283"/>
              <w:rPr/>
            </w:pPr>
            <w:r>
              <w:rPr/>
              <w:t> </w:t>
            </w:r>
          </w:p>
        </w:tc>
        <w:tc>
          <w:tcPr>
            <w:tcW w:w="3814" w:type="dxa"/>
            <w:tcBorders/>
            <w:shd w:fill="auto" w:val="clear"/>
          </w:tcPr>
          <w:p>
            <w:pPr>
              <w:pStyle w:val="TableContents"/>
              <w:spacing w:before="0" w:after="283"/>
              <w:rPr/>
            </w:pPr>
            <w:r>
              <w:rPr/>
              <w:t> </w:t>
            </w:r>
          </w:p>
        </w:tc>
        <w:tc>
          <w:tcPr>
            <w:tcW w:w="1237" w:type="dxa"/>
            <w:tcBorders/>
            <w:shd w:fill="auto" w:val="clear"/>
          </w:tcPr>
          <w:p>
            <w:pPr>
              <w:pStyle w:val="TableContents"/>
              <w:spacing w:before="0" w:after="283"/>
              <w:rPr/>
            </w:pPr>
            <w:r>
              <w:rPr/>
              <w:t> </w:t>
            </w:r>
          </w:p>
        </w:tc>
      </w:tr>
      <w:tr>
        <w:trPr/>
        <w:tc>
          <w:tcPr>
            <w:tcW w:w="5154" w:type="dxa"/>
            <w:tcBorders/>
            <w:shd w:fill="auto" w:val="clear"/>
          </w:tcPr>
          <w:p>
            <w:pPr>
              <w:pStyle w:val="TableContents"/>
              <w:spacing w:before="0" w:after="283"/>
              <w:rPr/>
            </w:pPr>
            <w:r>
              <w:rPr/>
              <w:t> </w:t>
            </w:r>
          </w:p>
        </w:tc>
        <w:tc>
          <w:tcPr>
            <w:tcW w:w="3814" w:type="dxa"/>
            <w:tcBorders/>
            <w:shd w:fill="auto" w:val="clear"/>
          </w:tcPr>
          <w:p>
            <w:pPr>
              <w:pStyle w:val="TableContents"/>
              <w:spacing w:before="0" w:after="283"/>
              <w:rPr/>
            </w:pPr>
            <w:r>
              <w:rPr/>
              <w:t> </w:t>
            </w:r>
          </w:p>
        </w:tc>
        <w:tc>
          <w:tcPr>
            <w:tcW w:w="1237" w:type="dxa"/>
            <w:tcBorders/>
            <w:shd w:fill="auto" w:val="clear"/>
          </w:tcPr>
          <w:p>
            <w:pPr>
              <w:pStyle w:val="TableContents"/>
              <w:spacing w:before="0" w:after="283"/>
              <w:rPr/>
            </w:pPr>
            <w:r>
              <w:rPr/>
              <w:t> </w:t>
            </w:r>
          </w:p>
        </w:tc>
      </w:tr>
      <w:tr>
        <w:trPr/>
        <w:tc>
          <w:tcPr>
            <w:tcW w:w="5154"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81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Mark L. Baum</w:t>
            </w:r>
          </w:p>
        </w:tc>
        <w:tc>
          <w:tcPr>
            <w:tcW w:w="1237" w:type="dxa"/>
            <w:tcBorders>
              <w:bottom w:val="single" w:sz="4" w:space="0" w:color="FFFFFF"/>
            </w:tcBorders>
            <w:shd w:fill="auto" w:val="clear"/>
            <w:tcMar>
              <w:bottom w:w="28" w:type="dxa"/>
            </w:tcMar>
          </w:tcPr>
          <w:p>
            <w:pPr>
              <w:pStyle w:val="TableContents"/>
              <w:spacing w:before="0" w:after="283"/>
              <w:rPr/>
            </w:pPr>
            <w:r>
              <w:rPr/>
              <w:t> </w:t>
            </w:r>
          </w:p>
        </w:tc>
      </w:tr>
      <w:tr>
        <w:trPr/>
        <w:tc>
          <w:tcPr>
            <w:tcW w:w="5154" w:type="dxa"/>
            <w:tcBorders/>
            <w:shd w:fill="auto" w:val="clear"/>
          </w:tcPr>
          <w:p>
            <w:pPr>
              <w:pStyle w:val="TableContents"/>
              <w:spacing w:before="0" w:after="283"/>
              <w:rPr/>
            </w:pPr>
            <w:r>
              <w:rPr/>
              <w:t> </w:t>
            </w:r>
          </w:p>
        </w:tc>
        <w:tc>
          <w:tcPr>
            <w:tcW w:w="3814" w:type="dxa"/>
            <w:tcBorders/>
            <w:shd w:fill="auto" w:val="clear"/>
            <w:vAlign w:val="bottom"/>
          </w:tcPr>
          <w:p>
            <w:pPr>
              <w:pStyle w:val="TableContents"/>
              <w:spacing w:before="0" w:after="0"/>
              <w:jc w:val="left"/>
              <w:rPr>
                <w:rFonts w:ascii="times new roman" w:hAnsi="times new roman"/>
                <w:i/>
                <w:sz w:val="20"/>
              </w:rPr>
            </w:pPr>
            <w:r>
              <w:rPr>
                <w:rFonts w:ascii="times new roman" w:hAnsi="times new roman"/>
                <w:i/>
                <w:sz w:val="20"/>
              </w:rPr>
              <w:t>Chief Executive Officer and Director</w:t>
            </w:r>
          </w:p>
        </w:tc>
        <w:tc>
          <w:tcPr>
            <w:tcW w:w="1237" w:type="dxa"/>
            <w:tcBorders/>
            <w:shd w:fill="auto" w:val="clear"/>
          </w:tcPr>
          <w:p>
            <w:pPr>
              <w:pStyle w:val="TableContents"/>
              <w:spacing w:before="0" w:after="283"/>
              <w:rPr/>
            </w:pPr>
            <w:r>
              <w:rPr/>
              <w:t> </w:t>
            </w:r>
          </w:p>
        </w:tc>
      </w:tr>
      <w:tr>
        <w:trPr/>
        <w:tc>
          <w:tcPr>
            <w:tcW w:w="5154" w:type="dxa"/>
            <w:tcBorders/>
            <w:shd w:fill="auto" w:val="clear"/>
          </w:tcPr>
          <w:p>
            <w:pPr>
              <w:pStyle w:val="TableContents"/>
              <w:spacing w:before="0" w:after="283"/>
              <w:rPr/>
            </w:pPr>
            <w:r>
              <w:rPr/>
              <w:t> </w:t>
            </w:r>
          </w:p>
        </w:tc>
        <w:tc>
          <w:tcPr>
            <w:tcW w:w="3814" w:type="dxa"/>
            <w:tcBorders/>
            <w:shd w:fill="auto" w:val="clear"/>
          </w:tcPr>
          <w:p>
            <w:pPr>
              <w:pStyle w:val="TableContents"/>
              <w:spacing w:before="0" w:after="283"/>
              <w:rPr/>
            </w:pPr>
            <w:r>
              <w:rPr/>
              <w:t> </w:t>
            </w:r>
          </w:p>
        </w:tc>
        <w:tc>
          <w:tcPr>
            <w:tcW w:w="1237" w:type="dxa"/>
            <w:tcBorders/>
            <w:shd w:fill="auto" w:val="clea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
      <w:bookmarkStart w:id="25" w:name="PGBRK"/>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
      <w:bookmarkStart w:id="27" w:name="FTR"/>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 w:name="PN"/>
      <w:bookmarkEnd w:id="2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
      <w:bookmarkStart w:id="31" w:name="HDR"/>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 w:name="GLHDR"/>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2314575" cy="1295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14575" cy="1295400"/>
                    </a:xfrm>
                    <a:prstGeom prst="rect">
                      <a:avLst/>
                    </a:prstGeom>
                  </pic:spPr>
                </pic:pic>
              </a:graphicData>
            </a:graphic>
          </wp:inline>
        </w:drawing>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12626 HIGH BLUFF DRIVE, SUITE 150</w:t>
      </w:r>
    </w:p>
    <w:p>
      <w:pPr>
        <w:pStyle w:val="TextBody"/>
        <w:spacing w:before="0" w:after="0"/>
        <w:ind w:left="0" w:right="0" w:hanging="0"/>
        <w:jc w:val="center"/>
        <w:rPr>
          <w:rFonts w:ascii="Times New Roman" w:hAnsi="Times New Roman"/>
          <w:b/>
          <w:sz w:val="20"/>
        </w:rPr>
      </w:pPr>
      <w:r>
        <w:rPr>
          <w:rFonts w:ascii="Times New Roman" w:hAnsi="Times New Roman"/>
          <w:b/>
          <w:sz w:val="20"/>
        </w:rPr>
        <w:t>SAN DIEGO, CA 92130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NOTICE OF ANNUAL MEETING OF STOCKHOLDERS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To be held on August 13, 2013</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the Stockholders of Imprimis Pharmaceuticals, Inc.:</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NOTICE IS HEREBY GIVEN that the Annual Meeting of Stockholders of Imprimis Pharmaceuticals, Inc. (the “Company”) will be held on August 13, 2013 at 9:00 a.m., at the offices of Morrison &amp; Foerster, LLP located at 12531 High Bluff Drive, Suite 100, San Diego, CA 92130, for the following purposes:</w:t>
      </w:r>
    </w:p>
    <w:p>
      <w:pPr>
        <w:pStyle w:val="TextBody"/>
        <w:spacing w:before="0" w:after="0"/>
        <w:ind w:left="0" w:right="0" w:firstLine="720"/>
        <w:jc w:val="left"/>
        <w:rPr/>
      </w:pPr>
      <w:r>
        <w:rPr/>
        <w:t> </w:t>
      </w:r>
    </w:p>
    <w:p>
      <w:pPr>
        <w:pStyle w:val="Normal"/>
        <w:spacing w:before="0" w:after="0"/>
        <w:rPr>
          <w:sz w:val="4"/>
          <w:szCs w:val="4"/>
        </w:rPr>
      </w:pPr>
      <w:r>
        <w:rPr>
          <w:sz w:val="4"/>
          <w:szCs w:val="4"/>
        </w:rPr>
      </w:r>
      <w:bookmarkStart w:id="33" w:name="list"/>
      <w:bookmarkStart w:id="34" w:name="list"/>
      <w:bookmarkEnd w:id="34"/>
    </w:p>
    <w:tbl>
      <w:tblPr>
        <w:tblW w:w="5000" w:type="pct"/>
        <w:jc w:val="left"/>
        <w:tblInd w:w="0" w:type="dxa"/>
        <w:tblCellMar>
          <w:top w:w="0" w:type="dxa"/>
          <w:left w:w="0" w:type="dxa"/>
          <w:bottom w:w="0" w:type="dxa"/>
          <w:right w:w="0" w:type="dxa"/>
        </w:tblCellMar>
      </w:tblPr>
      <w:tblGrid>
        <w:gridCol w:w="297"/>
        <w:gridCol w:w="9908"/>
      </w:tblGrid>
      <w:tr>
        <w:trPr/>
        <w:tc>
          <w:tcPr>
            <w:tcW w:w="2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elect six (6) directors to hold office for a one-year term or until their successors are duly elected and qualified.</w:t>
            </w:r>
          </w:p>
        </w:tc>
      </w:tr>
    </w:tbl>
    <w:p>
      <w:pPr>
        <w:pStyle w:val="Normal"/>
        <w:spacing w:before="0" w:after="0"/>
        <w:rPr>
          <w:sz w:val="4"/>
          <w:szCs w:val="4"/>
        </w:rPr>
      </w:pPr>
      <w:r>
        <w:rPr>
          <w:sz w:val="4"/>
          <w:szCs w:val="4"/>
        </w:rPr>
      </w:r>
      <w:bookmarkStart w:id="35" w:name="list1"/>
      <w:bookmarkStart w:id="36" w:name="list1"/>
      <w:bookmarkEnd w:id="36"/>
    </w:p>
    <w:tbl>
      <w:tblPr>
        <w:tblW w:w="5000" w:type="pct"/>
        <w:jc w:val="left"/>
        <w:tblInd w:w="0" w:type="dxa"/>
        <w:tblCellMar>
          <w:top w:w="0" w:type="dxa"/>
          <w:left w:w="0" w:type="dxa"/>
          <w:bottom w:w="0" w:type="dxa"/>
          <w:right w:w="0" w:type="dxa"/>
        </w:tblCellMar>
      </w:tblPr>
      <w:tblGrid>
        <w:gridCol w:w="242"/>
        <w:gridCol w:w="9963"/>
      </w:tblGrid>
      <w:tr>
        <w:trPr/>
        <w:tc>
          <w:tcPr>
            <w:tcW w:w="2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ratify the selection of KMJ Corbin and Company, LLP as the Company’s independent registered public accounting firm for the fiscal year ending December 31, 2013.</w:t>
            </w:r>
          </w:p>
        </w:tc>
      </w:tr>
    </w:tbl>
    <w:p>
      <w:pPr>
        <w:pStyle w:val="Normal"/>
        <w:spacing w:before="0" w:after="0"/>
        <w:rPr>
          <w:sz w:val="4"/>
          <w:szCs w:val="4"/>
        </w:rPr>
      </w:pPr>
      <w:r>
        <w:rPr>
          <w:sz w:val="4"/>
          <w:szCs w:val="4"/>
        </w:rPr>
      </w:r>
      <w:bookmarkStart w:id="37" w:name="list2"/>
      <w:bookmarkStart w:id="38" w:name="list2"/>
      <w:bookmarkEnd w:id="38"/>
    </w:p>
    <w:tbl>
      <w:tblPr>
        <w:tblW w:w="5000" w:type="pct"/>
        <w:jc w:val="left"/>
        <w:tblInd w:w="0" w:type="dxa"/>
        <w:tblCellMar>
          <w:top w:w="0" w:type="dxa"/>
          <w:left w:w="0" w:type="dxa"/>
          <w:bottom w:w="0" w:type="dxa"/>
          <w:right w:w="0" w:type="dxa"/>
        </w:tblCellMar>
      </w:tblPr>
      <w:tblGrid>
        <w:gridCol w:w="346"/>
        <w:gridCol w:w="9859"/>
      </w:tblGrid>
      <w:tr>
        <w:trPr/>
        <w:tc>
          <w:tcPr>
            <w:tcW w:w="3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8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approve, on an advisory basis, the compensation of the Company’s named executive officers.</w:t>
            </w:r>
          </w:p>
        </w:tc>
      </w:tr>
    </w:tbl>
    <w:p>
      <w:pPr>
        <w:pStyle w:val="Normal"/>
        <w:spacing w:before="0" w:after="0"/>
        <w:rPr>
          <w:sz w:val="4"/>
          <w:szCs w:val="4"/>
        </w:rPr>
      </w:pPr>
      <w:r>
        <w:rPr>
          <w:sz w:val="4"/>
          <w:szCs w:val="4"/>
        </w:rPr>
      </w:r>
      <w:bookmarkStart w:id="39" w:name="list3"/>
      <w:bookmarkStart w:id="40" w:name="list3"/>
      <w:bookmarkEnd w:id="40"/>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vote, on an advisory basis, on the frequency of holding an advisory vote on the compensation of the Company’s named executive officers.</w:t>
            </w:r>
          </w:p>
        </w:tc>
      </w:tr>
    </w:tbl>
    <w:p>
      <w:pPr>
        <w:pStyle w:val="Normal"/>
        <w:spacing w:before="0" w:after="0"/>
        <w:rPr>
          <w:sz w:val="4"/>
          <w:szCs w:val="4"/>
        </w:rPr>
      </w:pPr>
      <w:r>
        <w:rPr>
          <w:sz w:val="4"/>
          <w:szCs w:val="4"/>
        </w:rPr>
      </w:r>
      <w:bookmarkStart w:id="41" w:name="list4"/>
      <w:bookmarkStart w:id="42" w:name="list4"/>
      <w:bookmarkEnd w:id="42"/>
    </w:p>
    <w:tbl>
      <w:tblPr>
        <w:tblW w:w="5000" w:type="pct"/>
        <w:jc w:val="left"/>
        <w:tblInd w:w="0" w:type="dxa"/>
        <w:tblCellMar>
          <w:top w:w="0" w:type="dxa"/>
          <w:left w:w="0" w:type="dxa"/>
          <w:bottom w:w="0" w:type="dxa"/>
          <w:right w:w="0" w:type="dxa"/>
        </w:tblCellMar>
      </w:tblPr>
      <w:tblGrid>
        <w:gridCol w:w="207"/>
        <w:gridCol w:w="9998"/>
      </w:tblGrid>
      <w:tr>
        <w:trPr/>
        <w:tc>
          <w:tcPr>
            <w:tcW w:w="2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9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approve an amendment to the Imprimis Pharmaceuticals, Inc. 2007 Incentive Stock and Awards Plan (the “Plan”) to increase the number of shares of the Company’s common stock available for issuance from 2,400,000 shares to 5,000,000 shares and to increase certain per person grant limits under the Plan.</w:t>
            </w:r>
          </w:p>
        </w:tc>
      </w:tr>
    </w:tbl>
    <w:p>
      <w:pPr>
        <w:pStyle w:val="Normal"/>
        <w:spacing w:before="0" w:after="0"/>
        <w:rPr>
          <w:sz w:val="4"/>
          <w:szCs w:val="4"/>
        </w:rPr>
      </w:pPr>
      <w:r>
        <w:rPr>
          <w:sz w:val="4"/>
          <w:szCs w:val="4"/>
        </w:rPr>
      </w:r>
      <w:bookmarkStart w:id="43" w:name="list5"/>
      <w:bookmarkStart w:id="44" w:name="list5"/>
      <w:bookmarkEnd w:id="44"/>
    </w:p>
    <w:tbl>
      <w:tblPr>
        <w:tblW w:w="5000" w:type="pct"/>
        <w:jc w:val="left"/>
        <w:tblInd w:w="0" w:type="dxa"/>
        <w:tblCellMar>
          <w:top w:w="0" w:type="dxa"/>
          <w:left w:w="0" w:type="dxa"/>
          <w:bottom w:w="0" w:type="dxa"/>
          <w:right w:w="0" w:type="dxa"/>
        </w:tblCellMar>
      </w:tblPr>
      <w:tblGrid>
        <w:gridCol w:w="219"/>
        <w:gridCol w:w="9986"/>
      </w:tblGrid>
      <w:tr>
        <w:trPr/>
        <w:tc>
          <w:tcPr>
            <w:tcW w:w="2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6.  </w:t>
            </w:r>
          </w:p>
        </w:tc>
        <w:tc>
          <w:tcPr>
            <w:tcW w:w="99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approve an amendment to the Company’s Amended and Restated Certificate of Incorporation to decrease the number of authorized common shares from 395,000,000 to 95,000,000 and make other non-substantive changes to Article 4.</w:t>
            </w:r>
          </w:p>
        </w:tc>
      </w:tr>
    </w:tbl>
    <w:p>
      <w:pPr>
        <w:pStyle w:val="Normal"/>
        <w:spacing w:before="0" w:after="0"/>
        <w:rPr>
          <w:sz w:val="4"/>
          <w:szCs w:val="4"/>
        </w:rPr>
      </w:pPr>
      <w:r>
        <w:rPr>
          <w:sz w:val="4"/>
          <w:szCs w:val="4"/>
        </w:rPr>
      </w:r>
      <w:bookmarkStart w:id="45" w:name="list6"/>
      <w:bookmarkStart w:id="46" w:name="list6"/>
      <w:bookmarkEnd w:id="46"/>
    </w:p>
    <w:tbl>
      <w:tblPr>
        <w:tblW w:w="5000" w:type="pct"/>
        <w:jc w:val="left"/>
        <w:tblInd w:w="0" w:type="dxa"/>
        <w:tblCellMar>
          <w:top w:w="0" w:type="dxa"/>
          <w:left w:w="0" w:type="dxa"/>
          <w:bottom w:w="0" w:type="dxa"/>
          <w:right w:w="0" w:type="dxa"/>
        </w:tblCellMar>
      </w:tblPr>
      <w:tblGrid>
        <w:gridCol w:w="226"/>
        <w:gridCol w:w="9979"/>
      </w:tblGrid>
      <w:tr>
        <w:trPr/>
        <w:tc>
          <w:tcPr>
            <w:tcW w:w="2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7.  </w:t>
            </w:r>
          </w:p>
        </w:tc>
        <w:tc>
          <w:tcPr>
            <w:tcW w:w="99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approve an amendment to the Company’s Amended and Restated Certificate of Incorporation to eliminate the stockholders’ right to act by written consent and make other non-substantive changes to Article 9.</w:t>
            </w:r>
          </w:p>
        </w:tc>
      </w:tr>
    </w:tbl>
    <w:p>
      <w:pPr>
        <w:pStyle w:val="Normal"/>
        <w:spacing w:before="0" w:after="0"/>
        <w:rPr>
          <w:sz w:val="4"/>
          <w:szCs w:val="4"/>
        </w:rPr>
      </w:pPr>
      <w:r>
        <w:rPr>
          <w:sz w:val="4"/>
          <w:szCs w:val="4"/>
        </w:rPr>
      </w:r>
      <w:bookmarkStart w:id="47" w:name="list7"/>
      <w:bookmarkStart w:id="48" w:name="list7"/>
      <w:bookmarkEnd w:id="48"/>
    </w:p>
    <w:tbl>
      <w:tblPr>
        <w:tblW w:w="5000" w:type="pct"/>
        <w:jc w:val="left"/>
        <w:tblInd w:w="0" w:type="dxa"/>
        <w:tblCellMar>
          <w:top w:w="0" w:type="dxa"/>
          <w:left w:w="0" w:type="dxa"/>
          <w:bottom w:w="0" w:type="dxa"/>
          <w:right w:w="0" w:type="dxa"/>
        </w:tblCellMar>
      </w:tblPr>
      <w:tblGrid>
        <w:gridCol w:w="283"/>
        <w:gridCol w:w="9922"/>
      </w:tblGrid>
      <w:tr>
        <w:trPr/>
        <w:tc>
          <w:tcPr>
            <w:tcW w:w="2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8.  </w:t>
            </w:r>
          </w:p>
        </w:tc>
        <w:tc>
          <w:tcPr>
            <w:tcW w:w="99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transact such other business as may properly come before the meeting or any adjournment or postponement thereof.</w:t>
            </w:r>
          </w:p>
        </w:tc>
      </w:tr>
    </w:tbl>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foregoing items of business are more fully described in the proxy statement accompanying this notice.</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Company’s Board of Directors has fixed the close of business on July 2, 2013 as the record date for the determination of stockholders entitled to notice of and to vote at this Annual Meeting and at any adjournment or postponement thereof. All stockholders are invited to attend the meeting. You must present your proxy or voter instruction card or meeting notice for admission.</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283"/>
              <w:jc w:val="left"/>
              <w:rPr/>
            </w:pPr>
            <w:r>
              <w:rPr/>
              <w:t xml:space="preserve">  </w:t>
            </w:r>
          </w:p>
        </w:tc>
        <w:tc>
          <w:tcPr>
            <w:tcW w:w="5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 Order of the Board of Directors,</w:t>
            </w:r>
          </w:p>
        </w:tc>
      </w:tr>
      <w:tr>
        <w:trPr/>
        <w:tc>
          <w:tcPr>
            <w:tcW w:w="5102" w:type="dxa"/>
            <w:tcBorders/>
            <w:shd w:fill="auto" w:val="clear"/>
          </w:tcPr>
          <w:p>
            <w:pPr>
              <w:pStyle w:val="TableContents"/>
              <w:spacing w:before="0" w:after="283"/>
              <w:jc w:val="left"/>
              <w:rPr/>
            </w:pPr>
            <w:r>
              <w:rPr/>
              <w:t xml:space="preserve">  </w:t>
            </w:r>
          </w:p>
        </w:tc>
        <w:tc>
          <w:tcPr>
            <w:tcW w:w="5103" w:type="dxa"/>
            <w:tcBorders/>
            <w:shd w:fill="auto" w:val="clear"/>
            <w:vAlign w:val="center"/>
          </w:tcPr>
          <w:p>
            <w:pPr>
              <w:pStyle w:val="TableContents"/>
              <w:spacing w:before="0" w:after="283"/>
              <w:jc w:val="left"/>
              <w:rPr/>
            </w:pPr>
            <w:r>
              <w:rPr/>
              <w:t xml:space="preserve">  </w:t>
            </w:r>
          </w:p>
        </w:tc>
      </w:tr>
      <w:tr>
        <w:trPr/>
        <w:tc>
          <w:tcPr>
            <w:tcW w:w="5102" w:type="dxa"/>
            <w:tcBorders/>
            <w:shd w:fill="auto" w:val="clear"/>
          </w:tcPr>
          <w:p>
            <w:pPr>
              <w:pStyle w:val="TableContents"/>
              <w:spacing w:before="0" w:after="283"/>
              <w:jc w:val="left"/>
              <w:rPr/>
            </w:pPr>
            <w:r>
              <w:rPr/>
              <w:t xml:space="preserve">  </w:t>
            </w:r>
          </w:p>
        </w:tc>
        <w:tc>
          <w:tcPr>
            <w:tcW w:w="5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Mark L. Baum</w:t>
            </w:r>
          </w:p>
        </w:tc>
      </w:tr>
      <w:tr>
        <w:trPr/>
        <w:tc>
          <w:tcPr>
            <w:tcW w:w="5102" w:type="dxa"/>
            <w:tcBorders/>
            <w:shd w:fill="auto" w:val="clear"/>
          </w:tcPr>
          <w:p>
            <w:pPr>
              <w:pStyle w:val="TableContents"/>
              <w:spacing w:before="0" w:after="283"/>
              <w:jc w:val="left"/>
              <w:rPr/>
            </w:pPr>
            <w:r>
              <w:rPr/>
              <w:t xml:space="preserve">  </w:t>
            </w:r>
          </w:p>
        </w:tc>
        <w:tc>
          <w:tcPr>
            <w:tcW w:w="5103" w:type="dxa"/>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Chief Executive Officer and Director</w:t>
            </w:r>
          </w:p>
        </w:tc>
      </w:tr>
    </w:tbl>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San Diego, California</w:t>
      </w:r>
    </w:p>
    <w:p>
      <w:pPr>
        <w:pStyle w:val="TextBody"/>
        <w:spacing w:before="0" w:after="0"/>
        <w:ind w:left="0" w:right="0" w:hanging="0"/>
        <w:jc w:val="left"/>
        <w:rPr>
          <w:rFonts w:ascii="times new roman" w:hAnsi="times new roman"/>
          <w:sz w:val="20"/>
        </w:rPr>
      </w:pPr>
      <w:r>
        <w:rPr>
          <w:rFonts w:ascii="times new roman" w:hAnsi="times new roman"/>
          <w:sz w:val="20"/>
        </w:rPr>
        <w:t>July   , 2013</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9" w:name="PGBRK1"/>
      <w:bookmarkStart w:id="50" w:name="PGBRK1"/>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1" w:name="FTR1"/>
      <w:bookmarkStart w:id="52" w:name="FTR1"/>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 w:name="GLFTR1"/>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 w:name="PN1"/>
      <w:bookmarkEnd w:id="5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5" w:name="HDR1"/>
      <w:bookmarkStart w:id="56" w:name="HDR1"/>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 w:name="GLHDR1"/>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2314575" cy="1295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14575" cy="1295400"/>
                    </a:xfrm>
                    <a:prstGeom prst="rect">
                      <a:avLst/>
                    </a:prstGeom>
                  </pic:spPr>
                </pic:pic>
              </a:graphicData>
            </a:graphic>
          </wp:inline>
        </w:drawing>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12626 High Bluff Drive, Suite 150</w:t>
      </w:r>
    </w:p>
    <w:p>
      <w:pPr>
        <w:pStyle w:val="TextBody"/>
        <w:spacing w:before="0" w:after="0"/>
        <w:ind w:left="0" w:right="0" w:hanging="0"/>
        <w:jc w:val="center"/>
        <w:rPr>
          <w:rFonts w:ascii="Times New Roman" w:hAnsi="Times New Roman"/>
          <w:sz w:val="20"/>
        </w:rPr>
      </w:pPr>
      <w:r>
        <w:rPr>
          <w:rFonts w:ascii="Times New Roman" w:hAnsi="Times New Roman"/>
          <w:sz w:val="20"/>
        </w:rPr>
        <w:t>San Diego, CA 92130</w:t>
      </w:r>
    </w:p>
    <w:p>
      <w:pPr>
        <w:pStyle w:val="TextBody"/>
        <w:spacing w:before="0" w:after="0"/>
        <w:ind w:left="0" w:right="0" w:hanging="0"/>
        <w:jc w:val="center"/>
        <w:rPr>
          <w:rFonts w:ascii="Times New Roman" w:hAnsi="Times New Roman"/>
          <w:sz w:val="20"/>
        </w:rPr>
      </w:pPr>
      <w:r>
        <w:rPr>
          <w:rFonts w:ascii="Times New Roman" w:hAnsi="Times New Roman"/>
          <w:sz w:val="20"/>
        </w:rPr>
        <w:t>_________________________________</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w:t>
      </w:r>
    </w:p>
    <w:p>
      <w:pPr>
        <w:pStyle w:val="TextBody"/>
        <w:spacing w:before="0" w:after="0"/>
        <w:ind w:left="0" w:right="0" w:hanging="0"/>
        <w:jc w:val="center"/>
        <w:rPr>
          <w:rFonts w:ascii="Times New Roman" w:hAnsi="Times New Roman"/>
          <w:b/>
          <w:sz w:val="20"/>
        </w:rPr>
      </w:pPr>
      <w:r>
        <w:rPr>
          <w:rFonts w:ascii="Times New Roman" w:hAnsi="Times New Roman"/>
          <w:b/>
          <w:sz w:val="20"/>
        </w:rPr>
        <w:t>For Annual Meeting of Stockholders to be held on August 13, 2013</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General</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enclosed proxy is solicited on behalf of our Board of Directors (the “Board” or “Board of Directors”) for use at the Annual Meeting of Stockholders (the “Annual Meeting”), of Imprimis Pharmaceuticals, Inc. to be held on August 13, 2013, at 9:00 a.m. local time at the offices of Morrison &amp; Foerster, LLP located at 12531 High Bluff Drive, Suite 100, San Diego, CA 92130, or at any adjournment or postponement thereof, for the purposes set forth herein and in the accompanying Notice of Annual Meeting. We expect to mail this proxy statement to our stockholders on or about July    , 2013.</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All references to “us”, “we”, “our”, and “the Company” refer to Imprimis Pharmaceuticals, Inc.</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IMPORTANT NOTICE REGARDING THE AVAILABILITY OF PROXY MATERIALS FOR THE 2013 ANNUAL MEETING OF STOCKHOLDERS TO BE HELD ON AUGUST 13, 2013</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 xml:space="preserve">Copies of this Proxy Statement, the Notice and our Annual Report on Form 10-K for the fiscal year ended December 31, 2012 can be accessed electronically at: </w:t>
      </w:r>
      <w:r>
        <w:rPr>
          <w:rFonts w:ascii="Times New Roman" w:hAnsi="Times New Roman"/>
          <w:sz w:val="20"/>
          <w:u w:val="single"/>
        </w:rPr>
        <w:t>www.iproxydirect.com/IMMY</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Solicitation of Proxies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FOR proposals 2, 3, 5, 6 and 7, and for a THREE YEAR frequency with respect to proposal 4.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other items of business that will be presented for consideration at the Annual Meeting other than those described in this proxy statement.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Stockholders of Record</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Only holders of record of shares of our common stock at the close of business on the record date, July 2, 2013, will be entitled to notice of and to vote at the Annual Meeting and any adjournment thereof. At the close of business on July 2, 2013, the Company had 8,961,583 shares of common stock outstanding and entitled to vote held by 171 stockholders of record. Each holder of record of shares of our common stock on the record date will be entitled to one vote for each share held on all matters to be voted upon at the Annual Meeting.</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A quorum of stockholders is necessary to hold a valid meeting. A quorum will be present if at least a majority of our outstanding shares of common stock entitled to vote are represented at the meeting, either in person or by proxy.</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2"/>
      <w:bookmarkStart w:id="59" w:name="PGBRK2"/>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2"/>
      <w:bookmarkStart w:id="61" w:name="FTR2"/>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 w:name="GLFTR2"/>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 w:name="PN2"/>
      <w:bookmarkEnd w:id="63"/>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2"/>
      <w:bookmarkStart w:id="65" w:name="HDR2"/>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 w:name="GLHDR2"/>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Vote Required and Method of Counting Votes</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All votes will be tabulated by the inspector of elections appointed for the Annual Meeting, who will tabulate affirmative and negative votes, abstentions and broker non-votes. Abstentions and shares that are voted by brokers as to any matter at the meeting will be included in determining if a quorum is present or represented at the Annual Meeting. Any broker holding shares of record for you is not entitled to vote on certain matters that are not deemed to be routine unless the broker receives voting instructions from you. Broker non-votes occur when shares are held by a broker who has not received instructions from the beneficial owner of the shares on such matters, the broker does not have discretionary voting power with respect to such matters and has so notified us on a proxy form in accordance with industry practice or has otherwise advised us that the broker lacks voting authority with respect to such matters. The effects of broker non-votes and abstentions on the specific items to be brought before the Annual Meeting are discussed below.</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820"/>
        <w:gridCol w:w="141"/>
        <w:gridCol w:w="2835"/>
        <w:gridCol w:w="141"/>
        <w:gridCol w:w="284"/>
        <w:gridCol w:w="1842"/>
        <w:gridCol w:w="142"/>
      </w:tblGrid>
      <w:tr>
        <w:trPr/>
        <w:tc>
          <w:tcPr>
            <w:tcW w:w="4820"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Proposal</w:t>
            </w:r>
          </w:p>
        </w:tc>
        <w:tc>
          <w:tcPr>
            <w:tcW w:w="141" w:type="dxa"/>
            <w:tcBorders/>
            <w:shd w:fill="auto" w:val="clear"/>
            <w:vAlign w:val="bottom"/>
          </w:tcPr>
          <w:p>
            <w:pPr>
              <w:pStyle w:val="TableContents"/>
              <w:spacing w:before="0" w:after="0"/>
              <w:ind w:left="0" w:right="0" w:hanging="0"/>
              <w:jc w:val="left"/>
              <w:rPr/>
            </w:pPr>
            <w:r>
              <w:rPr/>
              <w:t>  </w:t>
            </w:r>
          </w:p>
        </w:tc>
        <w:tc>
          <w:tcPr>
            <w:tcW w:w="2835"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Vote Required</w:t>
            </w:r>
          </w:p>
        </w:tc>
        <w:tc>
          <w:tcPr>
            <w:tcW w:w="141" w:type="dxa"/>
            <w:tcBorders/>
            <w:shd w:fill="auto" w:val="clear"/>
            <w:vAlign w:val="bottom"/>
          </w:tcPr>
          <w:p>
            <w:pPr>
              <w:pStyle w:val="TableContents"/>
              <w:spacing w:before="0" w:after="0"/>
              <w:ind w:left="0" w:right="0" w:hanging="0"/>
              <w:jc w:val="left"/>
              <w:rPr/>
            </w:pPr>
            <w:r>
              <w:rPr/>
              <w:t>  </w:t>
            </w:r>
          </w:p>
        </w:tc>
        <w:tc>
          <w:tcPr>
            <w:tcW w:w="2126" w:type="dxa"/>
            <w:gridSpan w:val="2"/>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Broker Discretionary</w:t>
            </w:r>
          </w:p>
          <w:p>
            <w:pPr>
              <w:pStyle w:val="TableContents"/>
              <w:spacing w:before="0" w:after="0"/>
              <w:ind w:left="0" w:right="0" w:hanging="0"/>
              <w:jc w:val="left"/>
              <w:rPr>
                <w:rFonts w:ascii="times new roman" w:hAnsi="times new roman"/>
                <w:b/>
                <w:sz w:val="16"/>
              </w:rPr>
            </w:pPr>
            <w:r>
              <w:rPr>
                <w:rFonts w:ascii="times new roman" w:hAnsi="times new roman"/>
                <w:b/>
                <w:sz w:val="16"/>
              </w:rPr>
              <w:t>Voting Allowed</w:t>
            </w:r>
          </w:p>
        </w:tc>
        <w:tc>
          <w:tcPr>
            <w:tcW w:w="142" w:type="dxa"/>
            <w:tcBorders/>
            <w:shd w:fill="auto" w:val="clear"/>
            <w:vAlign w:val="bottom"/>
          </w:tcPr>
          <w:p>
            <w:pPr>
              <w:pStyle w:val="TableContents"/>
              <w:spacing w:before="0" w:after="283"/>
              <w:jc w:val="left"/>
              <w:rPr/>
            </w:pPr>
            <w:r>
              <w:rPr/>
              <w:t xml:space="preserve">  </w:t>
            </w:r>
          </w:p>
        </w:tc>
      </w:tr>
      <w:tr>
        <w:trPr/>
        <w:tc>
          <w:tcPr>
            <w:tcW w:w="4820" w:type="dxa"/>
            <w:tcBorders/>
            <w:shd w:fill="auto" w:val="clear"/>
            <w:vAlign w:val="center"/>
          </w:tcPr>
          <w:p>
            <w:pPr>
              <w:pStyle w:val="TableContents"/>
              <w:spacing w:before="0" w:after="283"/>
              <w:rPr/>
            </w:pPr>
            <w:r>
              <w:rPr/>
              <w:t xml:space="preserve">  </w:t>
            </w:r>
          </w:p>
        </w:tc>
        <w:tc>
          <w:tcPr>
            <w:tcW w:w="2976" w:type="dxa"/>
            <w:gridSpan w:val="2"/>
            <w:tcBorders/>
            <w:shd w:fill="auto" w:val="clear"/>
            <w:vAlign w:val="center"/>
          </w:tcPr>
          <w:p>
            <w:pPr>
              <w:pStyle w:val="TableContents"/>
              <w:spacing w:before="0" w:after="283"/>
              <w:rPr/>
            </w:pPr>
            <w:r>
              <w:rPr/>
              <w:t xml:space="preserve">  </w:t>
            </w:r>
          </w:p>
        </w:tc>
        <w:tc>
          <w:tcPr>
            <w:tcW w:w="2409" w:type="dxa"/>
            <w:gridSpan w:val="4"/>
            <w:tcBorders/>
            <w:shd w:fill="auto" w:val="clear"/>
            <w:vAlign w:val="center"/>
          </w:tcPr>
          <w:p>
            <w:pPr>
              <w:pStyle w:val="TableContents"/>
              <w:spacing w:before="0" w:after="283"/>
              <w:rPr/>
            </w:pPr>
            <w:r>
              <w:rPr/>
              <w:t xml:space="preserve">  </w:t>
            </w:r>
          </w:p>
        </w:tc>
      </w:tr>
      <w:tr>
        <w:trPr/>
        <w:tc>
          <w:tcPr>
            <w:tcW w:w="4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Proposal 1 – Election of six directors</w:t>
            </w:r>
          </w:p>
        </w:tc>
        <w:tc>
          <w:tcPr>
            <w:tcW w:w="141" w:type="dxa"/>
            <w:tcBorders/>
            <w:shd w:fill="auto" w:val="clear"/>
          </w:tcPr>
          <w:p>
            <w:pPr>
              <w:pStyle w:val="TableContents"/>
              <w:spacing w:before="0" w:after="0"/>
              <w:ind w:left="0" w:right="0" w:hanging="0"/>
              <w:jc w:val="left"/>
              <w:rPr/>
            </w:pPr>
            <w:r>
              <w:rPr/>
              <w:t>  </w:t>
            </w:r>
          </w:p>
        </w:tc>
        <w:tc>
          <w:tcPr>
            <w:tcW w:w="28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Plurality of Votes Cast</w:t>
            </w:r>
          </w:p>
        </w:tc>
        <w:tc>
          <w:tcPr>
            <w:tcW w:w="141" w:type="dxa"/>
            <w:tcBorders/>
            <w:shd w:fill="auto" w:val="clear"/>
          </w:tcPr>
          <w:p>
            <w:pPr>
              <w:pStyle w:val="TableContents"/>
              <w:spacing w:before="0" w:after="0"/>
              <w:ind w:left="0" w:right="0" w:hanging="0"/>
              <w:jc w:val="left"/>
              <w:rPr/>
            </w:pPr>
            <w:r>
              <w:rPr/>
              <w:t>  </w:t>
            </w:r>
          </w:p>
        </w:tc>
        <w:tc>
          <w:tcPr>
            <w:tcW w:w="284" w:type="dxa"/>
            <w:tcBorders/>
            <w:shd w:fill="auto" w:val="clear"/>
          </w:tcPr>
          <w:p>
            <w:pPr>
              <w:pStyle w:val="TableContents"/>
              <w:spacing w:before="0" w:after="283"/>
              <w:jc w:val="left"/>
              <w:rPr/>
            </w:pPr>
            <w:r>
              <w:rPr/>
              <w:t xml:space="preserve">  </w:t>
            </w:r>
          </w:p>
        </w:tc>
        <w:tc>
          <w:tcPr>
            <w:tcW w:w="18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42" w:type="dxa"/>
            <w:tcBorders/>
            <w:shd w:fill="auto" w:val="clear"/>
          </w:tcPr>
          <w:p>
            <w:pPr>
              <w:pStyle w:val="TableContents"/>
              <w:spacing w:before="0" w:after="0"/>
              <w:ind w:left="0" w:right="0" w:hanging="0"/>
              <w:jc w:val="left"/>
              <w:rPr/>
            </w:pPr>
            <w:r>
              <w:rPr/>
              <w:t>  </w:t>
            </w:r>
          </w:p>
        </w:tc>
      </w:tr>
      <w:tr>
        <w:trPr/>
        <w:tc>
          <w:tcPr>
            <w:tcW w:w="4820" w:type="dxa"/>
            <w:tcBorders/>
            <w:shd w:fill="auto" w:val="clear"/>
          </w:tcPr>
          <w:p>
            <w:pPr>
              <w:pStyle w:val="TableContents"/>
              <w:spacing w:before="0" w:after="283"/>
              <w:rPr/>
            </w:pPr>
            <w:r>
              <w:rPr/>
              <w:t xml:space="preserve">  </w:t>
            </w:r>
          </w:p>
        </w:tc>
        <w:tc>
          <w:tcPr>
            <w:tcW w:w="141" w:type="dxa"/>
            <w:tcBorders/>
            <w:shd w:fill="auto" w:val="clear"/>
          </w:tcPr>
          <w:p>
            <w:pPr>
              <w:pStyle w:val="TableContents"/>
              <w:spacing w:before="0" w:after="283"/>
              <w:rPr/>
            </w:pPr>
            <w:r>
              <w:rPr/>
              <w:t xml:space="preserve">  </w:t>
            </w:r>
          </w:p>
        </w:tc>
        <w:tc>
          <w:tcPr>
            <w:tcW w:w="2835" w:type="dxa"/>
            <w:tcBorders/>
            <w:shd w:fill="auto" w:val="clear"/>
          </w:tcPr>
          <w:p>
            <w:pPr>
              <w:pStyle w:val="TableContents"/>
              <w:spacing w:before="0" w:after="283"/>
              <w:rPr/>
            </w:pPr>
            <w:r>
              <w:rPr/>
              <w:t xml:space="preserve">  </w:t>
            </w:r>
          </w:p>
        </w:tc>
        <w:tc>
          <w:tcPr>
            <w:tcW w:w="141" w:type="dxa"/>
            <w:tcBorders/>
            <w:shd w:fill="auto" w:val="clear"/>
          </w:tcPr>
          <w:p>
            <w:pPr>
              <w:pStyle w:val="TableContents"/>
              <w:spacing w:before="0" w:after="283"/>
              <w:rPr/>
            </w:pPr>
            <w:r>
              <w:rPr/>
              <w:t xml:space="preserve">  </w:t>
            </w:r>
          </w:p>
        </w:tc>
        <w:tc>
          <w:tcPr>
            <w:tcW w:w="284" w:type="dxa"/>
            <w:tcBorders/>
            <w:shd w:fill="auto" w:val="clear"/>
          </w:tcPr>
          <w:p>
            <w:pPr>
              <w:pStyle w:val="TableContents"/>
              <w:spacing w:before="0" w:after="283"/>
              <w:rPr/>
            </w:pPr>
            <w:r>
              <w:rPr/>
              <w:t xml:space="preserve">  </w:t>
            </w:r>
          </w:p>
        </w:tc>
        <w:tc>
          <w:tcPr>
            <w:tcW w:w="1842" w:type="dxa"/>
            <w:tcBorders/>
            <w:shd w:fill="auto" w:val="clear"/>
          </w:tcPr>
          <w:p>
            <w:pPr>
              <w:pStyle w:val="TableContents"/>
              <w:spacing w:before="0" w:after="283"/>
              <w:rPr/>
            </w:pPr>
            <w:r>
              <w:rPr/>
              <w:t xml:space="preserve">  </w:t>
            </w:r>
          </w:p>
        </w:tc>
        <w:tc>
          <w:tcPr>
            <w:tcW w:w="142" w:type="dxa"/>
            <w:tcBorders/>
            <w:shd w:fill="auto" w:val="clear"/>
          </w:tcPr>
          <w:p>
            <w:pPr>
              <w:pStyle w:val="TableContents"/>
              <w:spacing w:before="0" w:after="283"/>
              <w:rPr/>
            </w:pPr>
            <w:r>
              <w:rPr/>
              <w:t xml:space="preserve">  </w:t>
            </w:r>
          </w:p>
        </w:tc>
      </w:tr>
      <w:tr>
        <w:trPr/>
        <w:tc>
          <w:tcPr>
            <w:tcW w:w="4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Proposal 2 – Ratification of auditors for Fiscal Year 2013</w:t>
            </w:r>
          </w:p>
        </w:tc>
        <w:tc>
          <w:tcPr>
            <w:tcW w:w="141" w:type="dxa"/>
            <w:tcBorders/>
            <w:shd w:fill="auto" w:val="clear"/>
          </w:tcPr>
          <w:p>
            <w:pPr>
              <w:pStyle w:val="TableContents"/>
              <w:spacing w:before="0" w:after="0"/>
              <w:ind w:left="0" w:right="0" w:hanging="0"/>
              <w:jc w:val="left"/>
              <w:rPr/>
            </w:pPr>
            <w:r>
              <w:rPr/>
              <w:t>  </w:t>
            </w:r>
          </w:p>
        </w:tc>
        <w:tc>
          <w:tcPr>
            <w:tcW w:w="28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Majority of Voting Power represented at meeting</w:t>
            </w:r>
          </w:p>
        </w:tc>
        <w:tc>
          <w:tcPr>
            <w:tcW w:w="141" w:type="dxa"/>
            <w:tcBorders/>
            <w:shd w:fill="auto" w:val="clear"/>
          </w:tcPr>
          <w:p>
            <w:pPr>
              <w:pStyle w:val="TableContents"/>
              <w:spacing w:before="0" w:after="0"/>
              <w:ind w:left="0" w:right="0" w:hanging="0"/>
              <w:jc w:val="left"/>
              <w:rPr/>
            </w:pPr>
            <w:r>
              <w:rPr/>
              <w:t>  </w:t>
            </w:r>
          </w:p>
        </w:tc>
        <w:tc>
          <w:tcPr>
            <w:tcW w:w="284" w:type="dxa"/>
            <w:tcBorders/>
            <w:shd w:fill="auto" w:val="clear"/>
          </w:tcPr>
          <w:p>
            <w:pPr>
              <w:pStyle w:val="TableContents"/>
              <w:spacing w:before="0" w:after="283"/>
              <w:jc w:val="left"/>
              <w:rPr/>
            </w:pPr>
            <w:r>
              <w:rPr/>
              <w:t xml:space="preserve">  </w:t>
            </w:r>
          </w:p>
        </w:tc>
        <w:tc>
          <w:tcPr>
            <w:tcW w:w="18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Yes</w:t>
            </w:r>
          </w:p>
        </w:tc>
        <w:tc>
          <w:tcPr>
            <w:tcW w:w="142" w:type="dxa"/>
            <w:tcBorders/>
            <w:shd w:fill="auto" w:val="clear"/>
          </w:tcPr>
          <w:p>
            <w:pPr>
              <w:pStyle w:val="TableContents"/>
              <w:spacing w:before="0" w:after="0"/>
              <w:ind w:left="0" w:right="0" w:hanging="0"/>
              <w:jc w:val="left"/>
              <w:rPr/>
            </w:pPr>
            <w:r>
              <w:rPr/>
              <w:t>  </w:t>
            </w:r>
          </w:p>
        </w:tc>
      </w:tr>
      <w:tr>
        <w:trPr/>
        <w:tc>
          <w:tcPr>
            <w:tcW w:w="4820" w:type="dxa"/>
            <w:tcBorders/>
            <w:shd w:fill="auto" w:val="clear"/>
          </w:tcPr>
          <w:p>
            <w:pPr>
              <w:pStyle w:val="TableContents"/>
              <w:spacing w:before="0" w:after="283"/>
              <w:rPr/>
            </w:pPr>
            <w:r>
              <w:rPr/>
              <w:t xml:space="preserve">  </w:t>
            </w:r>
          </w:p>
        </w:tc>
        <w:tc>
          <w:tcPr>
            <w:tcW w:w="141" w:type="dxa"/>
            <w:tcBorders/>
            <w:shd w:fill="auto" w:val="clear"/>
          </w:tcPr>
          <w:p>
            <w:pPr>
              <w:pStyle w:val="TableContents"/>
              <w:spacing w:before="0" w:after="283"/>
              <w:rPr/>
            </w:pPr>
            <w:r>
              <w:rPr/>
              <w:t xml:space="preserve">  </w:t>
            </w:r>
          </w:p>
        </w:tc>
        <w:tc>
          <w:tcPr>
            <w:tcW w:w="2835" w:type="dxa"/>
            <w:tcBorders/>
            <w:shd w:fill="auto" w:val="clear"/>
          </w:tcPr>
          <w:p>
            <w:pPr>
              <w:pStyle w:val="TableContents"/>
              <w:spacing w:before="0" w:after="283"/>
              <w:rPr/>
            </w:pPr>
            <w:r>
              <w:rPr/>
              <w:t xml:space="preserve">  </w:t>
            </w:r>
          </w:p>
        </w:tc>
        <w:tc>
          <w:tcPr>
            <w:tcW w:w="141" w:type="dxa"/>
            <w:tcBorders/>
            <w:shd w:fill="auto" w:val="clear"/>
          </w:tcPr>
          <w:p>
            <w:pPr>
              <w:pStyle w:val="TableContents"/>
              <w:spacing w:before="0" w:after="283"/>
              <w:rPr/>
            </w:pPr>
            <w:r>
              <w:rPr/>
              <w:t xml:space="preserve">  </w:t>
            </w:r>
          </w:p>
        </w:tc>
        <w:tc>
          <w:tcPr>
            <w:tcW w:w="284" w:type="dxa"/>
            <w:tcBorders/>
            <w:shd w:fill="auto" w:val="clear"/>
          </w:tcPr>
          <w:p>
            <w:pPr>
              <w:pStyle w:val="TableContents"/>
              <w:spacing w:before="0" w:after="283"/>
              <w:rPr/>
            </w:pPr>
            <w:r>
              <w:rPr/>
              <w:t xml:space="preserve">  </w:t>
            </w:r>
          </w:p>
        </w:tc>
        <w:tc>
          <w:tcPr>
            <w:tcW w:w="1842" w:type="dxa"/>
            <w:tcBorders/>
            <w:shd w:fill="auto" w:val="clear"/>
          </w:tcPr>
          <w:p>
            <w:pPr>
              <w:pStyle w:val="TableContents"/>
              <w:spacing w:before="0" w:after="283"/>
              <w:rPr/>
            </w:pPr>
            <w:r>
              <w:rPr/>
              <w:t xml:space="preserve">  </w:t>
            </w:r>
          </w:p>
        </w:tc>
        <w:tc>
          <w:tcPr>
            <w:tcW w:w="142" w:type="dxa"/>
            <w:tcBorders/>
            <w:shd w:fill="auto" w:val="clear"/>
          </w:tcPr>
          <w:p>
            <w:pPr>
              <w:pStyle w:val="TableContents"/>
              <w:spacing w:before="0" w:after="283"/>
              <w:rPr/>
            </w:pPr>
            <w:r>
              <w:rPr/>
              <w:t xml:space="preserve">  </w:t>
            </w:r>
          </w:p>
        </w:tc>
      </w:tr>
      <w:tr>
        <w:trPr/>
        <w:tc>
          <w:tcPr>
            <w:tcW w:w="4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Proposal 3 – Advisory vote to approve executive compensation</w:t>
            </w:r>
          </w:p>
        </w:tc>
        <w:tc>
          <w:tcPr>
            <w:tcW w:w="141" w:type="dxa"/>
            <w:tcBorders/>
            <w:shd w:fill="auto" w:val="clear"/>
          </w:tcPr>
          <w:p>
            <w:pPr>
              <w:pStyle w:val="TableContents"/>
              <w:spacing w:before="0" w:after="0"/>
              <w:ind w:left="0" w:right="0" w:hanging="0"/>
              <w:jc w:val="left"/>
              <w:rPr/>
            </w:pPr>
            <w:r>
              <w:rPr/>
              <w:t>  </w:t>
            </w:r>
          </w:p>
        </w:tc>
        <w:tc>
          <w:tcPr>
            <w:tcW w:w="28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Majority of Voting Power represented at meeting</w:t>
            </w:r>
          </w:p>
        </w:tc>
        <w:tc>
          <w:tcPr>
            <w:tcW w:w="141" w:type="dxa"/>
            <w:tcBorders/>
            <w:shd w:fill="auto" w:val="clear"/>
          </w:tcPr>
          <w:p>
            <w:pPr>
              <w:pStyle w:val="TableContents"/>
              <w:spacing w:before="0" w:after="0"/>
              <w:ind w:left="0" w:right="0" w:hanging="0"/>
              <w:jc w:val="left"/>
              <w:rPr/>
            </w:pPr>
            <w:r>
              <w:rPr/>
              <w:t>  </w:t>
            </w:r>
          </w:p>
        </w:tc>
        <w:tc>
          <w:tcPr>
            <w:tcW w:w="284" w:type="dxa"/>
            <w:tcBorders/>
            <w:shd w:fill="auto" w:val="clear"/>
          </w:tcPr>
          <w:p>
            <w:pPr>
              <w:pStyle w:val="TableContents"/>
              <w:spacing w:before="0" w:after="283"/>
              <w:jc w:val="left"/>
              <w:rPr/>
            </w:pPr>
            <w:r>
              <w:rPr/>
              <w:t xml:space="preserve">  </w:t>
            </w:r>
          </w:p>
        </w:tc>
        <w:tc>
          <w:tcPr>
            <w:tcW w:w="18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42" w:type="dxa"/>
            <w:tcBorders/>
            <w:shd w:fill="auto" w:val="clear"/>
          </w:tcPr>
          <w:p>
            <w:pPr>
              <w:pStyle w:val="TableContents"/>
              <w:spacing w:before="0" w:after="0"/>
              <w:ind w:left="0" w:right="0" w:hanging="0"/>
              <w:jc w:val="left"/>
              <w:rPr/>
            </w:pPr>
            <w:r>
              <w:rPr/>
              <w:t>  </w:t>
            </w:r>
          </w:p>
        </w:tc>
      </w:tr>
      <w:tr>
        <w:trPr/>
        <w:tc>
          <w:tcPr>
            <w:tcW w:w="4820" w:type="dxa"/>
            <w:tcBorders/>
            <w:shd w:fill="auto" w:val="clear"/>
          </w:tcPr>
          <w:p>
            <w:pPr>
              <w:pStyle w:val="TableContents"/>
              <w:spacing w:before="0" w:after="283"/>
              <w:rPr/>
            </w:pPr>
            <w:r>
              <w:rPr/>
              <w:t xml:space="preserve">  </w:t>
            </w:r>
          </w:p>
        </w:tc>
        <w:tc>
          <w:tcPr>
            <w:tcW w:w="2976" w:type="dxa"/>
            <w:gridSpan w:val="2"/>
            <w:tcBorders/>
            <w:shd w:fill="auto" w:val="clear"/>
          </w:tcPr>
          <w:p>
            <w:pPr>
              <w:pStyle w:val="TableContents"/>
              <w:spacing w:before="0" w:after="283"/>
              <w:rPr/>
            </w:pPr>
            <w:r>
              <w:rPr/>
              <w:t xml:space="preserve">  </w:t>
            </w:r>
          </w:p>
        </w:tc>
        <w:tc>
          <w:tcPr>
            <w:tcW w:w="2409" w:type="dxa"/>
            <w:gridSpan w:val="4"/>
            <w:tcBorders/>
            <w:shd w:fill="auto" w:val="clear"/>
          </w:tcPr>
          <w:p>
            <w:pPr>
              <w:pStyle w:val="TableContents"/>
              <w:spacing w:before="0" w:after="283"/>
              <w:rPr/>
            </w:pPr>
            <w:r>
              <w:rPr/>
              <w:t xml:space="preserve">  </w:t>
            </w:r>
          </w:p>
        </w:tc>
      </w:tr>
      <w:tr>
        <w:trPr/>
        <w:tc>
          <w:tcPr>
            <w:tcW w:w="4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Proposal 4 – Advisory vote on frequency of advisory vote on executive compensation</w:t>
            </w:r>
          </w:p>
        </w:tc>
        <w:tc>
          <w:tcPr>
            <w:tcW w:w="141" w:type="dxa"/>
            <w:tcBorders/>
            <w:shd w:fill="auto" w:val="clear"/>
          </w:tcPr>
          <w:p>
            <w:pPr>
              <w:pStyle w:val="TableContents"/>
              <w:spacing w:before="0" w:after="0"/>
              <w:ind w:left="0" w:right="0" w:hanging="0"/>
              <w:jc w:val="left"/>
              <w:rPr/>
            </w:pPr>
            <w:r>
              <w:rPr/>
              <w:t>  </w:t>
            </w:r>
          </w:p>
        </w:tc>
        <w:tc>
          <w:tcPr>
            <w:tcW w:w="28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Plurality of Votes Cast</w:t>
            </w:r>
          </w:p>
        </w:tc>
        <w:tc>
          <w:tcPr>
            <w:tcW w:w="141" w:type="dxa"/>
            <w:tcBorders/>
            <w:shd w:fill="auto" w:val="clear"/>
          </w:tcPr>
          <w:p>
            <w:pPr>
              <w:pStyle w:val="TableContents"/>
              <w:spacing w:before="0" w:after="0"/>
              <w:ind w:left="0" w:right="0" w:hanging="0"/>
              <w:jc w:val="left"/>
              <w:rPr/>
            </w:pPr>
            <w:r>
              <w:rPr/>
              <w:t>  </w:t>
            </w:r>
          </w:p>
        </w:tc>
        <w:tc>
          <w:tcPr>
            <w:tcW w:w="284" w:type="dxa"/>
            <w:tcBorders/>
            <w:shd w:fill="auto" w:val="clear"/>
          </w:tcPr>
          <w:p>
            <w:pPr>
              <w:pStyle w:val="TableContents"/>
              <w:spacing w:before="0" w:after="283"/>
              <w:jc w:val="left"/>
              <w:rPr/>
            </w:pPr>
            <w:r>
              <w:rPr/>
              <w:t xml:space="preserve">  </w:t>
            </w:r>
          </w:p>
        </w:tc>
        <w:tc>
          <w:tcPr>
            <w:tcW w:w="18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42" w:type="dxa"/>
            <w:tcBorders/>
            <w:shd w:fill="auto" w:val="clear"/>
          </w:tcPr>
          <w:p>
            <w:pPr>
              <w:pStyle w:val="TableContents"/>
              <w:spacing w:before="0" w:after="0"/>
              <w:ind w:left="0" w:right="0" w:hanging="0"/>
              <w:jc w:val="left"/>
              <w:rPr/>
            </w:pPr>
            <w:r>
              <w:rPr/>
              <w:t>  </w:t>
            </w:r>
          </w:p>
        </w:tc>
      </w:tr>
      <w:tr>
        <w:trPr/>
        <w:tc>
          <w:tcPr>
            <w:tcW w:w="4820" w:type="dxa"/>
            <w:tcBorders/>
            <w:shd w:fill="auto" w:val="clear"/>
          </w:tcPr>
          <w:p>
            <w:pPr>
              <w:pStyle w:val="TableContents"/>
              <w:spacing w:before="0" w:after="283"/>
              <w:rPr/>
            </w:pPr>
            <w:r>
              <w:rPr/>
              <w:t xml:space="preserve">  </w:t>
            </w:r>
          </w:p>
        </w:tc>
        <w:tc>
          <w:tcPr>
            <w:tcW w:w="2976" w:type="dxa"/>
            <w:gridSpan w:val="2"/>
            <w:tcBorders/>
            <w:shd w:fill="auto" w:val="clear"/>
          </w:tcPr>
          <w:p>
            <w:pPr>
              <w:pStyle w:val="TableContents"/>
              <w:spacing w:before="0" w:after="283"/>
              <w:rPr/>
            </w:pPr>
            <w:r>
              <w:rPr/>
              <w:t xml:space="preserve">  </w:t>
            </w:r>
          </w:p>
        </w:tc>
        <w:tc>
          <w:tcPr>
            <w:tcW w:w="2409" w:type="dxa"/>
            <w:gridSpan w:val="4"/>
            <w:tcBorders/>
            <w:shd w:fill="auto" w:val="clear"/>
          </w:tcPr>
          <w:p>
            <w:pPr>
              <w:pStyle w:val="TableContents"/>
              <w:spacing w:before="0" w:after="283"/>
              <w:rPr/>
            </w:pPr>
            <w:r>
              <w:rPr/>
              <w:t xml:space="preserve">  </w:t>
            </w:r>
          </w:p>
        </w:tc>
      </w:tr>
      <w:tr>
        <w:trPr/>
        <w:tc>
          <w:tcPr>
            <w:tcW w:w="4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Proposal 5 – Approval of amendment to the Imprimis Pharmaceuticals, Inc. 2007 Incentive Stock and Awards Plan, as amended</w:t>
            </w:r>
          </w:p>
        </w:tc>
        <w:tc>
          <w:tcPr>
            <w:tcW w:w="141" w:type="dxa"/>
            <w:tcBorders/>
            <w:shd w:fill="auto" w:val="clear"/>
          </w:tcPr>
          <w:p>
            <w:pPr>
              <w:pStyle w:val="TableContents"/>
              <w:spacing w:before="0" w:after="0"/>
              <w:ind w:left="0" w:right="0" w:hanging="0"/>
              <w:jc w:val="left"/>
              <w:rPr/>
            </w:pPr>
            <w:r>
              <w:rPr/>
              <w:t>  </w:t>
            </w:r>
          </w:p>
        </w:tc>
        <w:tc>
          <w:tcPr>
            <w:tcW w:w="28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Majority of Voting Power represented at meeting</w:t>
            </w:r>
          </w:p>
        </w:tc>
        <w:tc>
          <w:tcPr>
            <w:tcW w:w="141" w:type="dxa"/>
            <w:tcBorders/>
            <w:shd w:fill="auto" w:val="clear"/>
          </w:tcPr>
          <w:p>
            <w:pPr>
              <w:pStyle w:val="TableContents"/>
              <w:spacing w:before="0" w:after="0"/>
              <w:ind w:left="0" w:right="0" w:hanging="0"/>
              <w:jc w:val="left"/>
              <w:rPr/>
            </w:pPr>
            <w:r>
              <w:rPr/>
              <w:t>  </w:t>
            </w:r>
          </w:p>
        </w:tc>
        <w:tc>
          <w:tcPr>
            <w:tcW w:w="284" w:type="dxa"/>
            <w:tcBorders/>
            <w:shd w:fill="auto" w:val="clear"/>
          </w:tcPr>
          <w:p>
            <w:pPr>
              <w:pStyle w:val="TableContents"/>
              <w:spacing w:before="0" w:after="283"/>
              <w:jc w:val="left"/>
              <w:rPr/>
            </w:pPr>
            <w:r>
              <w:rPr/>
              <w:t xml:space="preserve">  </w:t>
            </w:r>
          </w:p>
        </w:tc>
        <w:tc>
          <w:tcPr>
            <w:tcW w:w="18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42" w:type="dxa"/>
            <w:tcBorders/>
            <w:shd w:fill="auto" w:val="clear"/>
          </w:tcPr>
          <w:p>
            <w:pPr>
              <w:pStyle w:val="TableContents"/>
              <w:spacing w:before="0" w:after="0"/>
              <w:ind w:left="0" w:right="0" w:hanging="0"/>
              <w:jc w:val="left"/>
              <w:rPr/>
            </w:pPr>
            <w:r>
              <w:rPr/>
              <w:t>  </w:t>
            </w:r>
          </w:p>
        </w:tc>
      </w:tr>
      <w:tr>
        <w:trPr/>
        <w:tc>
          <w:tcPr>
            <w:tcW w:w="4820" w:type="dxa"/>
            <w:tcBorders/>
            <w:shd w:fill="auto" w:val="clear"/>
          </w:tcPr>
          <w:p>
            <w:pPr>
              <w:pStyle w:val="TableContents"/>
              <w:spacing w:before="0" w:after="283"/>
              <w:rPr/>
            </w:pPr>
            <w:r>
              <w:rPr/>
              <w:t xml:space="preserve">  </w:t>
            </w:r>
          </w:p>
        </w:tc>
        <w:tc>
          <w:tcPr>
            <w:tcW w:w="2976" w:type="dxa"/>
            <w:gridSpan w:val="2"/>
            <w:tcBorders/>
            <w:shd w:fill="auto" w:val="clear"/>
          </w:tcPr>
          <w:p>
            <w:pPr>
              <w:pStyle w:val="TableContents"/>
              <w:spacing w:before="0" w:after="283"/>
              <w:rPr/>
            </w:pPr>
            <w:r>
              <w:rPr/>
              <w:t xml:space="preserve">  </w:t>
            </w:r>
          </w:p>
        </w:tc>
        <w:tc>
          <w:tcPr>
            <w:tcW w:w="2409" w:type="dxa"/>
            <w:gridSpan w:val="4"/>
            <w:tcBorders/>
            <w:shd w:fill="auto" w:val="clear"/>
          </w:tcPr>
          <w:p>
            <w:pPr>
              <w:pStyle w:val="TableContents"/>
              <w:spacing w:before="0" w:after="283"/>
              <w:rPr/>
            </w:pPr>
            <w:r>
              <w:rPr/>
              <w:t xml:space="preserve">  </w:t>
            </w:r>
          </w:p>
        </w:tc>
      </w:tr>
      <w:tr>
        <w:trPr/>
        <w:tc>
          <w:tcPr>
            <w:tcW w:w="4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Proposal 6 – Amendment of Certificate of Incorporation to decrease the number of authorized common shares from 395,000,000 to 95,000,000</w:t>
            </w:r>
          </w:p>
        </w:tc>
        <w:tc>
          <w:tcPr>
            <w:tcW w:w="141" w:type="dxa"/>
            <w:tcBorders/>
            <w:shd w:fill="auto" w:val="clear"/>
          </w:tcPr>
          <w:p>
            <w:pPr>
              <w:pStyle w:val="TableContents"/>
              <w:spacing w:before="0" w:after="0"/>
              <w:ind w:left="0" w:right="0" w:hanging="0"/>
              <w:jc w:val="left"/>
              <w:rPr/>
            </w:pPr>
            <w:r>
              <w:rPr/>
              <w:t>  </w:t>
            </w:r>
          </w:p>
        </w:tc>
        <w:tc>
          <w:tcPr>
            <w:tcW w:w="28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Majority of Shares</w:t>
            </w:r>
          </w:p>
          <w:p>
            <w:pPr>
              <w:pStyle w:val="TableContents"/>
              <w:spacing w:before="0" w:after="0"/>
              <w:ind w:left="0" w:right="0" w:hanging="0"/>
              <w:jc w:val="left"/>
              <w:rPr>
                <w:rFonts w:ascii="times new roman" w:hAnsi="times new roman"/>
                <w:sz w:val="20"/>
              </w:rPr>
            </w:pPr>
            <w:r>
              <w:rPr>
                <w:rFonts w:ascii="times new roman" w:hAnsi="times new roman"/>
                <w:sz w:val="20"/>
              </w:rPr>
              <w:t>Outstanding</w:t>
            </w:r>
          </w:p>
        </w:tc>
        <w:tc>
          <w:tcPr>
            <w:tcW w:w="141" w:type="dxa"/>
            <w:tcBorders/>
            <w:shd w:fill="auto" w:val="clear"/>
          </w:tcPr>
          <w:p>
            <w:pPr>
              <w:pStyle w:val="TableContents"/>
              <w:spacing w:before="0" w:after="0"/>
              <w:ind w:left="0" w:right="0" w:hanging="0"/>
              <w:jc w:val="left"/>
              <w:rPr/>
            </w:pPr>
            <w:r>
              <w:rPr/>
              <w:t>  </w:t>
            </w:r>
          </w:p>
        </w:tc>
        <w:tc>
          <w:tcPr>
            <w:tcW w:w="284" w:type="dxa"/>
            <w:tcBorders/>
            <w:shd w:fill="auto" w:val="clear"/>
          </w:tcPr>
          <w:p>
            <w:pPr>
              <w:pStyle w:val="TableContents"/>
              <w:spacing w:before="0" w:after="283"/>
              <w:jc w:val="left"/>
              <w:rPr/>
            </w:pPr>
            <w:r>
              <w:rPr/>
              <w:t xml:space="preserve">  </w:t>
            </w:r>
          </w:p>
        </w:tc>
        <w:tc>
          <w:tcPr>
            <w:tcW w:w="18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42" w:type="dxa"/>
            <w:tcBorders/>
            <w:shd w:fill="auto" w:val="clear"/>
          </w:tcPr>
          <w:p>
            <w:pPr>
              <w:pStyle w:val="TableContents"/>
              <w:spacing w:before="0" w:after="0"/>
              <w:ind w:left="0" w:right="0" w:hanging="0"/>
              <w:jc w:val="left"/>
              <w:rPr/>
            </w:pPr>
            <w:r>
              <w:rPr/>
              <w:t>  </w:t>
            </w:r>
          </w:p>
        </w:tc>
      </w:tr>
      <w:tr>
        <w:trPr/>
        <w:tc>
          <w:tcPr>
            <w:tcW w:w="4820" w:type="dxa"/>
            <w:tcBorders/>
            <w:shd w:fill="auto" w:val="clear"/>
          </w:tcPr>
          <w:p>
            <w:pPr>
              <w:pStyle w:val="TableContents"/>
              <w:spacing w:before="0" w:after="283"/>
              <w:rPr/>
            </w:pPr>
            <w:r>
              <w:rPr/>
              <w:t xml:space="preserve">  </w:t>
            </w:r>
          </w:p>
        </w:tc>
        <w:tc>
          <w:tcPr>
            <w:tcW w:w="2976" w:type="dxa"/>
            <w:gridSpan w:val="2"/>
            <w:tcBorders/>
            <w:shd w:fill="auto" w:val="clear"/>
          </w:tcPr>
          <w:p>
            <w:pPr>
              <w:pStyle w:val="TableContents"/>
              <w:spacing w:before="0" w:after="283"/>
              <w:rPr/>
            </w:pPr>
            <w:r>
              <w:rPr/>
              <w:t xml:space="preserve">  </w:t>
            </w:r>
          </w:p>
        </w:tc>
        <w:tc>
          <w:tcPr>
            <w:tcW w:w="2409" w:type="dxa"/>
            <w:gridSpan w:val="4"/>
            <w:tcBorders/>
            <w:shd w:fill="auto" w:val="clear"/>
          </w:tcPr>
          <w:p>
            <w:pPr>
              <w:pStyle w:val="TableContents"/>
              <w:spacing w:before="0" w:after="283"/>
              <w:rPr/>
            </w:pPr>
            <w:r>
              <w:rPr/>
              <w:t xml:space="preserve">  </w:t>
            </w:r>
          </w:p>
        </w:tc>
      </w:tr>
      <w:tr>
        <w:trPr/>
        <w:tc>
          <w:tcPr>
            <w:tcW w:w="48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Proposal 7 – Amendment to Certificate of Incorporation to eliminate stockholder right to act by written consent</w:t>
            </w:r>
          </w:p>
        </w:tc>
        <w:tc>
          <w:tcPr>
            <w:tcW w:w="141" w:type="dxa"/>
            <w:tcBorders/>
            <w:shd w:fill="auto" w:val="clear"/>
          </w:tcPr>
          <w:p>
            <w:pPr>
              <w:pStyle w:val="TableContents"/>
              <w:spacing w:before="0" w:after="0"/>
              <w:ind w:left="0" w:right="0" w:hanging="0"/>
              <w:jc w:val="left"/>
              <w:rPr/>
            </w:pPr>
            <w:r>
              <w:rPr/>
              <w:t>  </w:t>
            </w:r>
          </w:p>
        </w:tc>
        <w:tc>
          <w:tcPr>
            <w:tcW w:w="28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Majority of Shares</w:t>
            </w:r>
          </w:p>
          <w:p>
            <w:pPr>
              <w:pStyle w:val="TableContents"/>
              <w:spacing w:before="0" w:after="0"/>
              <w:ind w:left="0" w:right="0" w:hanging="0"/>
              <w:jc w:val="left"/>
              <w:rPr>
                <w:rFonts w:ascii="times new roman" w:hAnsi="times new roman"/>
                <w:sz w:val="20"/>
              </w:rPr>
            </w:pPr>
            <w:r>
              <w:rPr>
                <w:rFonts w:ascii="times new roman" w:hAnsi="times new roman"/>
                <w:sz w:val="20"/>
              </w:rPr>
              <w:t>Outstanding</w:t>
            </w:r>
          </w:p>
        </w:tc>
        <w:tc>
          <w:tcPr>
            <w:tcW w:w="141" w:type="dxa"/>
            <w:tcBorders/>
            <w:shd w:fill="auto" w:val="clear"/>
          </w:tcPr>
          <w:p>
            <w:pPr>
              <w:pStyle w:val="TableContents"/>
              <w:spacing w:before="0" w:after="0"/>
              <w:ind w:left="0" w:right="0" w:hanging="0"/>
              <w:jc w:val="left"/>
              <w:rPr/>
            </w:pPr>
            <w:r>
              <w:rPr/>
              <w:t>  </w:t>
            </w:r>
          </w:p>
        </w:tc>
        <w:tc>
          <w:tcPr>
            <w:tcW w:w="284" w:type="dxa"/>
            <w:tcBorders/>
            <w:shd w:fill="auto" w:val="clear"/>
          </w:tcPr>
          <w:p>
            <w:pPr>
              <w:pStyle w:val="TableContents"/>
              <w:spacing w:before="0" w:after="283"/>
              <w:jc w:val="left"/>
              <w:rPr/>
            </w:pPr>
            <w:r>
              <w:rPr/>
              <w:t xml:space="preserve">  </w:t>
            </w:r>
          </w:p>
        </w:tc>
        <w:tc>
          <w:tcPr>
            <w:tcW w:w="18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42" w:type="dxa"/>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firstLine="900"/>
        <w:jc w:val="left"/>
        <w:rPr>
          <w:rFonts w:ascii="Times New Roman" w:hAnsi="Times New Roman"/>
          <w:sz w:val="20"/>
        </w:rPr>
      </w:pPr>
      <w:r>
        <w:rPr>
          <w:rFonts w:ascii="Times New Roman" w:hAnsi="Times New Roman"/>
          <w:sz w:val="20"/>
        </w:rPr>
        <w:t>With respect to Proposals 2, 3, 5, 6 and 7, you may vote FOR, AGAINST or ABSTAIN. If you ABSTAIN from voting on any of these Proposals, the abstention will have the same effect as an AGAINST vote.   You may also ABSTAIN with respect to Proposal 4; however, your abstention will have no effect on the vote with respect to that proposal.   Broker non-votes with respect to Proposals 3 and 5 will have the same effect as an AGAINST vote but will have no effect on the outcome of Proposals 1 and 4.  Broker non-votes are not expected to result from Proposal 2.</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 w:name="PGBRK3"/>
      <w:bookmarkStart w:id="68" w:name="PGBRK3"/>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FTR3"/>
      <w:bookmarkStart w:id="70" w:name="FTR3"/>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 w:name="GLFTR3"/>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 w:name="PN3"/>
      <w:bookmarkEnd w:id="72"/>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3"/>
      <w:bookmarkStart w:id="74" w:name="HDR3"/>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 w:name="GLHDR3"/>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How to Vote</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You may vote by attending the Annual Meeting and voting in person or you may vote by submitting a proxy.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Revocation of Proxies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You are a stockholder of record if, at the close of business on the record date, your shares were registered directly in your name with Action Stock Transfer Corp., our transfer agent. If you are a stockholder of record and give a proxy, you may revoke it at any time before its use, either:</w:t>
      </w:r>
    </w:p>
    <w:p>
      <w:pPr>
        <w:pStyle w:val="TextBody"/>
        <w:spacing w:before="0" w:after="0"/>
        <w:ind w:left="1080" w:right="0" w:hanging="0"/>
        <w:jc w:val="both"/>
        <w:rPr/>
      </w:pPr>
      <w:r>
        <w:rPr/>
        <w:t> </w:t>
      </w:r>
    </w:p>
    <w:p>
      <w:pPr>
        <w:pStyle w:val="TextBody"/>
        <w:spacing w:before="0" w:after="0"/>
        <w:ind w:left="1080" w:right="0" w:hanging="0"/>
        <w:jc w:val="both"/>
        <w:rPr>
          <w:rFonts w:ascii="Times New Roman" w:hAnsi="Times New Roman"/>
          <w:sz w:val="20"/>
        </w:rPr>
      </w:pPr>
      <w:r>
        <w:rPr>
          <w:rFonts w:ascii="Times New Roman" w:hAnsi="Times New Roman"/>
          <w:sz w:val="20"/>
        </w:rPr>
        <w:t>(1) by revoking it in person at the Annual Meeting;</w:t>
      </w:r>
    </w:p>
    <w:p>
      <w:pPr>
        <w:pStyle w:val="TextBody"/>
        <w:spacing w:before="0" w:after="0"/>
        <w:ind w:left="1080" w:right="0" w:hanging="0"/>
        <w:jc w:val="both"/>
        <w:rPr/>
      </w:pPr>
      <w:r>
        <w:rPr/>
        <w:t> </w:t>
      </w:r>
    </w:p>
    <w:p>
      <w:pPr>
        <w:pStyle w:val="TextBody"/>
        <w:spacing w:before="0" w:after="0"/>
        <w:ind w:left="1080" w:right="0" w:hanging="0"/>
        <w:jc w:val="both"/>
        <w:rPr>
          <w:rFonts w:ascii="Times New Roman" w:hAnsi="Times New Roman"/>
          <w:sz w:val="20"/>
        </w:rPr>
      </w:pPr>
      <w:r>
        <w:rPr>
          <w:rFonts w:ascii="Times New Roman" w:hAnsi="Times New Roman"/>
          <w:sz w:val="20"/>
        </w:rPr>
        <w:t>(2) by writing, delivered to our Corporate Secretary at 12626 High Bluff Drive, Suite 150, San Diego, CA 92130 before the proxy is used; or</w:t>
      </w:r>
    </w:p>
    <w:p>
      <w:pPr>
        <w:pStyle w:val="TextBody"/>
        <w:spacing w:before="0" w:after="0"/>
        <w:ind w:left="1080" w:right="0" w:hanging="0"/>
        <w:jc w:val="both"/>
        <w:rPr/>
      </w:pPr>
      <w:r>
        <w:rPr/>
        <w:t> </w:t>
      </w:r>
    </w:p>
    <w:p>
      <w:pPr>
        <w:pStyle w:val="TextBody"/>
        <w:spacing w:before="0" w:after="0"/>
        <w:ind w:left="1080" w:right="0" w:hanging="0"/>
        <w:jc w:val="both"/>
        <w:rPr>
          <w:rFonts w:ascii="Times New Roman" w:hAnsi="Times New Roman"/>
          <w:sz w:val="20"/>
        </w:rPr>
      </w:pPr>
      <w:r>
        <w:rPr>
          <w:rFonts w:ascii="Times New Roman" w:hAnsi="Times New Roman"/>
          <w:sz w:val="20"/>
        </w:rPr>
        <w:t>(3) by a later dated proxy card delivered to us at the address noted above before the proxy is used.</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Your presence at the meeting will not revoke your proxy, but if you attend the meeting and cast a ballot, your proxy will be revoked as to the matters on which the ballot is cast.</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If you hold your shares through a broker, bank, trustee or other nominee, please follow the instructions provided by your broker or other nominee as to how you may change your vote or obtain a legal proxy to vote your shares if you wish to cast your vote in person at the Annual Meeting.</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Cost and Method of Solicitation</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Stockholder List</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A complete list of registered stockholders entitled to vote at the meeting will be available for examination by any stockholder, for any purpose related to the meeting, for ten days prior to the meeting during ordinary business hours at our principal offices located at 12626 High Bluff Drive, Suite 150, San Diego, CA 92130.</w:t>
      </w:r>
    </w:p>
    <w:p>
      <w:pPr>
        <w:pStyle w:val="TextBody"/>
        <w:spacing w:before="0" w:after="0"/>
        <w:ind w:left="0" w:right="0" w:firstLine="540"/>
        <w:jc w:val="both"/>
        <w:rPr/>
      </w:pPr>
      <w:r>
        <w:rPr/>
        <w:t> </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 w:name="PGBRK4"/>
      <w:bookmarkStart w:id="77" w:name="PGBRK4"/>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FTR4"/>
      <w:bookmarkStart w:id="79" w:name="FTR4"/>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 w:name="GLFTR4"/>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 w:name="PN4"/>
      <w:bookmarkEnd w:id="81"/>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HDR4"/>
      <w:bookmarkStart w:id="83" w:name="HDR4"/>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 w:name="GLHDR4"/>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PROPOSAL NO. 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ELECTION OF DIRECTORS</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members of the Board of Directors are elected annually for a one-year term. Our Certificate of Incorporation provides that the total number of directors constituting the entire Board shall be not less than one nor more than ten, with the number of directors being fixed from time to time by the Board. Currently, the Board is comprised of six directors, each of which is a current nominee.  The stockholders will elect six directors at the Annual Meeting, each to serve for a one-year term expiring at the Annual Meeting of Stockholders in 2014 or until his successor has been elected and qualified, or until his earlier  death, resignation or retirement. </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There are no familial relationships between any of our directors or our executive officers and any other director or executive officer. No arrangement or understanding exists between any nominee and any other person or persons pursuant to whom any nominee was or is to be selected as a director or director nominee of the Company.</w:t>
      </w:r>
    </w:p>
    <w:p>
      <w:pPr>
        <w:pStyle w:val="TextBody"/>
        <w:spacing w:before="0" w:after="0"/>
        <w:ind w:left="0" w:right="0" w:hanging="0"/>
        <w:jc w:val="both"/>
        <w:rPr/>
      </w:pPr>
      <w:r>
        <w:rPr/>
        <w:t> </w:t>
      </w:r>
    </w:p>
    <w:p>
      <w:pPr>
        <w:pStyle w:val="TextBody"/>
        <w:spacing w:before="0" w:after="0"/>
        <w:ind w:left="0" w:right="0" w:hanging="0"/>
        <w:jc w:val="left"/>
        <w:rPr/>
      </w:pPr>
      <w:r>
        <w:rPr/>
        <w:t> </w:t>
      </w:r>
      <w:r>
        <w:rPr>
          <w:rFonts w:ascii="Times New Roman" w:hAnsi="Times New Roman"/>
          <w:b/>
          <w:sz w:val="20"/>
        </w:rPr>
        <w:t>Information Regarding Directors</w:t>
      </w:r>
    </w:p>
    <w:p>
      <w:pPr>
        <w:pStyle w:val="TextBody"/>
        <w:spacing w:before="0" w:after="0"/>
        <w:ind w:left="0" w:right="0" w:hanging="0"/>
        <w:jc w:val="both"/>
        <w:rPr/>
      </w:pPr>
      <w:r>
        <w:rPr/>
        <w:t> </w:t>
      </w:r>
    </w:p>
    <w:p>
      <w:pPr>
        <w:pStyle w:val="TextBody"/>
        <w:spacing w:before="0" w:after="0"/>
        <w:ind w:left="0" w:right="0" w:firstLine="540"/>
        <w:jc w:val="both"/>
        <w:rPr/>
      </w:pPr>
      <w:r>
        <w:rPr/>
        <w:t> </w:t>
      </w:r>
      <w:r>
        <w:rPr>
          <w:rFonts w:ascii="Times New Roman" w:hAnsi="Times New Roman"/>
          <w:sz w:val="20"/>
        </w:rPr>
        <w:t>The following table provides the name, age and position(s) of each of our directors as of July 3, 2013:</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551"/>
        <w:gridCol w:w="101"/>
        <w:gridCol w:w="102"/>
        <w:gridCol w:w="918"/>
        <w:gridCol w:w="101"/>
        <w:gridCol w:w="6432"/>
      </w:tblGrid>
      <w:tr>
        <w:trPr/>
        <w:tc>
          <w:tcPr>
            <w:tcW w:w="255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Name</w:t>
            </w:r>
          </w:p>
        </w:tc>
        <w:tc>
          <w:tcPr>
            <w:tcW w:w="101" w:type="dxa"/>
            <w:tcBorders/>
            <w:shd w:fill="auto" w:val="clear"/>
            <w:tcMar>
              <w:bottom w:w="0" w:type="dxa"/>
            </w:tcMar>
            <w:vAlign w:val="bottom"/>
          </w:tcPr>
          <w:p>
            <w:pPr>
              <w:pStyle w:val="TableContents"/>
              <w:spacing w:before="0" w:after="283"/>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Age</w:t>
            </w:r>
          </w:p>
        </w:tc>
        <w:tc>
          <w:tcPr>
            <w:tcW w:w="101" w:type="dxa"/>
            <w:tcBorders/>
            <w:shd w:fill="auto" w:val="clear"/>
            <w:tcMar>
              <w:bottom w:w="0" w:type="dxa"/>
            </w:tcMar>
            <w:vAlign w:val="bottom"/>
          </w:tcPr>
          <w:p>
            <w:pPr>
              <w:pStyle w:val="TableContents"/>
              <w:spacing w:before="0" w:after="283"/>
              <w:jc w:val="left"/>
              <w:rPr/>
            </w:pPr>
            <w:r>
              <w:rPr/>
              <w:t> </w:t>
            </w:r>
          </w:p>
        </w:tc>
        <w:tc>
          <w:tcPr>
            <w:tcW w:w="643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Committees</w:t>
            </w:r>
          </w:p>
        </w:tc>
      </w:tr>
      <w:tr>
        <w:trPr/>
        <w:tc>
          <w:tcPr>
            <w:tcW w:w="255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J.D.</w:t>
            </w:r>
          </w:p>
        </w:tc>
        <w:tc>
          <w:tcPr>
            <w:tcW w:w="101"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01" w:type="dxa"/>
            <w:tcBorders/>
            <w:shd w:fill="CCEEFF" w:val="clear"/>
            <w:tcMar>
              <w:bottom w:w="0" w:type="dxa"/>
            </w:tcMar>
            <w:vAlign w:val="bottom"/>
          </w:tcPr>
          <w:p>
            <w:pPr>
              <w:pStyle w:val="TableContents"/>
              <w:spacing w:before="0" w:after="283"/>
              <w:jc w:val="left"/>
              <w:rPr/>
            </w:pPr>
            <w:r>
              <w:rPr/>
              <w:t> </w:t>
            </w:r>
          </w:p>
        </w:tc>
        <w:tc>
          <w:tcPr>
            <w:tcW w:w="643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None.</w:t>
            </w:r>
          </w:p>
        </w:tc>
      </w:tr>
      <w:tr>
        <w:trPr/>
        <w:tc>
          <w:tcPr>
            <w:tcW w:w="255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w:t>
            </w:r>
          </w:p>
        </w:tc>
        <w:tc>
          <w:tcPr>
            <w:tcW w:w="101"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01" w:type="dxa"/>
            <w:tcBorders/>
            <w:shd w:fill="FFFFFF" w:val="clear"/>
            <w:tcMar>
              <w:bottom w:w="0" w:type="dxa"/>
            </w:tcMar>
            <w:vAlign w:val="bottom"/>
          </w:tcPr>
          <w:p>
            <w:pPr>
              <w:pStyle w:val="TableContents"/>
              <w:spacing w:before="0" w:after="283"/>
              <w:jc w:val="left"/>
              <w:rPr/>
            </w:pPr>
            <w:r>
              <w:rPr/>
              <w:t> </w:t>
            </w:r>
          </w:p>
        </w:tc>
        <w:tc>
          <w:tcPr>
            <w:tcW w:w="643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None.</w:t>
            </w:r>
          </w:p>
        </w:tc>
      </w:tr>
      <w:tr>
        <w:trPr/>
        <w:tc>
          <w:tcPr>
            <w:tcW w:w="255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Austin, C.P.A, M.B.A</w:t>
            </w:r>
          </w:p>
        </w:tc>
        <w:tc>
          <w:tcPr>
            <w:tcW w:w="101"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01" w:type="dxa"/>
            <w:tcBorders/>
            <w:shd w:fill="CCEEFF" w:val="clear"/>
            <w:tcMar>
              <w:bottom w:w="0" w:type="dxa"/>
            </w:tcMar>
            <w:vAlign w:val="bottom"/>
          </w:tcPr>
          <w:p>
            <w:pPr>
              <w:pStyle w:val="TableContents"/>
              <w:spacing w:before="0" w:after="283"/>
              <w:jc w:val="left"/>
              <w:rPr/>
            </w:pPr>
            <w:r>
              <w:rPr/>
              <w:t> </w:t>
            </w:r>
          </w:p>
        </w:tc>
        <w:tc>
          <w:tcPr>
            <w:tcW w:w="643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Committee*, Compensation Committee, Nomination and Corporate Governance Committee</w:t>
            </w:r>
          </w:p>
        </w:tc>
      </w:tr>
      <w:tr>
        <w:trPr/>
        <w:tc>
          <w:tcPr>
            <w:tcW w:w="255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Bassani, Pharm.D.</w:t>
            </w:r>
          </w:p>
        </w:tc>
        <w:tc>
          <w:tcPr>
            <w:tcW w:w="101"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01" w:type="dxa"/>
            <w:tcBorders/>
            <w:shd w:fill="FFFFFF" w:val="clear"/>
            <w:tcMar>
              <w:bottom w:w="0" w:type="dxa"/>
            </w:tcMar>
            <w:vAlign w:val="bottom"/>
          </w:tcPr>
          <w:p>
            <w:pPr>
              <w:pStyle w:val="TableContents"/>
              <w:spacing w:before="0" w:after="283"/>
              <w:jc w:val="left"/>
              <w:rPr/>
            </w:pPr>
            <w:r>
              <w:rPr/>
              <w:t> </w:t>
            </w:r>
          </w:p>
        </w:tc>
        <w:tc>
          <w:tcPr>
            <w:tcW w:w="643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Nomination and Corporate Governance Committee*</w:t>
            </w:r>
          </w:p>
        </w:tc>
      </w:tr>
      <w:tr>
        <w:trPr/>
        <w:tc>
          <w:tcPr>
            <w:tcW w:w="255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 M.B.A</w:t>
            </w:r>
          </w:p>
        </w:tc>
        <w:tc>
          <w:tcPr>
            <w:tcW w:w="101"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01" w:type="dxa"/>
            <w:tcBorders/>
            <w:shd w:fill="CCEEFF" w:val="clear"/>
            <w:tcMar>
              <w:bottom w:w="0" w:type="dxa"/>
            </w:tcMar>
            <w:vAlign w:val="bottom"/>
          </w:tcPr>
          <w:p>
            <w:pPr>
              <w:pStyle w:val="TableContents"/>
              <w:spacing w:before="0" w:after="283"/>
              <w:jc w:val="left"/>
              <w:rPr/>
            </w:pPr>
            <w:r>
              <w:rPr/>
              <w:t> </w:t>
            </w:r>
          </w:p>
        </w:tc>
        <w:tc>
          <w:tcPr>
            <w:tcW w:w="643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Committee, Compensation Committee*</w:t>
            </w:r>
          </w:p>
        </w:tc>
      </w:tr>
      <w:tr>
        <w:trPr/>
        <w:tc>
          <w:tcPr>
            <w:tcW w:w="255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w:t>
            </w:r>
          </w:p>
        </w:tc>
        <w:tc>
          <w:tcPr>
            <w:tcW w:w="101"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01" w:type="dxa"/>
            <w:tcBorders/>
            <w:shd w:fill="FFFFFF" w:val="clear"/>
            <w:tcMar>
              <w:bottom w:w="0" w:type="dxa"/>
            </w:tcMar>
            <w:vAlign w:val="bottom"/>
          </w:tcPr>
          <w:p>
            <w:pPr>
              <w:pStyle w:val="TableContents"/>
              <w:spacing w:before="0" w:after="283"/>
              <w:jc w:val="left"/>
              <w:rPr/>
            </w:pPr>
            <w:r>
              <w:rPr/>
              <w:t> </w:t>
            </w:r>
          </w:p>
        </w:tc>
        <w:tc>
          <w:tcPr>
            <w:tcW w:w="643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Committee, Compensation Committee, Nomination and Corporate Governance Committee</w:t>
            </w:r>
          </w:p>
        </w:tc>
      </w:tr>
      <w:tr>
        <w:trPr/>
        <w:tc>
          <w:tcPr>
            <w:tcW w:w="255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7654" w:type="dxa"/>
            <w:gridSpan w:val="5"/>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Chairman of the committee.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Mark L. Baum, J.D</w:t>
      </w:r>
      <w:r>
        <w:rPr>
          <w:rFonts w:ascii="Times New Roman" w:hAnsi="Times New Roman"/>
          <w:sz w:val="20"/>
        </w:rPr>
        <w:t>., our co-founder, has served as a director and as our principal executive officer since December 2011, and was appointed our Chief Executive Officer on April 1, 2012.  He served as Chairman of our Board of Directors from December 16, 2011 through April 1, 2012 and was a leader in our restructuring efforts in late 2011 and early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 to his fund management and legal experience, Mr. Baum has operational experience in the following industries: life science and diagnostics, closed door pharmacies, cleaner and renewable energy and retail home furnishings. He has served on numerous boards of directors, including Chembio Diagnostic Systems, Inc. (CEMI), Applied Natural Gas Fuels, Inc. (formerly AGAS), Shrink Nanotechnologies, Inc. (INKN), You on Demand, Inc. (YOD) and CoConnect, Inc. (CCON), as well as boards of advisors for domestic and international private and public companies. Mr. Baum founded and capitalized the Mark L. Baum Scholarship which has funded tuition grants to college students in Texas. Mr. Baum is a published inventor and an inactive member of the state bars of California and Texas.  Mr. Baum was a Managing Member of DermaStar International, LLC, our former majority stockholder.  Mr. Baum currently serves on the Board of Directors and as chair of the Audit Committee of Ideal Power Converters, Inc., a private company located in Austin, TX.  Mr. Baum brings to our Board years of public company executive experience, including knowledge of securities laws, reporting requirements and public company finance-related issues.  In addition, as our Chief Executive Officer, he provides the Board with insight into the Company’s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Robert Kammer, D.D.S., </w:t>
      </w:r>
      <w:r>
        <w:rPr>
          <w:rFonts w:ascii="Times New Roman" w:hAnsi="Times New Roman"/>
          <w:sz w:val="20"/>
        </w:rPr>
        <w:t xml:space="preserve">has served as a director since December 2011 and as Chairman of the Board of Directors since April 1, 2012.  Dr. Kammer 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Times New Roman" w:hAnsi="Times New Roman"/>
          <w:sz w:val="20"/>
          <w:u w:val="single"/>
        </w:rPr>
        <w:t>Osteoperiosteal Flap</w:t>
      </w:r>
      <w:r>
        <w:rPr>
          <w:rFonts w:ascii="Times New Roman" w:hAnsi="Times New Roman"/>
          <w:i/>
          <w:sz w:val="20"/>
          <w:u w:val="single"/>
        </w:rPr>
        <w:t>,</w:t>
      </w:r>
      <w:r>
        <w:rPr>
          <w:rFonts w:ascii="Times New Roman" w:hAnsi="Times New Roman"/>
          <w:sz w:val="20"/>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Stephen G. Austin, CPA,</w:t>
      </w:r>
      <w:r>
        <w:rPr>
          <w:rFonts w:ascii="Times New Roman" w:hAnsi="Times New Roman"/>
          <w:sz w:val="20"/>
        </w:rPr>
        <w:t xml:space="preserve"> </w:t>
      </w:r>
      <w:r>
        <w:rPr>
          <w:rFonts w:ascii="Times New Roman" w:hAnsi="Times New Roman"/>
          <w:b/>
          <w:sz w:val="20"/>
        </w:rPr>
        <w:t>MBA</w:t>
      </w:r>
      <w:r>
        <w:rPr>
          <w:rFonts w:ascii="Times New Roman" w:hAnsi="Times New Roman"/>
          <w:sz w:val="20"/>
        </w:rPr>
        <w:t xml:space="preserve"> has served as a director since July 2012 and currently serves as the chair of our Audit Committee and as a member of our 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served as a director on the board of Avanir Pharmaceuticals, Inc. (NASDAQ: AVNR). In 2004, Mr. Austin published a book on business ethics entitled “Rise of the New Ethics Class,” and in 2005 and 2006 he published articles in Asia discussing The Sarbanes-Oxley Act of 2002. Mr. Austin has also authored articles for the AICPA including the Journal of Accountancy. Mr. Austin holds a B.S. degree in accounting from Bob Jones University and an M.B.A. degree from the University of Georgia. Mr. Austin brings to our Board financial and accounting expertise and extensive experience serving as a director of other companies.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 w:name="PGBRK5"/>
      <w:bookmarkStart w:id="86" w:name="PGBRK5"/>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FTR5"/>
      <w:bookmarkStart w:id="88" w:name="FTR5"/>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 w:name="GLFTR5"/>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 w:name="PN5"/>
      <w:bookmarkEnd w:id="90"/>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HDR5"/>
      <w:bookmarkStart w:id="92" w:name="HDR5"/>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 w:name="GLHDR5"/>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b/>
          <w:sz w:val="20"/>
        </w:rPr>
        <w:t>August (“Gus”) S. Bassani, Pharm.D.,</w:t>
      </w:r>
      <w:r>
        <w:rPr>
          <w:rFonts w:ascii="Times New Roman" w:hAnsi="Times New Roman"/>
          <w:sz w:val="20"/>
        </w:rPr>
        <w:t xml:space="preserve"> has served as a director since December 2012 and as chair of our Nomination and Corporate Governance Committee since July 2013.  He currently serves as Vice-President of Consulting, R&amp;D and Formulations at PCCA and has been with PCCA since September 2002. A significant component of Mr. Bassani’s position at PCCA is to serve as a member of the PCCA Senior Management Team, which is responsible for driving corporate strategy and business development efforts.  Prior to joining PCCA, Mr. Bassani was a formulation pharmacist in the Product Development Lab of a veterinary pharmaceutical company. He has worked in multiple pharmacy practice settings, located in Alaska, Iowa and Kansas, and has taught extemporaneous compounding principles to pharmacy students in Drake University’s Pharmaceutics Laboratory course.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(APhA), International Academy of Compounding Pharmacists (IACP), National Community Pharmacists Association (NCPA) and the American Association of Pharmaceutical Scientists (AAPS).  Mr. Bassani's widespread experience in the pharmaceutical industry and his formulation expertise provides valued guidance to our management and board.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Paul Finnegan, M.D., M.B.A.</w:t>
      </w:r>
      <w:r>
        <w:rPr>
          <w:rFonts w:ascii="Times New Roman" w:hAnsi="Times New Roman"/>
          <w:sz w:val="20"/>
        </w:rPr>
        <w:t> has served as a director since February 15, 2012 and currently serves as the chair of our Compensation Committee and as a member of our Audit Committee.   Dr. Finnegan served as chairman of our Nomination and Corporate Governance Committee from its formation through July 1, 2013.  Dr. Finnegan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Jeffrey J. Abrams, M.D., MPH,</w:t>
      </w:r>
      <w:r>
        <w:rPr>
          <w:rFonts w:ascii="Times New Roman" w:hAnsi="Times New Roman"/>
          <w:sz w:val="20"/>
        </w:rPr>
        <w:t xml:space="preserve"> has served as a director since September 2007 and served as Chairman of the Board from February 2010 until December 2011.  Currently, Dr. Abrams serves as a member of our Audit Committee, Compensation Committee, and Nomination and Corporate Governance Committee.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of experience as a practicing primary care clinician.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Vote Required</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Each director is elected by a plurality of the votes cast with regard to the election of directors. The persons named in the enclosed proxy will vote the proxies they receive FOR the election of the nominees named below, unless a particular proxy card withholds authorization to do so, or provides contrary instructions. Because directors are elected by a plurality of the votes cast, abstentions and broker non-votes will not be counted in determining which nominees receive the largest number of votes cast. Each of the nominees has indicated that he is willing and able to serve as a director. If, before the Annual Meeting, any nominee becomes unable to serve, the proxies will be voted for the election of whomever the Board may designate.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THE BOARD OF DIRECTORS RECOMMENDS THAT STOCKHOLDERS VOTE </w:t>
      </w:r>
      <w:r>
        <w:rPr>
          <w:rFonts w:ascii="Times New Roman" w:hAnsi="Times New Roman"/>
          <w:b/>
          <w:sz w:val="20"/>
          <w:u w:val="single"/>
        </w:rPr>
        <w:t>FOR</w:t>
      </w:r>
    </w:p>
    <w:p>
      <w:pPr>
        <w:pStyle w:val="TextBody"/>
        <w:spacing w:before="0" w:after="0"/>
        <w:ind w:left="0" w:right="0" w:hanging="0"/>
        <w:jc w:val="center"/>
        <w:rPr>
          <w:rFonts w:ascii="Times New Roman" w:hAnsi="Times New Roman"/>
          <w:b/>
          <w:sz w:val="20"/>
        </w:rPr>
      </w:pPr>
      <w:r>
        <w:rPr>
          <w:rFonts w:ascii="Times New Roman" w:hAnsi="Times New Roman"/>
          <w:b/>
          <w:sz w:val="20"/>
        </w:rPr>
        <w:t>THE ELECTION OF EACH OF THE NOMINEES FOR DIRECTOR.</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 w:name="PGBRK6"/>
      <w:bookmarkStart w:id="95" w:name="PGBRK6"/>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 w:name="FTR6"/>
      <w:bookmarkStart w:id="97" w:name="FTR6"/>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 w:name="GLFTR6"/>
      <w:bookmarkEnd w:id="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 w:name="PN6"/>
      <w:bookmarkEnd w:id="99"/>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HDR6"/>
      <w:bookmarkStart w:id="101" w:name="HDR6"/>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 w:name="GLHDR6"/>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CORPORATE GOVERNANCE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Corporate Governance Guidelines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http://imprimis.investorroom.com/index.php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Director Independence</w:t>
      </w:r>
    </w:p>
    <w:p>
      <w:pPr>
        <w:pStyle w:val="TextBody"/>
        <w:spacing w:before="0" w:after="0"/>
        <w:ind w:left="0" w:right="0" w:firstLine="540"/>
        <w:jc w:val="both"/>
        <w:rPr/>
      </w:pPr>
      <w:r>
        <w:rPr/>
        <w:t> </w:t>
      </w:r>
    </w:p>
    <w:p>
      <w:pPr>
        <w:pStyle w:val="TextBody"/>
        <w:spacing w:before="0" w:after="0"/>
        <w:ind w:left="259" w:right="0" w:firstLine="540"/>
        <w:jc w:val="both"/>
        <w:rPr>
          <w:rFonts w:ascii="Times New Roman" w:hAnsi="Times New Roman"/>
          <w:sz w:val="20"/>
        </w:rPr>
      </w:pPr>
      <w:bookmarkStart w:id="103" w:name="TAB1"/>
      <w:bookmarkEnd w:id="103"/>
      <w:r>
        <w:rPr>
          <w:rFonts w:ascii="Times New Roman" w:hAnsi="Times New Roman"/>
          <w:sz w:val="20"/>
        </w:rPr>
        <w:t>Our Board of Directors has determined that four (4) of our directors, a majority of the Board, are “independent” directors as that term is defined by Nasdaq Marketplace Rule 5605(a)(2). In addition, based upon such standards, the Board has determined Mr. Baum would not be considered independent because he currently serves as our Chief Executive Officer, and Dr. Kammer is not independent because of certain ongoing advisory relationships.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04" w:name="TAB11"/>
      <w:bookmarkEnd w:id="104"/>
      <w:r>
        <w:rPr>
          <w:rFonts w:ascii="Times New Roman" w:hAnsi="Times New Roman"/>
          <w:sz w:val="20"/>
        </w:rPr>
        <w:t>Dr. Balbir Brar, our former President, served as a director on our Board from February 15, 2012 through July 25, 2012.  He continued in his capacity as our President until May 7, 2013, at which time he resigned as President and will continue to serve as a Senior Advisor to the Company, focusing on pre-clinical safety matters.  Dr. Brar was not considered an independent director during his tenure on the Board because of his position as our President.</w:t>
      </w:r>
    </w:p>
    <w:p>
      <w:pPr>
        <w:pStyle w:val="TextBody"/>
        <w:spacing w:before="0" w:after="0"/>
        <w:ind w:left="0" w:right="0" w:hanging="0"/>
        <w:rPr/>
      </w:pPr>
      <w:r>
        <w:rPr/>
      </w:r>
    </w:p>
    <w:p>
      <w:pPr>
        <w:pStyle w:val="TextBody"/>
        <w:spacing w:before="0" w:after="0"/>
        <w:ind w:left="0" w:right="0" w:hanging="0"/>
        <w:jc w:val="left"/>
        <w:rPr/>
      </w:pPr>
      <w:r>
        <w:rPr/>
        <w:t> </w:t>
      </w:r>
      <w:r>
        <w:rPr>
          <w:rFonts w:ascii="Times New Roman" w:hAnsi="Times New Roman"/>
          <w:b/>
          <w:sz w:val="20"/>
        </w:rPr>
        <w:t>Nominations for Directors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Corporate Governance Committee (“Corporate Governance Committee”) evaluates and recommends to the Board of Directors director nominees for each election of directors. In considering potential new directors, the Corporate Governance Committee may review individuals from various disciplines and backgrounds.  Among the qualifications to be considered in the selection of candidates are broad experience in business, finance or administration; familiarity with the Company’s industry; and prominence and reputation.  Since prominence and reputation in a particular profession or field of endeavor are what brings most persons to the Board’s attention, there is the further consideration of whether the individual has the time available to devote to the work of the Board and one or more of its committees. The Corporate Governance Committee also reviews the activities and associations of each candidate to ensure that there is no legal impediment, conflict of interest, or other consideration that might hinder or prevent service on the Board.  Other than the foregoing factors, there are no stated minimum criteria for director nominees. However, the Corporate Governance Committee may also consider such other factors as it may deem are in the best interests of the Company and its stockholders. The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Corporate Governance Committee seeks to nominate a board of directors that brings to the Company a variety of perspectives, skills, expertise, and sound business understanding and judgment, derived from business, professional, governmental, finance, community and industry experience.</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Corporate Governance Committee identifies nominees by first evaluating the current members of the Board of Directors willing to continue in service. Current members of the Board of Directors with skills and experience that are relevant to the Company’s business and who are willing to continue in service are considered for re-nomination, balancing the value of continuity of service by existing members of the Board of Directors with that of obtaining a new perspective. If any member of the Board of Directors up for re-election at an upcoming annual meeting of stockholders does not wish to continue in service, the Corporate Governance Committee identifies the desired skills and experience of a new nominee in light of the criteria above. If the Corporate Governance Committee believes that the Board of Directors requires additional candidates for nomination, the committee may explore alternative sources for identifying additional candidates. This may include engaging, as appropriate, a third party search firm to assist in identifying qualified candidates.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Corporate Governance Committee reviews all nominees, including those recommended by stockholders, for nomination by the Board in accordance with the above requirements and qualifications to determine whether they possess attributes the Corporate Governance Committee believes would be most beneficial to the Company. The Corporate Governance Committee will select qualified candidates and make its recommendations to the Board, which will formally decide whether to nominate the recommended candidates for election to the Board. Stockholders may recommend nominees for consideration by the Corporate Governance Committee by submitting the names and the following supporting information to the Company’s Secretary: Corporate Secretary, Stockholder Nominations, Imprimis Pharmaceuticals, Inc., 12626 High Bluff Drive, Suite 150, San Diego, CA 92130. The submissions should include a current resume of the candidate and statement describing the candidate’s qualifications and contact information for personal and professional references. The submission should also include the name and address of the stockholder who is submitting the nominee, the number of shares which are owned of record or beneficially by the submitting stockholder and a description of all arrangements or understandings between the submitting stockholder and the candidate.</w:t>
      </w:r>
    </w:p>
    <w:p>
      <w:pPr>
        <w:pStyle w:val="TextBody"/>
        <w:spacing w:before="0" w:after="0"/>
        <w:ind w:left="0" w:right="0" w:firstLine="540"/>
        <w:jc w:val="both"/>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 w:name="PGBRK7"/>
      <w:bookmarkStart w:id="106" w:name="PGBRK7"/>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FTR7"/>
      <w:bookmarkStart w:id="108" w:name="FTR7"/>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 w:name="GLFTR7"/>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 w:name="PN7"/>
      <w:bookmarkEnd w:id="11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HDR7"/>
      <w:bookmarkStart w:id="112" w:name="HDR7"/>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 w:name="GLHDR7"/>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b/>
          <w:sz w:val="20"/>
        </w:rPr>
        <w:t>Stockholder Communications with Directors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Stockholders may communicate with the Board of Directors by sending a letter to the Corporate Secretary, Stockholder Communications of Imprimis Pharmaceuticals, Inc., 12626 High Bluff Drive, Suite 150, San Diego, CA 92130. Each communication must set forth the name and address of the stockholder on whose behalf the communication is sent and should indicate in the address whether the communication is intended for the entire Board, the non-management directors as a group or an individual director. Each communication will be screened by the Secretary or his designee to determine whether it is appropriate for presentation to the Board or such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it is addressed will be submitted to the Board or such director on a periodic basis. Any communications that concern complaints regarding accounting, internal controls or auditing matters will be handled in accordance with procedures adopted by the Audit Committee.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Code of Business Conduct and Ethics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Board has adopted a Code of Business Conduct and Ethics that applies to all of our directors, officers and employees. The Code of Business Conduct and Ethics is available for review on our website at http://imprimis.investorroom.com/index.php, and is also available in print, without charge, to any stockholder who requests a copy by writing to us at Imprimis Pharmaceuticals, Inc., 12626 High Bluff Drive, Suite 150, San Diego, CA 92130, Attention: Investor Relations. Each of our directors, employees and officers, including our Chief Executive Officer, Chief Accounting and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Meetings and Committees of the Board</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apart from meetings of the Board and committees of the Board.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Meeting Attendance</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Board generally holds meetings on a quarterly basis, but may hold additional meetings as required. During fiscal year 2012, the Board held three regularly scheduled meetings. Each of our directors attended at least 75% of the Board meetings he was eligible to attend and each director attended at least 75% of the aggregate of the total number of Board meetings and meetings of each committee of the Board on which he was serving. We do not have a policy requiring that directors attend our annual meeting of stockholders.   The 2013 Annual Meeting of Stockholders is our first annual meeting since 2008.</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Committees of the Board of Directors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Board currently has three standing committees to facilitate and assist the Board in the execution of its responsibilities: the Audit Committee, the Compensation Committee and the Nomination and Corporate Governance Committee.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Audit Committee</w:t>
      </w:r>
    </w:p>
    <w:p>
      <w:pPr>
        <w:pStyle w:val="TextBody"/>
        <w:spacing w:before="0" w:after="0"/>
        <w:ind w:left="0" w:right="0" w:hanging="0"/>
        <w:jc w:val="left"/>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Audit Committee is composed of Messrs. Stephen Austin (Chairperson), Jeffrey Abrams and Paul Finnegan. Our Board has affirmatively determined that each member of the Audit Committee is independent under Nasdaq Marketplace Rule 5605(a)(2), and meets all other qualifications under Nasdaq Marketplace Rule 5605(e) and the applicable rules of the Securities and Exchange Commission. Our Board has also affirmatively determined that Stephen Austin and Paul Finnegan each qualify as an “audit committee financial expert” as such term is defined in Regulation S-K under the Securities Act of 1933. During 2012, the Audit Committee held two meetings.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Audit Committee acts pursuant to a written charter, which is available for review on our website at http://imprimis.investorroom.com/index.php.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auditors.</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 w:name="PGBRK8"/>
      <w:bookmarkStart w:id="115" w:name="PGBRK8"/>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FTR8"/>
      <w:bookmarkStart w:id="117" w:name="FTR8"/>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 w:name="GLFTR8"/>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 w:name="PN8"/>
      <w:bookmarkEnd w:id="119"/>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HDR8"/>
      <w:bookmarkStart w:id="121" w:name="HDR8"/>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 w:name="GLHDR8"/>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Compensation Committee</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Compensation Committee is composed of Messrs. Paul Finnegan (Chairperson), Stephen Austin and Jeffrey Abrams. Our Board has affirmatively determined that each member of the Compensation Committee is independent as such term is defined under Nasdaq Marketplace Rule 5605(a)(2). During 2012, the Compensation Committee met one time. Our Board has adopted a charter for the Compensation Committee which is available for review on our website at http://imprimis.investorroom.com/index.php. The Compensation Committee reviews and makes recommendations to our Board concerning the compensation and benefits of our executive officers, including the Chief Executive Officer, and directors, oversees the administration of our stock option and employee benefits plans, and reviews general policy relating to compensation and benefits.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Nomination and Corporate Governance Committee</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During fiscal 2012 and through June 30, 2013, our Nomination and Corporate Governance Committee was composed of Messrs. Paul Finnegan, Stephen Austin and Jeffrey Abrams. On July 1st, Mr. Finnegan resigned as chairman and member of the Nomination and Corporate Governance Committee and Mr. Bassani joined the Nomination and Corporate Governance Committee and currently serves as its chairman.  Our Board has determined that each member of the Nomination and Corporate Governance Committee is independent under Nasdaq Marketplace Rule 5605(a)(2). The committee evaluates and recommends to the Board nominees for each election of directors. The Nomination and Corporate Governance Committee met one time in 2012. Our Board has adopted a charter for the Nomination and Corporate Governance Committee and a copy of that charter is available for review on our website at http://imprimis.investorroom.com/index.php. The responsibilities of the committee include making recommendations to the Board with respect to the nominations or elections of directors and providing oversight of our corporate governance policies and practices.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Board Leadership Structure</w:t>
      </w:r>
    </w:p>
    <w:p>
      <w:pPr>
        <w:pStyle w:val="TextBody"/>
        <w:spacing w:before="0" w:after="0"/>
        <w:ind w:left="0" w:right="0" w:hanging="0"/>
        <w:jc w:val="left"/>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Board may, but is not required to, select a Chairman of the Board on an annual basis. In addition, the positions of Chairman of the Board and Chief Executive Officer may be filled by one individual or two different individuals. Mr. Baum currently serves as our Chief Executive Officer and Dr. Kammer serves as Chairman of our Board.  Dr. Kammer is not an employee of the Company but does provide consulting services to the Company in addition to his services as Chairman.</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positions of Chairman of the Board and Chief Executive Officer are separated, which allows our Chief Executive Officer to focus on our day-to-day business, while allowing the Chairman of the Board to lead the Board in its fundamental role of providing advice to and independent oversight of management. Our Board recognizes the time, effort, and energy that the Chief Executive Officer is required to devote to his position in the current business environment, as well as the commitment required to serve as our Chairman. Our Board also believes that this structure better enables active participation of the independent directors in setting agendas and establishing priorities and procedures for the work of our Board. Our Board believes its administration of its risk oversight function has not affected its leadership structure.</w:t>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While our Bylaws do not require that our Chairman and Chief Executive Officer positions be separate, our Board believes that having separate positions is the appropriate leadership structure for us at this time and demonstrates our commitment to good corporate governance. Our separated Chairman and Chief Executive Officer positions are augmented by the independence of four of our six directors, and our independent Board committees that provide appropriate oversight of our management and the Company. </w:t>
      </w:r>
    </w:p>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We believe that the independent nature of the Board committees, as well as the practice of our independent directors regularly meeting in executive session without Dr. Kammer, Mr. Baum or other members of our management present, ensures that our Board maintains a level of independent oversight of management that we believe is appropriate for our company.</w:t>
      </w:r>
    </w:p>
    <w:p>
      <w:pPr>
        <w:pStyle w:val="TextBody"/>
        <w:spacing w:before="0" w:after="0"/>
        <w:ind w:left="0" w:right="0" w:firstLine="540"/>
        <w:jc w:val="both"/>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 w:name="PGBRK9"/>
      <w:bookmarkStart w:id="124" w:name="PGBRK9"/>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FTR9"/>
      <w:bookmarkStart w:id="126" w:name="FTR9"/>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 w:name="GLFTR9"/>
      <w:bookmarkEnd w:id="1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 w:name="PN9"/>
      <w:bookmarkEnd w:id="128"/>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HDR9"/>
      <w:bookmarkStart w:id="130" w:name="HDR9"/>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 w:name="GLHDR9"/>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Board Role in Risk Management</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Board as a whole has responsibility for risk oversight, with reviews of certain areas being conducted by the relevant Board committees. These committees then provide reports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These areas of focus include strategic, operational, financial and reporting, succession and compensation, and other risks. The Board and its committees oversee risks associated with their respective areas of responsibility, as summarized below. Each committee meets in executive session with key management personnel and representatives of outside advisors as required.</w:t>
      </w:r>
    </w:p>
    <w:p>
      <w:pPr>
        <w:pStyle w:val="TextBody"/>
        <w:spacing w:before="0" w:after="0"/>
        <w:ind w:left="0" w:right="0" w:firstLine="540"/>
        <w:jc w:val="both"/>
        <w:rPr/>
      </w:pPr>
      <w:r>
        <w:rPr/>
        <w:t> </w:t>
      </w:r>
    </w:p>
    <w:tbl>
      <w:tblPr>
        <w:tblW w:w="5000" w:type="pct"/>
        <w:jc w:val="left"/>
        <w:tblInd w:w="0" w:type="dxa"/>
        <w:tblCellMar>
          <w:top w:w="0" w:type="dxa"/>
          <w:left w:w="0" w:type="dxa"/>
          <w:bottom w:w="28" w:type="dxa"/>
          <w:right w:w="0" w:type="dxa"/>
        </w:tblCellMar>
      </w:tblPr>
      <w:tblGrid>
        <w:gridCol w:w="2040"/>
        <w:gridCol w:w="203"/>
        <w:gridCol w:w="7962"/>
      </w:tblGrid>
      <w:tr>
        <w:trPr/>
        <w:tc>
          <w:tcPr>
            <w:tcW w:w="2040"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16"/>
              </w:rPr>
            </w:pPr>
            <w:r>
              <w:rPr>
                <w:rFonts w:ascii="times new roman" w:hAnsi="times new roman"/>
                <w:b/>
                <w:sz w:val="16"/>
              </w:rPr>
              <w:t>Board/Committee</w:t>
            </w:r>
          </w:p>
        </w:tc>
        <w:tc>
          <w:tcPr>
            <w:tcW w:w="203" w:type="dxa"/>
            <w:tcBorders/>
            <w:shd w:fill="auto" w:val="clear"/>
            <w:tcMar>
              <w:bottom w:w="0" w:type="dxa"/>
            </w:tcMar>
          </w:tcPr>
          <w:p>
            <w:pPr>
              <w:pStyle w:val="TableContents"/>
              <w:spacing w:before="0" w:after="283"/>
              <w:jc w:val="left"/>
              <w:rPr/>
            </w:pPr>
            <w:r>
              <w:rPr/>
              <w:t> </w:t>
            </w:r>
          </w:p>
        </w:tc>
        <w:tc>
          <w:tcPr>
            <w:tcW w:w="7962"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16"/>
              </w:rPr>
            </w:pPr>
            <w:r>
              <w:rPr>
                <w:rFonts w:ascii="times new roman" w:hAnsi="times new roman"/>
                <w:b/>
                <w:sz w:val="16"/>
              </w:rPr>
              <w:t>Primary Areas of Risk Oversight</w:t>
            </w:r>
          </w:p>
        </w:tc>
      </w:tr>
      <w:tr>
        <w:trPr/>
        <w:tc>
          <w:tcPr>
            <w:tcW w:w="204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Full Board</w:t>
            </w:r>
          </w:p>
        </w:tc>
        <w:tc>
          <w:tcPr>
            <w:tcW w:w="203" w:type="dxa"/>
            <w:tcBorders/>
            <w:shd w:fill="CCEEFF" w:val="clear"/>
            <w:tcMar>
              <w:bottom w:w="0" w:type="dxa"/>
            </w:tcMar>
          </w:tcPr>
          <w:p>
            <w:pPr>
              <w:pStyle w:val="TableContents"/>
              <w:spacing w:before="0" w:after="283"/>
              <w:jc w:val="left"/>
              <w:rPr/>
            </w:pPr>
            <w:r>
              <w:rPr/>
              <w:t> </w:t>
            </w:r>
          </w:p>
        </w:tc>
        <w:tc>
          <w:tcPr>
            <w:tcW w:w="796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Risks and exposures associated with our business strategy and other current matters that may present material risk to our financial performance, operations, prospects or reputation.</w:t>
            </w:r>
          </w:p>
        </w:tc>
      </w:tr>
      <w:tr>
        <w:trPr/>
        <w:tc>
          <w:tcPr>
            <w:tcW w:w="2040"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Audit Committee</w:t>
            </w:r>
          </w:p>
        </w:tc>
        <w:tc>
          <w:tcPr>
            <w:tcW w:w="20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Overall risk management profile and policies with respect to risk assessment and risk management, material pending legal proceedings involving the Company, other contingent liabilities, as well as other risks and exposures that may have a material impact on our financial statements.</w:t>
            </w:r>
          </w:p>
        </w:tc>
      </w:tr>
      <w:tr>
        <w:trPr/>
        <w:tc>
          <w:tcPr>
            <w:tcW w:w="204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Compensation Committee</w:t>
            </w:r>
          </w:p>
        </w:tc>
        <w:tc>
          <w:tcPr>
            <w:tcW w:w="203" w:type="dxa"/>
            <w:tcBorders/>
            <w:shd w:fill="CCEEFF" w:val="clear"/>
            <w:tcMar>
              <w:bottom w:w="0" w:type="dxa"/>
            </w:tcMar>
          </w:tcPr>
          <w:p>
            <w:pPr>
              <w:pStyle w:val="TableContents"/>
              <w:spacing w:before="0" w:after="283"/>
              <w:jc w:val="left"/>
              <w:rPr/>
            </w:pPr>
            <w:r>
              <w:rPr/>
              <w:t> </w:t>
            </w:r>
          </w:p>
        </w:tc>
        <w:tc>
          <w:tcPr>
            <w:tcW w:w="796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Risks and exposures associated with management succession planning and executive compensation programs and arrangements, including incentive plans.</w:t>
            </w:r>
          </w:p>
        </w:tc>
      </w:tr>
      <w:tr>
        <w:trPr/>
        <w:tc>
          <w:tcPr>
            <w:tcW w:w="2040"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Nomination and Corporate Governance Committee</w:t>
            </w:r>
          </w:p>
        </w:tc>
        <w:tc>
          <w:tcPr>
            <w:tcW w:w="203" w:type="dxa"/>
            <w:tcBorders/>
            <w:shd w:fill="FFFFFF" w:val="clear"/>
            <w:tcMar>
              <w:bottom w:w="0" w:type="dxa"/>
            </w:tcMar>
          </w:tcPr>
          <w:p>
            <w:pPr>
              <w:pStyle w:val="TableContents"/>
              <w:spacing w:before="0" w:after="283"/>
              <w:jc w:val="left"/>
              <w:rPr/>
            </w:pPr>
            <w:r>
              <w:rPr/>
              <w:t> </w:t>
            </w:r>
          </w:p>
        </w:tc>
        <w:tc>
          <w:tcPr>
            <w:tcW w:w="7962"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Risks and exposures associated with director succession planning, corporate governance, and overall board effectiveness.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Transactions with Related Persons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the fiscal year ended December 31, 2012, and through the date of Proxy Statement, other than as described below, there have been no transactions, and there are no currently proposed transactions,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Secured Line of Credit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Baum and Dr. Kammer were appointed to our Board on December 16, 2011, following the closing of the Line of Credit Agreement and the purchase of the Series A Preferred Stock by DermaStar International, LLC (“DermaStar”) further described below. Mr. Baum and Dr. Kammer served as Managing Members of DermaStar prior to DermaStar’s conversion of all of the outstanding shares of the Company’s Series A Preferred Stock into common stock and the distribution of all shares of capital stock and warrants held by DermaStar to its members in July 2012.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25, 2012, the entire outstanding principal balance and all accrued and unpaid interest under the line of credit, an aggregate of $762,534, was converted into 193,046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Series A Preferred Stock Purchase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 w:name="PGBRK10"/>
      <w:bookmarkStart w:id="133" w:name="PGBRK10"/>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FTR10"/>
      <w:bookmarkStart w:id="135" w:name="FTR10"/>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 w:name="GLFTR10"/>
      <w:bookmarkEnd w:id="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7" w:name="PN10"/>
      <w:bookmarkEnd w:id="137"/>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HDR10"/>
      <w:bookmarkStart w:id="139" w:name="HDR10"/>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0" w:name="GLHDR10"/>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7.5% Convertible Promissory Note</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Company Policy Regarding Related Party Transactions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charter of the Audit Committee of our Board tasks the Audit Committee with review of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Board of Directors on a regular basis of any such transaction that is proposed to be entered into or continued and seeks approval.</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Section 16(a) Beneficial Ownership Reporting Compliance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Section 16(a) of the Securities Exchange Act of 1934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forms filed by such person.</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solely on our review of the copies of such forms furnished to us and the written representations from certain of the reporting persons that no other reports were required, we believe that during the fiscal year ended December 31, 2012, all executive officers, directors and greater than ten-percent beneficial owners complied with the reporting requirements of Section 16(a), except as follows: (i) stockholder Don Miloni filed a late Form 3 on March 18, 2013; (ii) stockholder Professional Compounding Centers of America, Inc. filed a late Form 3 on March 8, 2013; (iii) former stockholder DermaStar International, LLC (A) filed a late Form 5 on March 15, 2013 reporting transactions that occurred on February 28, 2012 and April 25, 2012, which were improperly reported on a Form 3 filed on April 27, 2012 and (B) filed a late Form 4 on July 20, 2012 reporting transactions that occurred on June 29, 2012 and July 12, 2012; (iv) director Jeffrey Abrams filed a late Form 4 on April 27, 2012 reporting transactions that occurred on April 1, 2012; (v) officer and director Mark Baum (A) filed a late Form 5 on March 15, 2013 reporting transactions that occurred on February 28, 2012, April 1, 2012 and April 25, 2012, which were improperly reported on a Form 3 filed on April 27, 2012 and (B) filed a late Form 4 on July 20, 2012 reporting transactions that occurred on June 29, 2012 and July 12, 2012; (vi) officer Andrew Boll filed a late Form 5 on March 15, 2013 reporting a transaction that occurred on February 1, 2012, which was improperly reported on a Form 3 filed on April 27, 2012; (vii) officer and former director Balbir Brar filed a late Form 5 on March 15, 2013 reporting transactions that occurred on January 25, 2012 and April 1, 2012, which were improperly reported on a Form 3 filed on April 27, 2012; (viii) director Paul Finnegan filed a late Form 5 on March 15, 2013 reporting transactions that occurred on January 25, 2012 and April 1, 2012, which were improperly reported on a Form 3 filed on April 27, 2012; (ix) director Robert Kammer (A) filed a late Form 5 on March 15, 2013 reporting transactions that occurred on February 28, 2012, April 1, 2012 and April 25, 2012, which were improperly reported on a Form 3 filed on April 30, 2012 and (B) filed a late Form 4 on July 20, 2012 reporting transactions that occurred on June 29, 2012 and July 12, 2012; (x) director Stephen Austin filed a late Form 4 on August 15, 2012 reporting a transaction that occurred on July 26, 2012; and (xi) officer Joachim Schupp filed a late Form 5 on March 15, 2013 reporting a transaction that occurred on February 15, 2012, which was improperly reported on a Form 3 filed on April 27, 2012.</w:t>
      </w:r>
    </w:p>
    <w:p>
      <w:pPr>
        <w:pStyle w:val="TextBody"/>
        <w:spacing w:before="0" w:after="0"/>
        <w:ind w:left="0" w:right="0" w:firstLine="720"/>
        <w:jc w:val="both"/>
        <w:rPr/>
      </w:pPr>
      <w:r>
        <w:rPr/>
        <w:t> </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1" w:name="PGBRK11"/>
      <w:bookmarkStart w:id="142" w:name="PGBRK11"/>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FTR11"/>
      <w:bookmarkStart w:id="144" w:name="FTR11"/>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5" w:name="GLFTR11"/>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 w:name="PN11"/>
      <w:bookmarkEnd w:id="146"/>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HDR11"/>
      <w:bookmarkStart w:id="148" w:name="HDR11"/>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9" w:name="GLHDR11"/>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DIRECTOR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Compensation for Service on the Board of Directors during Fiscal Year Ended December 31, 2012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did not have a set director compensation program in place for the fiscal year ended December 31, 2012; however, the Board of Directors approved the following compensation to our directors for their service as directors during 2012:</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50" w:name="TAB12"/>
      <w:bookmarkEnd w:id="150"/>
      <w:r>
        <w:rPr>
          <w:rFonts w:ascii="Times New Roman" w:hAnsi="Times New Roman"/>
          <w:sz w:val="20"/>
        </w:rPr>
        <w:t>On April 1, 2012, the Board of Directors approved the grant to each of our directors on that date, including our employee and non-employee directors, of an option to purchase up to 25,000 shares of our common stock under the Plan (each, a “2012 Director Option”). The directors who received such an option were Dr. Brar, Mr. Baum, Dr. Kammer, Dr. Finnegan and Dr. Abrams.  Each of the options has an exercise price of $4.50 per share and a term of five years, and vested quarterly over a one year period such that options to purchase 6,250 shares vested on each of June 30, 2012, September 30, 2012, December 31, 2012 and March 31, 2013 (subject to continued service as a director on each such date).  In addition, on April 1, 2012, the Board of Directors approved the grant to director Dr. Abrams of an option to purchase up to 60,000 shares of common stock under the Plan.  The option has an exercise price of $4.50 per share and a term of ten years, and vested in equal monthly installments over a one year period.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51" w:name="TAB13"/>
      <w:bookmarkEnd w:id="151"/>
      <w:r>
        <w:rPr>
          <w:rFonts w:ascii="Times New Roman" w:hAnsi="Times New Roman"/>
          <w:sz w:val="20"/>
        </w:rPr>
        <w:t>On July 26, 2012, in connection with his appointment as a director, the Board of Directors granted to Mr. Austin an option to purchase up to 17,123 shares of our common stock under the Plan. That option has an exercise price of $4.50 per share and a term of five years, and vests in equal monthly installments over a period of one year commencing on January 1, 2013. In addition, the Board of Directors approved our payment to Mr. Austin of a quarterly cash payment of $5,000 for his services as a director and a quarterly cash payment of $1,250 for his services as the chair of the Audit Committee.</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52" w:name="TAB14"/>
      <w:bookmarkEnd w:id="152"/>
      <w:r>
        <w:rPr>
          <w:rFonts w:ascii="Times New Roman" w:hAnsi="Times New Roman"/>
          <w:sz w:val="20"/>
        </w:rPr>
        <w:t>On December 14, 2012, in connection with his appointment as a director, the Board of Directors granted to Mr. Bassani an option to purchase up to 7,603 shares of our common stock under the Plan. That option has an exercise price of $10.75 per share and a term of five years, and vests in equal monthly installments over a period of one year commencing on January 1, 2013. In addition, the Board of Directors approved the payment to Mr. Bassani of a quarterly cash payment of $5,000 for his services as a director.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Compensation for Certain Advisory Services during Fiscal Year Ended December 31, 2012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January 17, 2012, Dr. Finnegan entered into a senior advisory agreement with the Company, pursuant to which he was to provide certain consulting services to the Company in addition to his services as a director. Under the terms of the senior advisory agreement, Dr. Finnegan provided consulting services in the area of drug and technology development, among other things, for consideration of $18,000 per quarter.  The agreement was to terminate on the earlier of the completion of the services or the fourth anniversary of the date of the agreement. In connection with the senior advisory agreement, on January 25, 2012, the Company granted Dr. Finnegan a stock option to purchase 125,000 shares of common stock under the Plan with an exercise price of $3.20 per share. Effective May 9, 2012, we entered into a termination agreement terminating the advisory agreement with Dr. Finnegan.  No cash compensation was paid to Dr. Finnegan under this advisory agreement.  In addition, effective May 9, 2012, we also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Pursuant to a second amendment to Dr. Finnegan’s stock option agreement, Dr. Finnegan has agreed to not sell more than 5% of the shares of the Company’s common stock acquired through the exercise of his stock option in any monthly period without the approval of the Board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April 1, 2012, we entered into an advisory agreement with director Dr. Robert Kammer, the Chairman of our Board of Directors, pursuant to which Dr. Kammer will provide certain services to us in addition to his services as a director.  These services include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our intellectual property strategy. Under the terms of the advisory agreement, Dr. Kammer is to be compensated $10,000 per month in the form of common stock based on a per share price of $4.50. Dr. Kammer and the Company have agreed that the common stock issuable to Dr. Kammer as compensation under his advisory agreement is to be accrued and issued on a quarterly or annual basis. Upon the completion of a financing transaction yielding not less than $15,000,000, Dr. Kammer may unilaterally choose to be paid in either cash or common stock at the $4.50 per share price described above. As additional compensation under the advisory agreement, on April 1, 2012 the Company granted Dr. Kammer an option to purchase 60,000 shares of common stock under the Plan, which stock option has an exercise price of $4.50 per share, expires on May 31, 2017, and vests according to the following schedule:  15,000 shares vest on the date of grant and the remaining shares vest monthly over a two year period beginning on May 1, 2012.  The advisory agreement is to terminate on the earlier of the completion of the services or the second anniversary of the agreement. Pursuant to an amendment to Dr. Kammer’s advisory agreement, Dr. Kammer has agreed to not sell more than 5% of the shares of the Company’s common stock acquired as compensation under that agreement, through the exercise of stock options or otherwise, in any monthly period without the approval of the Board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July 18, 2012, the Board of Directors granted to Dr. Kammer 40,000 restricted stock units (“RSUs”) outside of the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3" w:name="PGBRK12"/>
      <w:bookmarkStart w:id="154" w:name="PGBRK12"/>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FTR12"/>
      <w:bookmarkStart w:id="156" w:name="FTR12"/>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7" w:name="GLFTR12"/>
      <w:bookmarkEnd w:id="1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8" w:name="PN12"/>
      <w:bookmarkEnd w:id="158"/>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HDR12"/>
      <w:bookmarkStart w:id="160" w:name="HDR12"/>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1" w:name="GLHDR12"/>
      <w:bookmarkEnd w:id="1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Director Compensation Table</w:t>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The following table shows the compensation paid in fiscal 2012 to our non-employee directors.  All compensation received by directors Dr. Brar and Mr. Baum, including compensation received by them for services as a director, is disclosed in the Summary Compensation Table.</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752"/>
        <w:gridCol w:w="108"/>
        <w:gridCol w:w="163"/>
        <w:gridCol w:w="1023"/>
        <w:gridCol w:w="264"/>
        <w:gridCol w:w="108"/>
        <w:gridCol w:w="163"/>
        <w:gridCol w:w="1111"/>
        <w:gridCol w:w="264"/>
        <w:gridCol w:w="108"/>
        <w:gridCol w:w="163"/>
        <w:gridCol w:w="1110"/>
        <w:gridCol w:w="353"/>
        <w:gridCol w:w="108"/>
        <w:gridCol w:w="163"/>
        <w:gridCol w:w="1111"/>
        <w:gridCol w:w="133"/>
      </w:tblGrid>
      <w:tr>
        <w:trPr/>
        <w:tc>
          <w:tcPr>
            <w:tcW w:w="3752"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108" w:type="dxa"/>
            <w:tcBorders/>
            <w:shd w:fill="auto" w:val="clear"/>
            <w:tcMar>
              <w:bottom w:w="0" w:type="dxa"/>
            </w:tcMar>
            <w:vAlign w:val="bottom"/>
          </w:tcPr>
          <w:p>
            <w:pPr>
              <w:pStyle w:val="TableContents"/>
              <w:spacing w:before="0" w:after="283"/>
              <w:rPr/>
            </w:pPr>
            <w:r>
              <w:rPr/>
              <w:t> </w:t>
            </w:r>
          </w:p>
        </w:tc>
        <w:tc>
          <w:tcPr>
            <w:tcW w:w="118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Fees Earned or</w:t>
              <w:br/>
              <w:t>Paid in Cash</w:t>
            </w:r>
          </w:p>
        </w:tc>
        <w:tc>
          <w:tcPr>
            <w:tcW w:w="264"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w:t>
              <w:br/>
              <w:t>Awards(1)(3)</w:t>
            </w:r>
          </w:p>
        </w:tc>
        <w:tc>
          <w:tcPr>
            <w:tcW w:w="264"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br/>
              <w:t>Awards (2)(3)</w:t>
            </w:r>
          </w:p>
        </w:tc>
        <w:tc>
          <w:tcPr>
            <w:tcW w:w="353"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133" w:type="dxa"/>
            <w:tcBorders/>
            <w:shd w:fill="auto" w:val="clear"/>
            <w:tcMar>
              <w:bottom w:w="0" w:type="dxa"/>
            </w:tcMar>
            <w:vAlign w:val="bottom"/>
          </w:tcPr>
          <w:p>
            <w:pPr>
              <w:pStyle w:val="TableContents"/>
              <w:spacing w:before="0" w:after="283"/>
              <w:jc w:val="left"/>
              <w:rPr/>
            </w:pPr>
            <w:r>
              <w:rPr/>
              <w:t> </w:t>
            </w:r>
          </w:p>
        </w:tc>
      </w:tr>
      <w:tr>
        <w:trPr/>
        <w:tc>
          <w:tcPr>
            <w:tcW w:w="375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4"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269,444</w:t>
            </w:r>
          </w:p>
        </w:tc>
        <w:tc>
          <w:tcPr>
            <w:tcW w:w="26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381,578</w:t>
            </w:r>
          </w:p>
        </w:tc>
        <w:tc>
          <w:tcPr>
            <w:tcW w:w="35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651,022</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375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w:t>
            </w:r>
          </w:p>
        </w:tc>
        <w:tc>
          <w:tcPr>
            <w:tcW w:w="108"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26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108"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4"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450,325</w:t>
            </w:r>
          </w:p>
        </w:tc>
        <w:tc>
          <w:tcPr>
            <w:tcW w:w="35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108"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468,325</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375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4"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4"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381,480</w:t>
            </w:r>
          </w:p>
        </w:tc>
        <w:tc>
          <w:tcPr>
            <w:tcW w:w="35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381,480</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375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G. Austin, CPA</w:t>
            </w:r>
          </w:p>
        </w:tc>
        <w:tc>
          <w:tcPr>
            <w:tcW w:w="108"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264"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4"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58,099</w:t>
            </w:r>
          </w:p>
        </w:tc>
        <w:tc>
          <w:tcPr>
            <w:tcW w:w="35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108" w:type="dxa"/>
            <w:tcBorders/>
            <w:shd w:fill="FFFFFF" w:val="clear"/>
            <w:tcMar>
              <w:bottom w:w="0" w:type="dxa"/>
            </w:tcMar>
            <w:vAlign w:val="bottom"/>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70,599</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375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S. Bassani, Pharm.D.</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4"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64"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81,627</w:t>
            </w:r>
          </w:p>
        </w:tc>
        <w:tc>
          <w:tcPr>
            <w:tcW w:w="35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108" w:type="dxa"/>
            <w:tcBorders/>
            <w:shd w:fill="CCEEFF" w:val="clear"/>
            <w:tcMar>
              <w:bottom w:w="0" w:type="dxa"/>
            </w:tcMar>
            <w:vAlign w:val="bottom"/>
          </w:tcPr>
          <w:p>
            <w:pPr>
              <w:pStyle w:val="TableContents"/>
              <w:spacing w:before="0" w:after="283"/>
              <w:rPr/>
            </w:pPr>
            <w:r>
              <w:rPr/>
              <w:t> </w:t>
            </w:r>
          </w:p>
        </w:tc>
        <w:tc>
          <w:tcPr>
            <w:tcW w:w="16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81,627</w:t>
            </w:r>
          </w:p>
        </w:tc>
        <w:tc>
          <w:tcPr>
            <w:tcW w:w="133"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r>
        <w:trPr/>
        <w:tc>
          <w:tcPr>
            <w:tcW w:w="305" w:type="dxa"/>
            <w:tcBorders/>
            <w:shd w:fill="auto" w:val="clear"/>
          </w:tcPr>
          <w:p>
            <w:pPr>
              <w:pStyle w:val="TableContents"/>
              <w:spacing w:before="0" w:after="0"/>
              <w:ind w:left="0" w:right="0" w:hanging="0"/>
              <w:jc w:val="both"/>
              <w:rPr/>
            </w:pPr>
            <w:r>
              <w:rPr/>
              <w:t> </w:t>
            </w:r>
            <w:r>
              <w:rPr>
                <w:rFonts w:ascii="times new roman" w:hAnsi="times new roman"/>
                <w:sz w:val="20"/>
              </w:rPr>
              <w:t>(2)</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"Shareholders’ Equity" of Notes to Consolidated Financial Statements for the fiscal year ended December 31, 2012 included in the Company’s Annual Report on Form 10-K for the fiscal year ended December 31, 2012.</w:t>
            </w:r>
          </w:p>
        </w:tc>
      </w:tr>
      <w:tr>
        <w:trPr/>
        <w:tc>
          <w:tcPr>
            <w:tcW w:w="305" w:type="dxa"/>
            <w:tcBorders/>
            <w:shd w:fill="auto" w:val="clear"/>
          </w:tcPr>
          <w:p>
            <w:pPr>
              <w:pStyle w:val="TableContents"/>
              <w:spacing w:before="0" w:after="0"/>
              <w:ind w:left="0" w:right="0" w:hanging="0"/>
              <w:jc w:val="both"/>
              <w:rPr/>
            </w:pPr>
            <w:r>
              <w:rPr/>
              <w:t> </w:t>
            </w:r>
            <w:r>
              <w:rPr>
                <w:rFonts w:ascii="times new roman" w:hAnsi="times new roman"/>
                <w:sz w:val="20"/>
              </w:rPr>
              <w:t>(3)</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number of stock and option awards outstanding as of December 31, 2012 for each non-employee director are as follows:</w:t>
            </w:r>
          </w:p>
        </w:tc>
      </w:tr>
    </w:tbl>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6537"/>
        <w:gridCol w:w="102"/>
        <w:gridCol w:w="101"/>
        <w:gridCol w:w="918"/>
        <w:gridCol w:w="102"/>
        <w:gridCol w:w="101"/>
        <w:gridCol w:w="101"/>
        <w:gridCol w:w="919"/>
        <w:gridCol w:w="101"/>
        <w:gridCol w:w="101"/>
        <w:gridCol w:w="102"/>
        <w:gridCol w:w="918"/>
        <w:gridCol w:w="102"/>
      </w:tblGrid>
      <w:tr>
        <w:trPr/>
        <w:tc>
          <w:tcPr>
            <w:tcW w:w="6537" w:type="dxa"/>
            <w:tcBorders>
              <w:bottom w:val="single" w:sz="12" w:space="0" w:color="000000"/>
            </w:tcBorders>
            <w:shd w:fill="auto" w:val="clear"/>
            <w:vAlign w:val="bottom"/>
          </w:tcPr>
          <w:p>
            <w:pPr>
              <w:pStyle w:val="TableContents"/>
              <w:spacing w:before="0" w:after="0"/>
              <w:ind w:left="0" w:right="0" w:hanging="0"/>
              <w:jc w:val="left"/>
              <w:rPr/>
            </w:pPr>
            <w:r>
              <w:rPr/>
              <w:t> </w:t>
            </w:r>
            <w:r>
              <w:rPr>
                <w:rFonts w:ascii="times new roman" w:hAnsi="times new roman"/>
                <w:b/>
                <w:sz w:val="16"/>
              </w:rPr>
              <w:t>Name</w:t>
            </w:r>
          </w:p>
        </w:tc>
        <w:tc>
          <w:tcPr>
            <w:tcW w:w="102" w:type="dxa"/>
            <w:tcBorders/>
            <w:shd w:fill="auto" w:val="clear"/>
            <w:tcMar>
              <w:bottom w:w="0" w:type="dxa"/>
            </w:tcMar>
            <w:vAlign w:val="bottom"/>
          </w:tcPr>
          <w:p>
            <w:pPr>
              <w:pStyle w:val="TableContents"/>
              <w:spacing w:before="0" w:after="283"/>
              <w:rPr/>
            </w:pPr>
            <w:r>
              <w:rPr/>
              <w:t> </w:t>
            </w:r>
          </w:p>
        </w:tc>
        <w:tc>
          <w:tcPr>
            <w:tcW w:w="101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 Underlying Options Awards</w:t>
            </w:r>
          </w:p>
        </w:tc>
        <w:tc>
          <w:tcPr>
            <w:tcW w:w="102"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 Underlying Stock Awards</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102" w:type="dxa"/>
            <w:tcBorders/>
            <w:shd w:fill="auto" w:val="clear"/>
            <w:tcMar>
              <w:bottom w:w="0" w:type="dxa"/>
            </w:tcMar>
            <w:vAlign w:val="bottom"/>
          </w:tcPr>
          <w:p>
            <w:pPr>
              <w:pStyle w:val="TableContents"/>
              <w:spacing w:before="0" w:after="283"/>
              <w:jc w:val="left"/>
              <w:rPr/>
            </w:pPr>
            <w:r>
              <w:rPr/>
              <w:t> </w:t>
            </w:r>
          </w:p>
        </w:tc>
      </w:tr>
      <w:tr>
        <w:trPr/>
        <w:tc>
          <w:tcPr>
            <w:tcW w:w="653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Robert J. Kammer, D.D.S.</w:t>
            </w:r>
          </w:p>
        </w:tc>
        <w:tc>
          <w:tcPr>
            <w:tcW w:w="102"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02"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145,000</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653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Paul Finnegan, M.D.</w:t>
            </w:r>
          </w:p>
        </w:tc>
        <w:tc>
          <w:tcPr>
            <w:tcW w:w="102"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02"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653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Jeffrey J. Abrams, M.D.</w:t>
            </w:r>
          </w:p>
        </w:tc>
        <w:tc>
          <w:tcPr>
            <w:tcW w:w="102"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87,250</w:t>
            </w:r>
          </w:p>
        </w:tc>
        <w:tc>
          <w:tcPr>
            <w:tcW w:w="102"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87,250</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6537"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Stephen G. Austin, CPA</w:t>
            </w:r>
          </w:p>
        </w:tc>
        <w:tc>
          <w:tcPr>
            <w:tcW w:w="102"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17,123</w:t>
            </w:r>
          </w:p>
        </w:tc>
        <w:tc>
          <w:tcPr>
            <w:tcW w:w="102"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17,123</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653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August S. Bassani, Pharm.D.</w:t>
            </w:r>
          </w:p>
        </w:tc>
        <w:tc>
          <w:tcPr>
            <w:tcW w:w="102"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7,603</w:t>
            </w:r>
          </w:p>
        </w:tc>
        <w:tc>
          <w:tcPr>
            <w:tcW w:w="102"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7,603</w:t>
            </w:r>
          </w:p>
        </w:tc>
        <w:tc>
          <w:tcPr>
            <w:tcW w:w="10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11"/>
        <w:gridCol w:w="2394"/>
        <w:gridCol w:w="3749"/>
        <w:gridCol w:w="3751"/>
      </w:tblGrid>
      <w:tr>
        <w:trPr/>
        <w:tc>
          <w:tcPr>
            <w:tcW w:w="311" w:type="dxa"/>
            <w:tcBorders/>
            <w:shd w:fill="auto" w:val="clear"/>
          </w:tcPr>
          <w:p>
            <w:pPr>
              <w:pStyle w:val="TableContents"/>
              <w:spacing w:before="0" w:after="0"/>
              <w:ind w:left="0" w:right="0" w:hanging="0"/>
              <w:jc w:val="both"/>
              <w:rPr/>
            </w:pPr>
            <w:r>
              <w:rPr/>
              <w:t> </w:t>
            </w:r>
            <w:r>
              <w:rPr>
                <w:rFonts w:ascii="times new roman" w:hAnsi="times new roman"/>
                <w:sz w:val="20"/>
              </w:rPr>
              <w:t>(4)</w:t>
            </w:r>
          </w:p>
        </w:tc>
        <w:tc>
          <w:tcPr>
            <w:tcW w:w="9894" w:type="dxa"/>
            <w:gridSpan w:val="3"/>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20,000 shares of common stock earned by but not yet issued to Dr. Kammer under his advisory agreement entered into with the Company on April 1, 2012, pursuant to which Dr. Kammer provides certain consultant and advisory services in addition to his services as a director and, among other compensation, earns $10,000 per month in the form of common stock based on a price per share of $4.50, and (ii) 40,000 RSUs granted to Dr. Kammer on July 18, 2012 outside the Plan in connection with his services as a consultant and advisor to the Company, which RSUs are subject to certain performance-based vesting criteria such that all 40,000 RSUs will vest at such time as the Company meets the primary endpoints of its Phase III clinical studies for Impracor.</w:t>
            </w:r>
          </w:p>
        </w:tc>
      </w:tr>
      <w:tr>
        <w:trPr/>
        <w:tc>
          <w:tcPr>
            <w:tcW w:w="311" w:type="dxa"/>
            <w:tcBorders/>
            <w:shd w:fill="auto" w:val="clear"/>
          </w:tcPr>
          <w:p>
            <w:pPr>
              <w:pStyle w:val="TableContents"/>
              <w:spacing w:before="0" w:after="0"/>
              <w:ind w:left="0" w:right="0" w:hanging="0"/>
              <w:jc w:val="both"/>
              <w:rPr/>
            </w:pPr>
            <w:r>
              <w:rPr/>
              <w:t> </w:t>
            </w:r>
            <w:r>
              <w:rPr>
                <w:rFonts w:ascii="times new roman" w:hAnsi="times new roman"/>
                <w:sz w:val="20"/>
              </w:rPr>
              <w:t>(5)</w:t>
            </w:r>
          </w:p>
        </w:tc>
        <w:tc>
          <w:tcPr>
            <w:tcW w:w="9894" w:type="dxa"/>
            <w:gridSpan w:val="3"/>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 2012 Director Option granted to Dr. Kammer, and (ii) an option to purchase up to 60,000 shares of common stock granted to Dr. Kammer on April 1, 2012 under the Plan pursuant to the terms of his advisory agreement with the Company, which agreement provides for, in addition to certain other compensation provided to Dr. Kammer under that agreement for his consulting and advisory services that is described in footnote (4) above, the grant to Dr. Kammer of this non-qualified stock option with an exercise price of $4.50 per share, an expiration date of March 31, 2017, and a vesting schedule as follows:  15,000 shares vest on the date of grant and the remaining shares vest in equal monthly installments over a two year period beginning on May 1, 2012.</w:t>
            </w:r>
          </w:p>
        </w:tc>
      </w:tr>
      <w:tr>
        <w:trPr/>
        <w:tc>
          <w:tcPr>
            <w:tcW w:w="311" w:type="dxa"/>
            <w:tcBorders/>
            <w:shd w:fill="auto" w:val="clear"/>
          </w:tcPr>
          <w:p>
            <w:pPr>
              <w:pStyle w:val="TableContents"/>
              <w:spacing w:before="0" w:after="0"/>
              <w:ind w:left="0" w:right="0" w:hanging="0"/>
              <w:jc w:val="both"/>
              <w:rPr/>
            </w:pPr>
            <w:r>
              <w:rPr/>
              <w:t> </w:t>
            </w:r>
            <w:r>
              <w:rPr>
                <w:rFonts w:ascii="times new roman" w:hAnsi="times new roman"/>
                <w:sz w:val="20"/>
              </w:rPr>
              <w:t>(6)</w:t>
            </w:r>
          </w:p>
        </w:tc>
        <w:tc>
          <w:tcPr>
            <w:tcW w:w="9894" w:type="dxa"/>
            <w:gridSpan w:val="3"/>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Reflects the total amount paid to Dr. Finnegan under a senior advisory agreement entered into with the Company on January 17, 2012 and terminated on May 9, 2012. Such amount was paid in April 2012 prior to the termination of the agreement in exchange for services rendered under the agreement in the first quarter of 2012. </w:t>
            </w:r>
          </w:p>
        </w:tc>
      </w:tr>
      <w:tr>
        <w:trPr/>
        <w:tc>
          <w:tcPr>
            <w:tcW w:w="2705" w:type="dxa"/>
            <w:gridSpan w:val="2"/>
            <w:tcBorders/>
            <w:shd w:fill="auto" w:val="clear"/>
          </w:tcPr>
          <w:p>
            <w:pPr>
              <w:pStyle w:val="TableContents"/>
              <w:spacing w:before="0" w:after="0"/>
              <w:ind w:left="0" w:right="0" w:hanging="0"/>
              <w:jc w:val="both"/>
              <w:rPr/>
            </w:pPr>
            <w:r>
              <w:rPr/>
              <w:t> </w:t>
            </w:r>
            <w:r>
              <w:rPr>
                <w:rFonts w:ascii="times new roman" w:hAnsi="times new roman"/>
                <w:sz w:val="20"/>
              </w:rPr>
              <w:t>(7)</w:t>
            </w:r>
          </w:p>
        </w:tc>
        <w:tc>
          <w:tcPr>
            <w:tcW w:w="75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 2012 Director Option granted to Dr. Finnegan, and (ii) an option to purchase 125,000 shares of common stock at an exercise price of $3.20 per share granted to Dr. Finnegan on January 25, 2012 under the Plan in connection with a senior advisory agreement entered with the Company on January 17, 2012, which agreement was terminated on May 9, 2012. Also effective May 9, 2012, we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w:t>
            </w:r>
          </w:p>
        </w:tc>
      </w:tr>
      <w:tr>
        <w:trPr/>
        <w:tc>
          <w:tcPr>
            <w:tcW w:w="2705" w:type="dxa"/>
            <w:gridSpan w:val="2"/>
            <w:tcBorders/>
            <w:shd w:fill="auto" w:val="clear"/>
          </w:tcPr>
          <w:p>
            <w:pPr>
              <w:pStyle w:val="TableContents"/>
              <w:spacing w:before="0" w:after="0"/>
              <w:ind w:left="0" w:right="0" w:hanging="0"/>
              <w:jc w:val="both"/>
              <w:rPr/>
            </w:pPr>
            <w:r>
              <w:rPr/>
              <w:t> </w:t>
            </w:r>
            <w:r>
              <w:rPr>
                <w:rFonts w:ascii="times new roman" w:hAnsi="times new roman"/>
                <w:sz w:val="20"/>
              </w:rPr>
              <w:t>(8)</w:t>
            </w:r>
          </w:p>
        </w:tc>
        <w:tc>
          <w:tcPr>
            <w:tcW w:w="75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 2012 Director Option granted to Dr. Abrams, and (ii) an option to purchase 60,000 shares of common stock granted to Dr. Abrams on April 1, 2012 under the Plan in consideration of his service as a director of the Company during 2011 and 2012, which option has an exercise price of $4.50 per share, a term of ten years, and vests in equal monthly installments over a one year period.  </w:t>
            </w:r>
          </w:p>
        </w:tc>
      </w:tr>
      <w:tr>
        <w:trPr/>
        <w:tc>
          <w:tcPr>
            <w:tcW w:w="2705" w:type="dxa"/>
            <w:gridSpan w:val="2"/>
            <w:tcBorders/>
            <w:shd w:fill="auto" w:val="clear"/>
          </w:tcPr>
          <w:p>
            <w:pPr>
              <w:pStyle w:val="TableContents"/>
              <w:spacing w:before="0" w:after="0"/>
              <w:ind w:left="0" w:right="0" w:hanging="0"/>
              <w:jc w:val="both"/>
              <w:rPr/>
            </w:pPr>
            <w:r>
              <w:rPr/>
              <w:t> </w:t>
            </w:r>
            <w:r>
              <w:rPr>
                <w:rFonts w:ascii="times new roman" w:hAnsi="times new roman"/>
                <w:sz w:val="20"/>
              </w:rPr>
              <w:t>(9)</w:t>
            </w:r>
          </w:p>
        </w:tc>
        <w:tc>
          <w:tcPr>
            <w:tcW w:w="7500"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to purchase up to 17,123 shares of our common stock granted to Mr. Austin on August 26, 2012 under the Plan, as consideration for his service as a director. That option has an exercise price of $4.50 per share, a term of five years, and vests in equal monthly installments over a period of one year commencing on January 1, 2013.</w:t>
            </w:r>
          </w:p>
        </w:tc>
      </w:tr>
      <w:tr>
        <w:trPr/>
        <w:tc>
          <w:tcPr>
            <w:tcW w:w="6454" w:type="dxa"/>
            <w:gridSpan w:val="3"/>
            <w:tcBorders/>
            <w:shd w:fill="auto" w:val="clear"/>
          </w:tcPr>
          <w:p>
            <w:pPr>
              <w:pStyle w:val="TableContents"/>
              <w:spacing w:before="0" w:after="0"/>
              <w:ind w:left="0" w:right="0" w:hanging="0"/>
              <w:jc w:val="both"/>
              <w:rPr/>
            </w:pPr>
            <w:r>
              <w:rPr/>
              <w:t> </w:t>
            </w:r>
            <w:r>
              <w:rPr>
                <w:rFonts w:ascii="times new roman" w:hAnsi="times new roman"/>
                <w:sz w:val="20"/>
              </w:rPr>
              <w:t>(10)</w:t>
            </w:r>
          </w:p>
        </w:tc>
        <w:tc>
          <w:tcPr>
            <w:tcW w:w="37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to purchase up to 7,603 shares of our common stock granted to Mr. Bassani on December 14, 2012 under the Plan, as consideration for his services as a director.  That option has an exercise price of $10.75 per share, has a term of five years, and vests monthly over a period of one year commencing on January 1, 2013.</w:t>
            </w:r>
          </w:p>
        </w:tc>
      </w:tr>
    </w:tbl>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2" w:name="PGBRK13"/>
      <w:bookmarkStart w:id="163" w:name="PGBRK13"/>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FTR13"/>
      <w:bookmarkStart w:id="165" w:name="FTR13"/>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6" w:name="GLFTR13"/>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7" w:name="PN13"/>
      <w:bookmarkEnd w:id="167"/>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HDR13"/>
      <w:bookmarkStart w:id="169" w:name="HDR13"/>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0" w:name="GLHDR13"/>
      <w:bookmarkEnd w:id="1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both"/>
        <w:rPr/>
      </w:pPr>
      <w:r>
        <w:rPr/>
        <w:t> </w:t>
      </w:r>
      <w:r>
        <w:rPr>
          <w:rFonts w:ascii="Times New Roman" w:hAnsi="Times New Roman"/>
          <w:b/>
          <w:sz w:val="20"/>
        </w:rPr>
        <w:t>Director Compensation Program for Fiscal Year Ending December 31, 2013</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540"/>
        <w:jc w:val="left"/>
        <w:rPr>
          <w:rFonts w:ascii="Times New Roman" w:hAnsi="Times New Roman"/>
          <w:sz w:val="20"/>
        </w:rPr>
      </w:pPr>
      <w:r>
        <w:rPr>
          <w:rFonts w:ascii="Times New Roman" w:hAnsi="Times New Roman"/>
          <w:sz w:val="20"/>
        </w:rPr>
        <w:t>In the first quarter of fiscal 2013, the Compensation Committee and Board of Directors established a standard director compensation program.  A summary of the non-employee director compensation arrangements for fiscal 2013 (effective January 1, 2013) is set forth below.</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829"/>
        <w:gridCol w:w="111"/>
        <w:gridCol w:w="127"/>
        <w:gridCol w:w="1019"/>
        <w:gridCol w:w="119"/>
      </w:tblGrid>
      <w:tr>
        <w:trPr/>
        <w:tc>
          <w:tcPr>
            <w:tcW w:w="882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14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Retainer and</w:t>
            </w:r>
          </w:p>
        </w:tc>
        <w:tc>
          <w:tcPr>
            <w:tcW w:w="119" w:type="dxa"/>
            <w:tcBorders/>
            <w:shd w:fill="auto" w:val="clear"/>
            <w:vAlign w:val="bottom"/>
          </w:tcPr>
          <w:p>
            <w:pPr>
              <w:pStyle w:val="TableContents"/>
              <w:spacing w:before="0" w:after="283"/>
              <w:jc w:val="left"/>
              <w:rPr/>
            </w:pPr>
            <w:r>
              <w:rPr/>
              <w:t> </w:t>
            </w:r>
          </w:p>
        </w:tc>
      </w:tr>
      <w:tr>
        <w:trPr/>
        <w:tc>
          <w:tcPr>
            <w:tcW w:w="882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1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Meeting Fees</w:t>
            </w:r>
          </w:p>
        </w:tc>
        <w:tc>
          <w:tcPr>
            <w:tcW w:w="119" w:type="dxa"/>
            <w:tcBorders/>
            <w:shd w:fill="auto" w:val="clear"/>
            <w:vAlign w:val="bottom"/>
          </w:tcPr>
          <w:p>
            <w:pPr>
              <w:pStyle w:val="TableContents"/>
              <w:spacing w:before="0" w:after="283"/>
              <w:jc w:val="left"/>
              <w:rPr/>
            </w:pPr>
            <w:r>
              <w:rPr/>
              <w:t> </w:t>
            </w:r>
          </w:p>
        </w:tc>
      </w:tr>
      <w:tr>
        <w:trPr/>
        <w:tc>
          <w:tcPr>
            <w:tcW w:w="882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Annual Board Retainer Fee:</w:t>
            </w:r>
          </w:p>
        </w:tc>
        <w:tc>
          <w:tcPr>
            <w:tcW w:w="111" w:type="dxa"/>
            <w:tcBorders/>
            <w:shd w:fill="auto" w:val="clear"/>
            <w:vAlign w:val="bottom"/>
          </w:tcPr>
          <w:p>
            <w:pPr>
              <w:pStyle w:val="TableContents"/>
              <w:spacing w:before="0" w:after="283"/>
              <w:rPr/>
            </w:pPr>
            <w:r>
              <w:rPr/>
              <w:t> </w:t>
            </w:r>
          </w:p>
        </w:tc>
        <w:tc>
          <w:tcPr>
            <w:tcW w:w="1146"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88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non-employee directors</w:t>
            </w:r>
          </w:p>
        </w:tc>
        <w:tc>
          <w:tcPr>
            <w:tcW w:w="111"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28,000</w:t>
            </w:r>
          </w:p>
        </w:tc>
        <w:tc>
          <w:tcPr>
            <w:tcW w:w="119" w:type="dxa"/>
            <w:tcBorders/>
            <w:shd w:fill="CCEEFF" w:val="clear"/>
            <w:vAlign w:val="bottom"/>
          </w:tcPr>
          <w:p>
            <w:pPr>
              <w:pStyle w:val="TableContents"/>
              <w:spacing w:before="0" w:after="283"/>
              <w:jc w:val="left"/>
              <w:rPr/>
            </w:pPr>
            <w:r>
              <w:rPr/>
              <w:t>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Annual Chairman Retainer Fees*:</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9"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88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w:t>
            </w:r>
          </w:p>
        </w:tc>
        <w:tc>
          <w:tcPr>
            <w:tcW w:w="111"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c>
          <w:tcPr>
            <w:tcW w:w="119" w:type="dxa"/>
            <w:tcBorders/>
            <w:shd w:fill="CCEEFF" w:val="clear"/>
            <w:vAlign w:val="bottom"/>
          </w:tcPr>
          <w:p>
            <w:pPr>
              <w:pStyle w:val="TableContents"/>
              <w:spacing w:before="0" w:after="283"/>
              <w:jc w:val="left"/>
              <w:rPr/>
            </w:pPr>
            <w:r>
              <w:rPr/>
              <w:t>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Committee Chairman</w:t>
            </w:r>
          </w:p>
        </w:tc>
        <w:tc>
          <w:tcPr>
            <w:tcW w:w="111"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9" w:type="dxa"/>
            <w:tcBorders/>
            <w:shd w:fill="FFFFFF" w:val="clear"/>
            <w:vAlign w:val="bottom"/>
          </w:tcPr>
          <w:p>
            <w:pPr>
              <w:pStyle w:val="TableContents"/>
              <w:spacing w:before="0" w:after="283"/>
              <w:jc w:val="left"/>
              <w:rPr/>
            </w:pPr>
            <w:r>
              <w:rPr/>
              <w:t> </w:t>
            </w:r>
          </w:p>
        </w:tc>
      </w:tr>
      <w:tr>
        <w:trPr/>
        <w:tc>
          <w:tcPr>
            <w:tcW w:w="88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Compensation Committee Chairman</w:t>
            </w:r>
          </w:p>
        </w:tc>
        <w:tc>
          <w:tcPr>
            <w:tcW w:w="111"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8,800</w:t>
            </w:r>
          </w:p>
        </w:tc>
        <w:tc>
          <w:tcPr>
            <w:tcW w:w="119" w:type="dxa"/>
            <w:tcBorders/>
            <w:shd w:fill="CCEEFF" w:val="clear"/>
            <w:vAlign w:val="bottom"/>
          </w:tcPr>
          <w:p>
            <w:pPr>
              <w:pStyle w:val="TableContents"/>
              <w:spacing w:before="0" w:after="283"/>
              <w:jc w:val="left"/>
              <w:rPr/>
            </w:pPr>
            <w:r>
              <w:rPr/>
              <w:t>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Nominating &amp; Corporate Governance Committee Chairman</w:t>
            </w:r>
          </w:p>
        </w:tc>
        <w:tc>
          <w:tcPr>
            <w:tcW w:w="111"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4,800</w:t>
            </w:r>
          </w:p>
        </w:tc>
        <w:tc>
          <w:tcPr>
            <w:tcW w:w="119" w:type="dxa"/>
            <w:tcBorders/>
            <w:shd w:fill="FFFFFF" w:val="clear"/>
            <w:vAlign w:val="bottom"/>
          </w:tcPr>
          <w:p>
            <w:pPr>
              <w:pStyle w:val="TableContents"/>
              <w:spacing w:before="0" w:after="283"/>
              <w:jc w:val="left"/>
              <w:rPr/>
            </w:pPr>
            <w:r>
              <w:rPr/>
              <w:t> </w:t>
            </w:r>
          </w:p>
        </w:tc>
      </w:tr>
      <w:tr>
        <w:trPr/>
        <w:tc>
          <w:tcPr>
            <w:tcW w:w="10086" w:type="dxa"/>
            <w:gridSpan w:val="4"/>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Annual Committee Member Retainer Fees*:</w:t>
            </w:r>
          </w:p>
        </w:tc>
        <w:tc>
          <w:tcPr>
            <w:tcW w:w="119" w:type="dxa"/>
            <w:tcBorders/>
            <w:shd w:fill="CCEEFF" w:val="clear"/>
            <w:vAlign w:val="bottom"/>
          </w:tcPr>
          <w:p>
            <w:pPr>
              <w:pStyle w:val="TableContents"/>
              <w:spacing w:before="0" w:after="283"/>
              <w:jc w:val="left"/>
              <w:rPr/>
            </w:pPr>
            <w:r>
              <w:rPr/>
              <w:t>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Committee</w:t>
            </w:r>
          </w:p>
        </w:tc>
        <w:tc>
          <w:tcPr>
            <w:tcW w:w="111"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7,200</w:t>
            </w:r>
          </w:p>
        </w:tc>
        <w:tc>
          <w:tcPr>
            <w:tcW w:w="119" w:type="dxa"/>
            <w:tcBorders/>
            <w:shd w:fill="FFFFFF" w:val="clear"/>
            <w:vAlign w:val="bottom"/>
          </w:tcPr>
          <w:p>
            <w:pPr>
              <w:pStyle w:val="TableContents"/>
              <w:spacing w:before="0" w:after="283"/>
              <w:jc w:val="left"/>
              <w:rPr/>
            </w:pPr>
            <w:r>
              <w:rPr/>
              <w:t> </w:t>
            </w:r>
          </w:p>
        </w:tc>
      </w:tr>
      <w:tr>
        <w:trPr/>
        <w:tc>
          <w:tcPr>
            <w:tcW w:w="882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Compensation Committee</w:t>
            </w:r>
          </w:p>
        </w:tc>
        <w:tc>
          <w:tcPr>
            <w:tcW w:w="111"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19" w:type="dxa"/>
            <w:tcBorders/>
            <w:shd w:fill="CCEEFF" w:val="clear"/>
            <w:vAlign w:val="bottom"/>
          </w:tcPr>
          <w:p>
            <w:pPr>
              <w:pStyle w:val="TableContents"/>
              <w:spacing w:before="0" w:after="283"/>
              <w:jc w:val="left"/>
              <w:rPr/>
            </w:pPr>
            <w:r>
              <w:rPr/>
              <w:t> </w:t>
            </w:r>
          </w:p>
        </w:tc>
      </w:tr>
      <w:tr>
        <w:trPr/>
        <w:tc>
          <w:tcPr>
            <w:tcW w:w="882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Nominating &amp; Corporate Governance Committee</w:t>
            </w:r>
          </w:p>
        </w:tc>
        <w:tc>
          <w:tcPr>
            <w:tcW w:w="111"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27"/>
        <w:gridCol w:w="9855"/>
        <w:gridCol w:w="123"/>
      </w:tblGrid>
      <w:tr>
        <w:trPr/>
        <w:tc>
          <w:tcPr>
            <w:tcW w:w="22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5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These fees are in addition to the Annual Board Retainer Fee, as applicable.</w:t>
            </w:r>
          </w:p>
        </w:tc>
        <w:tc>
          <w:tcPr>
            <w:tcW w:w="123"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Non-employee directors are also reimbursed for their reasonable out-of-pocket expenses incurred in connection with attending Board and committee meetings.</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In June 2013, the Board of Directors approved a one-time grant of 6,865 restricted stock units to non-employee directors.  The RSUs vest in full 13 months from the date of grant.</w:t>
      </w:r>
    </w:p>
    <w:p>
      <w:pPr>
        <w:pStyle w:val="TextBody"/>
        <w:spacing w:before="0" w:after="0"/>
        <w:ind w:left="0" w:right="0" w:firstLine="540"/>
        <w:jc w:val="both"/>
        <w:rPr/>
      </w:pPr>
      <w:r>
        <w:rPr/>
        <w:t> </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 w:name="PGBRK14"/>
      <w:bookmarkStart w:id="172" w:name="PGBRK14"/>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FTR14"/>
      <w:bookmarkStart w:id="174" w:name="FTR14"/>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5" w:name="GLFTR14"/>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6" w:name="PN14"/>
      <w:bookmarkEnd w:id="176"/>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HDR14"/>
      <w:bookmarkStart w:id="178" w:name="HDR14"/>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9" w:name="GLHDR14"/>
      <w:bookmarkEnd w:id="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PROPOSAL NO. 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RATIFICATION OF SELECTION OF INDEPENDENT REGISTERED PUBLIC ACCOUNTING FIRM</w:t>
      </w:r>
    </w:p>
    <w:p>
      <w:pPr>
        <w:pStyle w:val="TextBody"/>
        <w:spacing w:before="0" w:after="0"/>
        <w:ind w:left="0" w:right="0" w:hanging="0"/>
        <w:jc w:val="center"/>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Board has selected KMJ Corbin &amp; Company LLP (“KMJ”) as our independent registered public accounting firm for the fiscal year ending December 31, 2013, and has further directed that management submit the selection of independent registered public accounting firm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Audit and All Other Fees</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Aggregate fees for professional services rendered to the Company by KMJ for the years ended December 31, 2012 and 2011, were: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54"/>
        <w:gridCol w:w="110"/>
        <w:gridCol w:w="128"/>
        <w:gridCol w:w="1037"/>
        <w:gridCol w:w="110"/>
        <w:gridCol w:w="110"/>
        <w:gridCol w:w="128"/>
        <w:gridCol w:w="1008"/>
        <w:gridCol w:w="120"/>
      </w:tblGrid>
      <w:tr>
        <w:trPr/>
        <w:tc>
          <w:tcPr>
            <w:tcW w:w="7454"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rPr/>
            </w:pPr>
            <w:r>
              <w:rPr/>
              <w:t> </w:t>
            </w:r>
          </w:p>
        </w:tc>
        <w:tc>
          <w:tcPr>
            <w:tcW w:w="1165"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2011</w:t>
            </w:r>
          </w:p>
        </w:tc>
        <w:tc>
          <w:tcPr>
            <w:tcW w:w="120" w:type="dxa"/>
            <w:tcBorders/>
            <w:shd w:fill="auto" w:val="clear"/>
            <w:vAlign w:val="bottom"/>
          </w:tcPr>
          <w:p>
            <w:pPr>
              <w:pStyle w:val="TableContents"/>
              <w:spacing w:before="0" w:after="283"/>
              <w:jc w:val="left"/>
              <w:rPr/>
            </w:pPr>
            <w:r>
              <w:rPr/>
              <w:t> </w:t>
            </w:r>
          </w:p>
        </w:tc>
      </w:tr>
      <w:tr>
        <w:trPr/>
        <w:tc>
          <w:tcPr>
            <w:tcW w:w="7454"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w:t>
            </w:r>
          </w:p>
        </w:tc>
        <w:tc>
          <w:tcPr>
            <w:tcW w:w="1165" w:type="dxa"/>
            <w:gridSpan w:val="2"/>
            <w:tcBorders/>
            <w:shd w:fill="auto" w:val="clear"/>
            <w:vAlign w:val="bottom"/>
          </w:tcPr>
          <w:p>
            <w:pPr>
              <w:pStyle w:val="TableContents"/>
              <w:spacing w:before="0" w:after="0"/>
              <w:ind w:left="0" w:right="36" w:hanging="0"/>
              <w:jc w:val="left"/>
              <w:rPr/>
            </w:pPr>
            <w:r>
              <w:rPr/>
              <w:t xml:space="preserve">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left"/>
              <w:rPr/>
            </w:pPr>
            <w:r>
              <w:rPr/>
              <w:t> </w:t>
            </w:r>
          </w:p>
        </w:tc>
        <w:tc>
          <w:tcPr>
            <w:tcW w:w="1136" w:type="dxa"/>
            <w:gridSpan w:val="2"/>
            <w:tcBorders/>
            <w:shd w:fill="auto" w:val="clear"/>
            <w:vAlign w:val="bottom"/>
          </w:tcPr>
          <w:p>
            <w:pPr>
              <w:pStyle w:val="TableContents"/>
              <w:spacing w:before="0" w:after="0"/>
              <w:ind w:left="0" w:right="36" w:hanging="0"/>
              <w:jc w:val="left"/>
              <w:rPr/>
            </w:pPr>
            <w:r>
              <w:rPr/>
              <w:t xml:space="preserve">  </w:t>
            </w:r>
          </w:p>
        </w:tc>
        <w:tc>
          <w:tcPr>
            <w:tcW w:w="120" w:type="dxa"/>
            <w:tcBorders/>
            <w:shd w:fill="auto"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Audit Fees</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0"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Audit-Related Fees</w:t>
            </w:r>
          </w:p>
        </w:tc>
        <w:tc>
          <w:tcPr>
            <w:tcW w:w="110"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76,032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Total</w:t>
            </w:r>
          </w:p>
        </w:tc>
        <w:tc>
          <w:tcPr>
            <w:tcW w:w="11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124,132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pPr>
      <w:r>
        <w:rPr/>
        <w:t>“</w:t>
      </w:r>
      <w:r>
        <w:rPr>
          <w:rFonts w:ascii="Times New Roman" w:hAnsi="Times New Roman"/>
          <w:sz w:val="20"/>
        </w:rPr>
        <w:t>Audit Fees” represent fees for professional services provided in connection with the audit of our annual financial statements, and review of financial statements included in our quarterly reports. “Audit-Related Fees” represent fees for professional services provided in connection with the review of our registration statements on Forms S-8 and S-1, and related services normally provided in connection with statutory and regulatory filings and engagements.   There were no Tax Fees or Other Fees billed by or paid to our principal accountant during the years ended December 31, 2012 and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Pre-approval Policy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Audit Committee pre-approves all services to be provided by KMJ.  KMJ performed no services, and no fees were incurred or paid, relating to financial information systems design and implementation. All fees paid to KMJ for fiscal 2012 and 2011 were pre-approved by our Board of Directors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Vote Required and Board of Directors’ Recommendation</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Approval of this proposal requires the affirmative vote of a majority of the voting power present at a meeting at which a quorum is present. Abstentions will be counted as present for purposes of determining the presence of a quorum and will have the same effect as a vote against this proposal. Broker non-votes will not result from the vote on Proposal 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THE BOARD OF DIRECTORS RECOMMENDS THAT STOCKHOLDERS VOTE </w:t>
      </w:r>
      <w:r>
        <w:rPr>
          <w:rFonts w:ascii="Times New Roman" w:hAnsi="Times New Roman"/>
          <w:b/>
          <w:sz w:val="20"/>
          <w:u w:val="single"/>
        </w:rPr>
        <w:t>FOR</w:t>
      </w:r>
      <w:r>
        <w:rPr>
          <w:rFonts w:ascii="Times New Roman" w:hAnsi="Times New Roman"/>
          <w:b/>
          <w:sz w:val="20"/>
        </w:rPr>
        <w:t xml:space="preserve"> THE RATIFICATION OF THE SELECTION OF KMJ CORBIN &amp; COMPANY LLP AS THE COMPANY’S INDEPENDENT REGISTERED PUBLIC ACCOUNTING FIRM FOR THE FISCAL YEAR ENDING DECEMBER 31, 2013.</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0" w:name="PGBRK15"/>
      <w:bookmarkStart w:id="181" w:name="PGBRK1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FTR15"/>
      <w:bookmarkStart w:id="183" w:name="FTR1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4" w:name="GLFTR15"/>
      <w:bookmarkEnd w:id="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5" w:name="PN15"/>
      <w:bookmarkEnd w:id="185"/>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HDR15"/>
      <w:bookmarkStart w:id="187" w:name="HDR15"/>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8" w:name="GLHDR15"/>
      <w:bookmarkEnd w:id="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PROPOSAL NO. 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ADVISORY VOTE ON NAMED EXECUTIVE OFFICER COMPENSATION</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Dodd-Frank Wall Street Reform and Consumer Protection Act of 2010 (the “Dodd-Frank Act”) added Section 14A to Securities Exchange Act of 1934, as amended (the “Exchange Act”), which enables our stockholders to vote to approve, on an advisory, non-binding basis, the compensation of our named executive officers as disclosed in this proxy statement in accordance with the Securities and Exchange Commission’s (“SEC”) rules.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pStyle w:val="TextBody"/>
        <w:spacing w:before="0" w:after="0"/>
        <w:ind w:left="0" w:right="0" w:firstLine="720"/>
        <w:jc w:val="both"/>
        <w:rPr/>
      </w:pPr>
      <w:r>
        <w:rPr/>
        <w:t> </w:t>
      </w:r>
    </w:p>
    <w:p>
      <w:pPr>
        <w:pStyle w:val="TextBody"/>
        <w:spacing w:before="0" w:after="0"/>
        <w:ind w:left="720" w:right="0" w:hanging="0"/>
        <w:jc w:val="both"/>
        <w:rPr/>
      </w:pPr>
      <w:r>
        <w:rPr/>
        <w:t>“</w:t>
      </w:r>
      <w:r>
        <w:rPr>
          <w:rFonts w:ascii="Times New Roman" w:hAnsi="Times New Roman"/>
          <w:sz w:val="20"/>
        </w:rPr>
        <w:t>RESOLVED, that the Company’s stockholders approve, on an advisory basis, the compensation of the named executive officers, as disclosed in the Company’s proxy statement for the 2013 Annual Meeting of Stockholders pursuant to the compensation disclosure rules of the Securities and Exchange Commission.”</w:t>
      </w:r>
    </w:p>
    <w:p>
      <w:pPr>
        <w:pStyle w:val="TextBody"/>
        <w:spacing w:before="0" w:after="0"/>
        <w:ind w:left="72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Vote Required and Board of Directors’ Recommendation</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Approval of this proposal requires the affirmative vote of a majority of the voting power present at a meeting at which a quorum is present. Abstentions and broker non-votes will have the same effect as a vote against this proposal.</w:t>
      </w:r>
    </w:p>
    <w:p>
      <w:pPr>
        <w:pStyle w:val="TextBody"/>
        <w:spacing w:before="0" w:after="0"/>
        <w:ind w:left="0" w:right="0" w:firstLine="72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THE BOARD OF DIRECTORS RECOMMENDS THAT STOCKHOLDERS VOTE </w:t>
      </w:r>
      <w:r>
        <w:rPr>
          <w:rFonts w:ascii="Times New Roman" w:hAnsi="Times New Roman"/>
          <w:b/>
          <w:sz w:val="20"/>
          <w:u w:val="single"/>
        </w:rPr>
        <w:t>FOR</w:t>
      </w:r>
      <w:r>
        <w:rPr>
          <w:rFonts w:ascii="Times New Roman" w:hAnsi="Times New Roman"/>
          <w:b/>
          <w:sz w:val="20"/>
        </w:rPr>
        <w:t xml:space="preserve"> THE APPROVAL OF THE COMPENSATION OF OUR NAMED EXECUTIVE OFFICERS ON AN ADVISORY BASIS, AS DISCLOSED IN THIS PROXY STATEMENT PURSUANT TO THE COMPENSATION DISCLOSURE RULES OF THE SEC.</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16"/>
      <w:bookmarkStart w:id="190" w:name="PGBRK1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FTR16"/>
      <w:bookmarkStart w:id="192" w:name="FTR16"/>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3" w:name="GLFTR16"/>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4" w:name="PN16"/>
      <w:bookmarkEnd w:id="194"/>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HDR16"/>
      <w:bookmarkStart w:id="196" w:name="HDR16"/>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 w:name="GLHDR16"/>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EXECUTIVE COMPENSATION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Our Executive Officers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Executive officers are elected by our Board and serve at its discretion. There are no familial relationships between any of our directors or our executive officers and any other director or executive officer. Set forth below is information regarding our executive officers as of June 30, 2013.</w:t>
      </w:r>
    </w:p>
    <w:p>
      <w:pPr>
        <w:pStyle w:val="TextBody"/>
        <w:spacing w:before="0" w:after="0"/>
        <w:ind w:left="0" w:right="0" w:firstLine="540"/>
        <w:jc w:val="both"/>
        <w:rPr/>
      </w:pPr>
      <w:r>
        <w:rPr/>
        <w:t> </w:t>
      </w:r>
    </w:p>
    <w:tbl>
      <w:tblPr>
        <w:tblW w:w="5000" w:type="pct"/>
        <w:jc w:val="left"/>
        <w:tblInd w:w="0" w:type="dxa"/>
        <w:tblCellMar>
          <w:top w:w="0" w:type="dxa"/>
          <w:left w:w="0" w:type="dxa"/>
          <w:bottom w:w="28" w:type="dxa"/>
          <w:right w:w="0" w:type="dxa"/>
        </w:tblCellMar>
      </w:tblPr>
      <w:tblGrid>
        <w:gridCol w:w="3368"/>
        <w:gridCol w:w="101"/>
        <w:gridCol w:w="5515"/>
        <w:gridCol w:w="101"/>
        <w:gridCol w:w="101"/>
        <w:gridCol w:w="918"/>
        <w:gridCol w:w="101"/>
      </w:tblGrid>
      <w:tr>
        <w:trPr/>
        <w:tc>
          <w:tcPr>
            <w:tcW w:w="3368"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Name</w:t>
            </w:r>
          </w:p>
        </w:tc>
        <w:tc>
          <w:tcPr>
            <w:tcW w:w="101" w:type="dxa"/>
            <w:tcBorders/>
            <w:shd w:fill="auto" w:val="clear"/>
            <w:tcMar>
              <w:bottom w:w="0" w:type="dxa"/>
            </w:tcMar>
            <w:vAlign w:val="bottom"/>
          </w:tcPr>
          <w:p>
            <w:pPr>
              <w:pStyle w:val="TableContents"/>
              <w:spacing w:before="0" w:after="283"/>
              <w:rPr/>
            </w:pPr>
            <w:r>
              <w:rPr/>
              <w:t> </w:t>
            </w:r>
          </w:p>
        </w:tc>
        <w:tc>
          <w:tcPr>
            <w:tcW w:w="5515"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Position</w:t>
            </w:r>
          </w:p>
        </w:tc>
        <w:tc>
          <w:tcPr>
            <w:tcW w:w="101" w:type="dxa"/>
            <w:tcBorders/>
            <w:shd w:fill="auto" w:val="clear"/>
            <w:tcMar>
              <w:bottom w:w="0" w:type="dxa"/>
            </w:tcMar>
            <w:vAlign w:val="bottom"/>
          </w:tcPr>
          <w:p>
            <w:pPr>
              <w:pStyle w:val="TableContents"/>
              <w:spacing w:before="0" w:after="283"/>
              <w:rPr/>
            </w:pPr>
            <w:r>
              <w:rPr/>
              <w:t> </w:t>
            </w:r>
          </w:p>
        </w:tc>
        <w:tc>
          <w:tcPr>
            <w:tcW w:w="101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Age</w:t>
            </w:r>
          </w:p>
        </w:tc>
        <w:tc>
          <w:tcPr>
            <w:tcW w:w="101" w:type="dxa"/>
            <w:tcBorders/>
            <w:shd w:fill="auto" w:val="clear"/>
            <w:tcMar>
              <w:bottom w:w="0" w:type="dxa"/>
            </w:tcMar>
            <w:vAlign w:val="bottom"/>
          </w:tcPr>
          <w:p>
            <w:pPr>
              <w:pStyle w:val="TableContents"/>
              <w:spacing w:before="0" w:after="283"/>
              <w:jc w:val="left"/>
              <w:rPr/>
            </w:pPr>
            <w:r>
              <w:rPr/>
              <w:t> </w:t>
            </w:r>
          </w:p>
        </w:tc>
      </w:tr>
      <w:tr>
        <w:trPr/>
        <w:tc>
          <w:tcPr>
            <w:tcW w:w="3368"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 L. Baum, J.D.</w:t>
            </w:r>
          </w:p>
        </w:tc>
        <w:tc>
          <w:tcPr>
            <w:tcW w:w="101" w:type="dxa"/>
            <w:tcBorders/>
            <w:shd w:fill="CCEEFF" w:val="clear"/>
            <w:tcMar>
              <w:bottom w:w="0" w:type="dxa"/>
            </w:tcMar>
            <w:vAlign w:val="bottom"/>
          </w:tcPr>
          <w:p>
            <w:pPr>
              <w:pStyle w:val="TableContents"/>
              <w:spacing w:before="0" w:after="283"/>
              <w:rPr/>
            </w:pPr>
            <w:r>
              <w:rPr/>
              <w:t> </w:t>
            </w:r>
          </w:p>
        </w:tc>
        <w:tc>
          <w:tcPr>
            <w:tcW w:w="5515"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 and Director</w:t>
            </w:r>
          </w:p>
        </w:tc>
        <w:tc>
          <w:tcPr>
            <w:tcW w:w="101" w:type="dxa"/>
            <w:tcBorders/>
            <w:shd w:fill="CCEEFF" w:val="clear"/>
            <w:tcMar>
              <w:bottom w:w="0" w:type="dxa"/>
            </w:tcMar>
            <w:vAlign w:val="bottom"/>
          </w:tcPr>
          <w:p>
            <w:pPr>
              <w:pStyle w:val="TableContents"/>
              <w:spacing w:before="0" w:after="283"/>
              <w:jc w:val="righ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3368"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Joachim P.H. Schupp, M.D.</w:t>
            </w:r>
          </w:p>
        </w:tc>
        <w:tc>
          <w:tcPr>
            <w:tcW w:w="101" w:type="dxa"/>
            <w:tcBorders/>
            <w:shd w:fill="FFFFFF" w:val="clear"/>
            <w:tcMar>
              <w:bottom w:w="0" w:type="dxa"/>
            </w:tcMar>
            <w:vAlign w:val="bottom"/>
          </w:tcPr>
          <w:p>
            <w:pPr>
              <w:pStyle w:val="TableContents"/>
              <w:spacing w:before="0" w:after="283"/>
              <w:rPr/>
            </w:pPr>
            <w:r>
              <w:rPr/>
              <w:t> </w:t>
            </w:r>
          </w:p>
        </w:tc>
        <w:tc>
          <w:tcPr>
            <w:tcW w:w="5515"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Chief Medical Officer</w:t>
            </w:r>
          </w:p>
        </w:tc>
        <w:tc>
          <w:tcPr>
            <w:tcW w:w="101" w:type="dxa"/>
            <w:tcBorders/>
            <w:shd w:fill="FFFFFF" w:val="clear"/>
            <w:tcMar>
              <w:bottom w:w="0" w:type="dxa"/>
            </w:tcMar>
            <w:vAlign w:val="bottom"/>
          </w:tcPr>
          <w:p>
            <w:pPr>
              <w:pStyle w:val="TableContents"/>
              <w:spacing w:before="0" w:after="283"/>
              <w:jc w:val="righ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3368"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Andrew R. Boll</w:t>
            </w:r>
          </w:p>
        </w:tc>
        <w:tc>
          <w:tcPr>
            <w:tcW w:w="101" w:type="dxa"/>
            <w:tcBorders/>
            <w:shd w:fill="CCEEFF" w:val="clear"/>
            <w:tcMar>
              <w:bottom w:w="0" w:type="dxa"/>
            </w:tcMar>
            <w:vAlign w:val="bottom"/>
          </w:tcPr>
          <w:p>
            <w:pPr>
              <w:pStyle w:val="TableContents"/>
              <w:spacing w:before="0" w:after="283"/>
              <w:rPr/>
            </w:pPr>
            <w:r>
              <w:rPr/>
              <w:t> </w:t>
            </w:r>
          </w:p>
        </w:tc>
        <w:tc>
          <w:tcPr>
            <w:tcW w:w="5515"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Vice-President, Accounting and Public Reporting</w:t>
            </w:r>
          </w:p>
        </w:tc>
        <w:tc>
          <w:tcPr>
            <w:tcW w:w="101" w:type="dxa"/>
            <w:tcBorders/>
            <w:shd w:fill="CCEEFF" w:val="clear"/>
            <w:tcMar>
              <w:bottom w:w="0" w:type="dxa"/>
            </w:tcMar>
            <w:vAlign w:val="bottom"/>
          </w:tcPr>
          <w:p>
            <w:pPr>
              <w:pStyle w:val="TableContents"/>
              <w:spacing w:before="0" w:after="283"/>
              <w:jc w:val="righ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Mr. Baum’s biographical information is included with those of the other members of our Board.</w:t>
      </w:r>
    </w:p>
    <w:p>
      <w:pPr>
        <w:pStyle w:val="TextBody"/>
        <w:spacing w:before="0" w:after="0"/>
        <w:ind w:left="0" w:right="0" w:firstLine="54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Joachim Schupp, M.D. </w:t>
      </w:r>
      <w:r>
        <w:rPr>
          <w:rFonts w:ascii="Times New Roman" w:hAnsi="Times New Roman"/>
          <w:sz w:val="20"/>
        </w:rPr>
        <w:t>has been the Chief Medical Officer of the Company since February 2012. Dr. Schupp has more than 25 years of leadership 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April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pStyle w:val="TextBody"/>
        <w:spacing w:before="0" w:after="0"/>
        <w:ind w:left="0" w:right="0" w:firstLine="54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Andrew R. Boll </w:t>
      </w:r>
      <w:r>
        <w:rPr>
          <w:rFonts w:ascii="Times New Roman" w:hAnsi="Times New Roman"/>
          <w:sz w:val="20"/>
        </w:rPr>
        <w:t xml:space="preserve">has been our Vice President of Accounting and Financial Reporting since February 2012 and was a consultant to the Company from December 2011 to February 2012. Mr. Boll has several years of experience in financial reporting and accounting, including four years of experience working with small publicly traded companies, with a particular focus on restructured and reorganized businesses. From November 2007 to November 2011, Mr. Boll was a fund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Times New Roman" w:hAnsi="Times New Roman"/>
          <w:i/>
          <w:sz w:val="20"/>
        </w:rPr>
        <w:t>summa cum laude,</w:t>
      </w:r>
      <w:r>
        <w:rPr>
          <w:rFonts w:ascii="Times New Roman" w:hAnsi="Times New Roman"/>
          <w:sz w:val="20"/>
        </w:rPr>
        <w:t xml:space="preserve"> from Huron University and is a member of the Institute of Management Accountants.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Summary Compensation 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bookmarkStart w:id="198" w:name="fis_compensation_table"/>
      <w:bookmarkEnd w:id="198"/>
      <w:r>
        <w:rPr>
          <w:rFonts w:ascii="Times New Roman" w:hAnsi="Times New Roman"/>
          <w:sz w:val="20"/>
        </w:rPr>
        <w:t>The following table summarizes compensation earned by or awarded or paid to our principal executive officer and our other two most highly compensated executive officers (our “named executive officers”). Also included is compensation information for our Vice President, Accounting and Public Reporting (our Principal Accounting and Financial Officer).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May 7, 2013, Dr. Balbir Brar resigned from his position as President with the Company and no longer serves as an executive officer.  Dr. Brar continues to serve as a Senior Advisor to the Company, focusing on pre-clinical safety matters.</w:t>
      </w:r>
    </w:p>
    <w:p>
      <w:pPr>
        <w:pStyle w:val="TextBody"/>
        <w:spacing w:before="0" w:after="0"/>
        <w:ind w:left="0" w:right="0" w:firstLine="720"/>
        <w:jc w:val="both"/>
        <w:rPr/>
      </w:pPr>
      <w:r>
        <w:rPr/>
        <w:t> </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9" w:name="PGBRK17"/>
      <w:bookmarkStart w:id="200" w:name="PGBRK17"/>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 w:name="FTR17"/>
      <w:bookmarkStart w:id="202" w:name="FTR17"/>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3" w:name="GLFTR17"/>
      <w:bookmarkEnd w:id="2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4" w:name="PN17"/>
      <w:bookmarkEnd w:id="204"/>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HDR17"/>
      <w:bookmarkStart w:id="206" w:name="HDR17"/>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7" w:name="GLHDR17"/>
      <w:bookmarkEnd w:id="2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2429"/>
        <w:gridCol w:w="88"/>
        <w:gridCol w:w="636"/>
        <w:gridCol w:w="88"/>
        <w:gridCol w:w="143"/>
        <w:gridCol w:w="927"/>
        <w:gridCol w:w="88"/>
        <w:gridCol w:w="88"/>
        <w:gridCol w:w="143"/>
        <w:gridCol w:w="927"/>
        <w:gridCol w:w="245"/>
        <w:gridCol w:w="88"/>
        <w:gridCol w:w="143"/>
        <w:gridCol w:w="927"/>
        <w:gridCol w:w="245"/>
        <w:gridCol w:w="88"/>
        <w:gridCol w:w="193"/>
        <w:gridCol w:w="1076"/>
        <w:gridCol w:w="245"/>
        <w:gridCol w:w="88"/>
        <w:gridCol w:w="143"/>
        <w:gridCol w:w="1054"/>
        <w:gridCol w:w="113"/>
      </w:tblGrid>
      <w:tr>
        <w:trPr/>
        <w:tc>
          <w:tcPr>
            <w:tcW w:w="2429" w:type="dxa"/>
            <w:tcBorders>
              <w:bottom w:val="single" w:sz="12" w:space="0" w:color="000000"/>
            </w:tcBorders>
            <w:shd w:fill="auto" w:val="clear"/>
            <w:vAlign w:val="bottom"/>
          </w:tcPr>
          <w:p>
            <w:pPr>
              <w:pStyle w:val="TableContents"/>
              <w:spacing w:before="0" w:after="0"/>
              <w:rPr>
                <w:rFonts w:ascii="times new roman" w:hAnsi="times new roman"/>
                <w:sz w:val="20"/>
              </w:rPr>
            </w:pPr>
            <w:r>
              <w:rPr>
                <w:rFonts w:ascii="times new roman" w:hAnsi="times new roman"/>
                <w:b/>
                <w:sz w:val="16"/>
              </w:rPr>
              <w:t>Name and</w:t>
            </w:r>
            <w:r>
              <w:rPr>
                <w:rFonts w:ascii="times new roman" w:hAnsi="times new roman"/>
                <w:sz w:val="20"/>
              </w:rPr>
              <w:t xml:space="preserve"> </w:t>
            </w:r>
          </w:p>
          <w:p>
            <w:pPr>
              <w:pStyle w:val="TableContents"/>
              <w:spacing w:before="0" w:after="0"/>
              <w:ind w:left="0" w:right="0" w:hanging="0"/>
              <w:jc w:val="both"/>
              <w:rPr>
                <w:rFonts w:ascii="times new roman" w:hAnsi="times new roman"/>
                <w:b/>
                <w:sz w:val="16"/>
              </w:rPr>
            </w:pPr>
            <w:r>
              <w:rPr>
                <w:rFonts w:ascii="times new roman" w:hAnsi="times new roman"/>
                <w:b/>
                <w:sz w:val="16"/>
              </w:rPr>
              <w:t>Principal Position</w:t>
            </w:r>
          </w:p>
        </w:tc>
        <w:tc>
          <w:tcPr>
            <w:tcW w:w="88" w:type="dxa"/>
            <w:tcBorders/>
            <w:shd w:fill="auto" w:val="clear"/>
            <w:tcMar>
              <w:bottom w:w="0" w:type="dxa"/>
            </w:tcMar>
            <w:vAlign w:val="bottom"/>
          </w:tcPr>
          <w:p>
            <w:pPr>
              <w:pStyle w:val="TableContents"/>
              <w:spacing w:before="0" w:after="283"/>
              <w:rPr/>
            </w:pPr>
            <w:r>
              <w:rPr/>
              <w:t> </w:t>
            </w:r>
          </w:p>
        </w:tc>
        <w:tc>
          <w:tcPr>
            <w:tcW w:w="636" w:type="dxa"/>
            <w:tcBorders>
              <w:bottom w:val="single" w:sz="12" w:space="0" w:color="000000"/>
            </w:tcBorders>
            <w:shd w:fill="auto" w:val="clear"/>
            <w:vAlign w:val="bottom"/>
          </w:tcPr>
          <w:p>
            <w:pPr>
              <w:pStyle w:val="TableContents"/>
              <w:spacing w:before="0" w:after="0"/>
              <w:rPr/>
            </w:pPr>
            <w:r>
              <w:rPr/>
              <w:t xml:space="preserve">  </w:t>
            </w:r>
          </w:p>
          <w:p>
            <w:pPr>
              <w:pStyle w:val="TableContents"/>
              <w:spacing w:before="0" w:after="0"/>
              <w:ind w:left="0" w:right="0" w:hanging="0"/>
              <w:jc w:val="center"/>
              <w:rPr>
                <w:rFonts w:ascii="times new roman" w:hAnsi="times new roman"/>
                <w:b/>
                <w:sz w:val="16"/>
              </w:rPr>
            </w:pPr>
            <w:r>
              <w:rPr>
                <w:rFonts w:ascii="times new roman" w:hAnsi="times new roman"/>
                <w:b/>
                <w:sz w:val="16"/>
              </w:rPr>
              <w:t>Year</w:t>
            </w:r>
          </w:p>
        </w:tc>
        <w:tc>
          <w:tcPr>
            <w:tcW w:w="88" w:type="dxa"/>
            <w:tcBorders/>
            <w:shd w:fill="auto" w:val="clear"/>
            <w:tcMar>
              <w:bottom w:w="0" w:type="dxa"/>
            </w:tcMar>
            <w:vAlign w:val="bottom"/>
          </w:tcPr>
          <w:p>
            <w:pPr>
              <w:pStyle w:val="TableContents"/>
              <w:spacing w:before="0" w:after="283"/>
              <w:jc w:val="center"/>
              <w:rPr/>
            </w:pPr>
            <w:r>
              <w:rPr/>
              <w:t> </w:t>
            </w:r>
          </w:p>
        </w:tc>
        <w:tc>
          <w:tcPr>
            <w:tcW w:w="1070" w:type="dxa"/>
            <w:gridSpan w:val="2"/>
            <w:tcBorders>
              <w:bottom w:val="single" w:sz="12" w:space="0" w:color="000000"/>
            </w:tcBorders>
            <w:shd w:fill="auto" w:val="clear"/>
            <w:vAlign w:val="bottom"/>
          </w:tcPr>
          <w:p>
            <w:pPr>
              <w:pStyle w:val="TableContents"/>
              <w:spacing w:before="0" w:after="283"/>
              <w:jc w:val="center"/>
              <w:rPr/>
            </w:pPr>
            <w:r>
              <w:rPr/>
              <w:t xml:space="preserve">  </w:t>
            </w:r>
            <w:r>
              <w:rPr>
                <w:rFonts w:ascii="times new roman" w:hAnsi="times new roman"/>
                <w:b/>
                <w:sz w:val="16"/>
              </w:rPr>
              <w:t>Salary</w:t>
            </w:r>
          </w:p>
        </w:tc>
        <w:tc>
          <w:tcPr>
            <w:tcW w:w="88" w:type="dxa"/>
            <w:tcBorders/>
            <w:shd w:fill="auto" w:val="clear"/>
            <w:tcMar>
              <w:bottom w:w="0" w:type="dxa"/>
            </w:tcMar>
            <w:vAlign w:val="bottom"/>
          </w:tcPr>
          <w:p>
            <w:pPr>
              <w:pStyle w:val="TableContents"/>
              <w:spacing w:before="0" w:after="283"/>
              <w:jc w:val="center"/>
              <w:rPr/>
            </w:pPr>
            <w:r>
              <w:rPr/>
              <w:t> </w:t>
            </w:r>
          </w:p>
        </w:tc>
        <w:tc>
          <w:tcPr>
            <w:tcW w:w="88" w:type="dxa"/>
            <w:tcBorders/>
            <w:shd w:fill="auto" w:val="clear"/>
            <w:tcMar>
              <w:bottom w:w="0" w:type="dxa"/>
            </w:tcMar>
            <w:vAlign w:val="bottom"/>
          </w:tcPr>
          <w:p>
            <w:pPr>
              <w:pStyle w:val="TableContents"/>
              <w:spacing w:before="0" w:after="283"/>
              <w:jc w:val="center"/>
              <w:rPr/>
            </w:pPr>
            <w:r>
              <w:rPr/>
              <w:t> </w:t>
            </w:r>
          </w:p>
        </w:tc>
        <w:tc>
          <w:tcPr>
            <w:tcW w:w="1070" w:type="dxa"/>
            <w:gridSpan w:val="2"/>
            <w:tcBorders>
              <w:bottom w:val="single" w:sz="12" w:space="0" w:color="000000"/>
            </w:tcBorders>
            <w:shd w:fill="auto" w:val="clear"/>
            <w:vAlign w:val="bottom"/>
          </w:tcPr>
          <w:p>
            <w:pPr>
              <w:pStyle w:val="TableContents"/>
              <w:spacing w:before="0" w:after="283"/>
              <w:jc w:val="center"/>
              <w:rPr/>
            </w:pPr>
            <w:r>
              <w:rPr/>
              <w:t xml:space="preserve">  </w:t>
            </w:r>
            <w:r>
              <w:rPr>
                <w:rFonts w:ascii="times new roman" w:hAnsi="times new roman"/>
                <w:b/>
                <w:sz w:val="16"/>
              </w:rPr>
              <w:t>Stock Awards</w:t>
              <w:br/>
              <w:t>(1)</w:t>
            </w:r>
          </w:p>
        </w:tc>
        <w:tc>
          <w:tcPr>
            <w:tcW w:w="245" w:type="dxa"/>
            <w:tcBorders/>
            <w:shd w:fill="auto" w:val="clear"/>
            <w:tcMar>
              <w:bottom w:w="0" w:type="dxa"/>
            </w:tcMar>
            <w:vAlign w:val="bottom"/>
          </w:tcPr>
          <w:p>
            <w:pPr>
              <w:pStyle w:val="TableContents"/>
              <w:spacing w:before="0" w:after="283"/>
              <w:jc w:val="center"/>
              <w:rPr/>
            </w:pPr>
            <w:r>
              <w:rPr/>
              <w:t> </w:t>
            </w:r>
          </w:p>
        </w:tc>
        <w:tc>
          <w:tcPr>
            <w:tcW w:w="88" w:type="dxa"/>
            <w:tcBorders/>
            <w:shd w:fill="auto" w:val="clear"/>
            <w:tcMar>
              <w:bottom w:w="0" w:type="dxa"/>
            </w:tcMar>
            <w:vAlign w:val="bottom"/>
          </w:tcPr>
          <w:p>
            <w:pPr>
              <w:pStyle w:val="TableContents"/>
              <w:spacing w:before="0" w:after="283"/>
              <w:jc w:val="center"/>
              <w:rPr/>
            </w:pPr>
            <w:r>
              <w:rPr/>
              <w:t> </w:t>
            </w:r>
          </w:p>
        </w:tc>
        <w:tc>
          <w:tcPr>
            <w:tcW w:w="1070" w:type="dxa"/>
            <w:gridSpan w:val="2"/>
            <w:tcBorders>
              <w:bottom w:val="single" w:sz="12" w:space="0" w:color="000000"/>
            </w:tcBorders>
            <w:shd w:fill="auto" w:val="clear"/>
            <w:vAlign w:val="bottom"/>
          </w:tcPr>
          <w:p>
            <w:pPr>
              <w:pStyle w:val="TableContents"/>
              <w:spacing w:before="0" w:after="283"/>
              <w:jc w:val="center"/>
              <w:rPr/>
            </w:pPr>
            <w:r>
              <w:rPr/>
              <w:t xml:space="preserve">  </w:t>
            </w:r>
            <w:r>
              <w:rPr>
                <w:rFonts w:ascii="times new roman" w:hAnsi="times new roman"/>
                <w:b/>
                <w:sz w:val="16"/>
              </w:rPr>
              <w:t>Option Awards</w:t>
              <w:br/>
              <w:t>(2)</w:t>
            </w:r>
          </w:p>
        </w:tc>
        <w:tc>
          <w:tcPr>
            <w:tcW w:w="245" w:type="dxa"/>
            <w:tcBorders/>
            <w:shd w:fill="auto" w:val="clear"/>
            <w:tcMar>
              <w:bottom w:w="0" w:type="dxa"/>
            </w:tcMar>
            <w:vAlign w:val="bottom"/>
          </w:tcPr>
          <w:p>
            <w:pPr>
              <w:pStyle w:val="TableContents"/>
              <w:spacing w:before="0" w:after="283"/>
              <w:jc w:val="center"/>
              <w:rPr/>
            </w:pPr>
            <w:r>
              <w:rPr/>
              <w:t> </w:t>
            </w:r>
          </w:p>
        </w:tc>
        <w:tc>
          <w:tcPr>
            <w:tcW w:w="88" w:type="dxa"/>
            <w:tcBorders/>
            <w:shd w:fill="auto" w:val="clear"/>
            <w:tcMar>
              <w:bottom w:w="0" w:type="dxa"/>
            </w:tcMar>
            <w:vAlign w:val="bottom"/>
          </w:tcPr>
          <w:p>
            <w:pPr>
              <w:pStyle w:val="TableContents"/>
              <w:spacing w:before="0" w:after="283"/>
              <w:jc w:val="center"/>
              <w:rPr/>
            </w:pPr>
            <w:r>
              <w:rPr/>
              <w:t> </w:t>
            </w:r>
          </w:p>
        </w:tc>
        <w:tc>
          <w:tcPr>
            <w:tcW w:w="1269" w:type="dxa"/>
            <w:gridSpan w:val="2"/>
            <w:tcBorders>
              <w:bottom w:val="single" w:sz="12" w:space="0" w:color="000000"/>
            </w:tcBorders>
            <w:shd w:fill="auto" w:val="clear"/>
            <w:vAlign w:val="bottom"/>
          </w:tcPr>
          <w:p>
            <w:pPr>
              <w:pStyle w:val="TableContents"/>
              <w:spacing w:before="0" w:after="283"/>
              <w:jc w:val="center"/>
              <w:rPr/>
            </w:pPr>
            <w:r>
              <w:rPr/>
              <w:t xml:space="preserve">  </w:t>
            </w:r>
            <w:r>
              <w:rPr>
                <w:rFonts w:ascii="times new roman" w:hAnsi="times new roman"/>
                <w:b/>
                <w:sz w:val="16"/>
              </w:rPr>
              <w:t>All Other Compensation</w:t>
            </w:r>
          </w:p>
        </w:tc>
        <w:tc>
          <w:tcPr>
            <w:tcW w:w="245" w:type="dxa"/>
            <w:tcBorders/>
            <w:shd w:fill="auto" w:val="clear"/>
            <w:tcMar>
              <w:bottom w:w="0" w:type="dxa"/>
            </w:tcMar>
            <w:vAlign w:val="bottom"/>
          </w:tcPr>
          <w:p>
            <w:pPr>
              <w:pStyle w:val="TableContents"/>
              <w:spacing w:before="0" w:after="283"/>
              <w:jc w:val="center"/>
              <w:rPr/>
            </w:pPr>
            <w:r>
              <w:rPr/>
              <w:t> </w:t>
            </w:r>
          </w:p>
        </w:tc>
        <w:tc>
          <w:tcPr>
            <w:tcW w:w="88" w:type="dxa"/>
            <w:tcBorders/>
            <w:shd w:fill="auto" w:val="clear"/>
            <w:tcMar>
              <w:bottom w:w="0" w:type="dxa"/>
            </w:tcMar>
            <w:vAlign w:val="bottom"/>
          </w:tcPr>
          <w:p>
            <w:pPr>
              <w:pStyle w:val="TableContents"/>
              <w:spacing w:before="0" w:after="283"/>
              <w:jc w:val="center"/>
              <w:rPr/>
            </w:pPr>
            <w:r>
              <w:rPr/>
              <w:t> </w:t>
            </w:r>
          </w:p>
        </w:tc>
        <w:tc>
          <w:tcPr>
            <w:tcW w:w="1197" w:type="dxa"/>
            <w:gridSpan w:val="2"/>
            <w:tcBorders>
              <w:bottom w:val="single" w:sz="12" w:space="0" w:color="000000"/>
            </w:tcBorders>
            <w:shd w:fill="auto" w:val="clear"/>
            <w:vAlign w:val="bottom"/>
          </w:tcPr>
          <w:p>
            <w:pPr>
              <w:pStyle w:val="TableContents"/>
              <w:spacing w:before="0" w:after="283"/>
              <w:jc w:val="center"/>
              <w:rPr/>
            </w:pPr>
            <w:r>
              <w:rPr/>
              <w:t xml:space="preserve">  </w:t>
            </w:r>
            <w:r>
              <w:rPr>
                <w:rFonts w:ascii="times new roman" w:hAnsi="times new roman"/>
                <w:b/>
                <w:sz w:val="16"/>
              </w:rPr>
              <w:t>Total</w:t>
            </w:r>
          </w:p>
        </w:tc>
        <w:tc>
          <w:tcPr>
            <w:tcW w:w="113" w:type="dxa"/>
            <w:tcBorders/>
            <w:shd w:fill="auto" w:val="clear"/>
            <w:tcMar>
              <w:bottom w:w="0" w:type="dxa"/>
            </w:tcMar>
            <w:vAlign w:val="bottom"/>
          </w:tcPr>
          <w:p>
            <w:pPr>
              <w:pStyle w:val="TableContents"/>
              <w:spacing w:before="0" w:after="283"/>
              <w:jc w:val="left"/>
              <w:rPr/>
            </w:pPr>
            <w:r>
              <w:rPr/>
              <w:t> </w:t>
            </w:r>
          </w:p>
        </w:tc>
      </w:tr>
      <w:tr>
        <w:trPr/>
        <w:tc>
          <w:tcPr>
            <w:tcW w:w="242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 L. Baum, J.D.</w:t>
            </w:r>
          </w:p>
        </w:tc>
        <w:tc>
          <w:tcPr>
            <w:tcW w:w="88" w:type="dxa"/>
            <w:tcBorders/>
            <w:shd w:fill="CCEEFF" w:val="clear"/>
            <w:tcMar>
              <w:bottom w:w="0" w:type="dxa"/>
            </w:tcMar>
            <w:vAlign w:val="bottom"/>
          </w:tcPr>
          <w:p>
            <w:pPr>
              <w:pStyle w:val="TableContents"/>
              <w:spacing w:before="0" w:after="283"/>
              <w:rPr/>
            </w:pPr>
            <w:r>
              <w:rPr/>
              <w:t> </w:t>
            </w:r>
          </w:p>
        </w:tc>
        <w:tc>
          <w:tcPr>
            <w:tcW w:w="63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150,300</w:t>
            </w:r>
          </w:p>
        </w:tc>
        <w:tc>
          <w:tcPr>
            <w:tcW w:w="88"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520,000</w:t>
            </w:r>
          </w:p>
        </w:tc>
        <w:tc>
          <w:tcPr>
            <w:tcW w:w="2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655,773</w:t>
            </w:r>
          </w:p>
        </w:tc>
        <w:tc>
          <w:tcPr>
            <w:tcW w:w="2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88" w:type="dxa"/>
            <w:tcBorders/>
            <w:shd w:fill="CCEEFF" w:val="clear"/>
            <w:tcMar>
              <w:bottom w:w="0" w:type="dxa"/>
            </w:tcMar>
            <w:vAlign w:val="bottom"/>
          </w:tcPr>
          <w:p>
            <w:pPr>
              <w:pStyle w:val="TableContents"/>
              <w:spacing w:before="0" w:after="283"/>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0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1,326,073</w:t>
            </w:r>
          </w:p>
        </w:tc>
        <w:tc>
          <w:tcPr>
            <w:tcW w:w="113" w:type="dxa"/>
            <w:tcBorders/>
            <w:shd w:fill="CCEEFF" w:val="clear"/>
            <w:tcMar>
              <w:bottom w:w="0" w:type="dxa"/>
            </w:tcMar>
            <w:vAlign w:val="bottom"/>
          </w:tcPr>
          <w:p>
            <w:pPr>
              <w:pStyle w:val="TableContents"/>
              <w:spacing w:before="0" w:after="283"/>
              <w:jc w:val="left"/>
              <w:rPr/>
            </w:pPr>
            <w:r>
              <w:rPr/>
              <w:t> </w:t>
            </w:r>
          </w:p>
        </w:tc>
      </w:tr>
      <w:tr>
        <w:trPr/>
        <w:tc>
          <w:tcPr>
            <w:tcW w:w="2429" w:type="dxa"/>
            <w:tcBorders/>
            <w:shd w:fill="CCEEFF" w:val="clear"/>
            <w:tcMar>
              <w:bottom w:w="0" w:type="dxa"/>
            </w:tcMar>
            <w:vAlign w:val="bottom"/>
          </w:tcPr>
          <w:p>
            <w:pPr>
              <w:pStyle w:val="TableContents"/>
              <w:spacing w:before="0" w:after="0"/>
              <w:ind w:left="0" w:right="0" w:hanging="0"/>
              <w:jc w:val="both"/>
              <w:rPr/>
            </w:pPr>
            <w:r>
              <w:rPr/>
              <w:t>  </w:t>
            </w:r>
            <w:r>
              <w:rPr>
                <w:rFonts w:ascii="times new roman" w:hAnsi="times new roman"/>
                <w:sz w:val="20"/>
              </w:rPr>
              <w:t>Chief Executive Officer</w:t>
            </w:r>
          </w:p>
        </w:tc>
        <w:tc>
          <w:tcPr>
            <w:tcW w:w="88" w:type="dxa"/>
            <w:tcBorders/>
            <w:shd w:fill="CCEEFF" w:val="clear"/>
            <w:tcMar>
              <w:bottom w:w="0" w:type="dxa"/>
            </w:tcMar>
            <w:vAlign w:val="bottom"/>
          </w:tcPr>
          <w:p>
            <w:pPr>
              <w:pStyle w:val="TableContents"/>
              <w:spacing w:before="0" w:after="283"/>
              <w:rPr/>
            </w:pPr>
            <w:r>
              <w:rPr/>
              <w:t> </w:t>
            </w:r>
          </w:p>
        </w:tc>
        <w:tc>
          <w:tcPr>
            <w:tcW w:w="63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8"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0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tcMar>
              <w:bottom w:w="0" w:type="dxa"/>
            </w:tcMar>
            <w:vAlign w:val="bottom"/>
          </w:tcPr>
          <w:p>
            <w:pPr>
              <w:pStyle w:val="TableContents"/>
              <w:spacing w:before="0" w:after="283"/>
              <w:jc w:val="left"/>
              <w:rPr/>
            </w:pPr>
            <w:r>
              <w:rPr/>
              <w:t> </w:t>
            </w:r>
          </w:p>
        </w:tc>
      </w:tr>
      <w:tr>
        <w:trPr/>
        <w:tc>
          <w:tcPr>
            <w:tcW w:w="2429" w:type="dxa"/>
            <w:tcBorders/>
            <w:shd w:fill="auto" w:val="clear"/>
            <w:tcMar>
              <w:bottom w:w="0" w:type="dxa"/>
            </w:tcMar>
            <w:vAlign w:val="bottom"/>
          </w:tcPr>
          <w:p>
            <w:pPr>
              <w:pStyle w:val="TableContents"/>
              <w:spacing w:before="0" w:after="283"/>
              <w:rPr/>
            </w:pPr>
            <w:r>
              <w:rPr/>
              <w:t xml:space="preserve">  </w:t>
            </w:r>
          </w:p>
        </w:tc>
        <w:tc>
          <w:tcPr>
            <w:tcW w:w="88" w:type="dxa"/>
            <w:tcBorders/>
            <w:shd w:fill="auto" w:val="clear"/>
            <w:tcMar>
              <w:bottom w:w="0" w:type="dxa"/>
            </w:tcMar>
            <w:vAlign w:val="bottom"/>
          </w:tcPr>
          <w:p>
            <w:pPr>
              <w:pStyle w:val="TableContents"/>
              <w:spacing w:before="0" w:after="283"/>
              <w:rPr/>
            </w:pPr>
            <w:r>
              <w:rPr/>
              <w:t> </w:t>
            </w:r>
          </w:p>
        </w:tc>
        <w:tc>
          <w:tcPr>
            <w:tcW w:w="636" w:type="dxa"/>
            <w:tcBorders/>
            <w:shd w:fill="auto" w:val="clear"/>
            <w:tcMar>
              <w:bottom w:w="0" w:type="dxa"/>
            </w:tcMar>
            <w:vAlign w:val="bottom"/>
          </w:tcPr>
          <w:p>
            <w:pPr>
              <w:pStyle w:val="TableContents"/>
              <w:spacing w:before="0" w:after="283"/>
              <w:rPr/>
            </w:pPr>
            <w:r>
              <w:rPr/>
              <w:t xml:space="preserve">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88"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93" w:type="dxa"/>
            <w:tcBorders/>
            <w:shd w:fill="auto" w:val="clear"/>
            <w:tcMar>
              <w:bottom w:w="0" w:type="dxa"/>
            </w:tcMar>
            <w:vAlign w:val="bottom"/>
          </w:tcPr>
          <w:p>
            <w:pPr>
              <w:pStyle w:val="TableContents"/>
              <w:spacing w:before="0" w:after="283"/>
              <w:jc w:val="left"/>
              <w:rPr/>
            </w:pPr>
            <w:r>
              <w:rPr/>
              <w:t> </w:t>
            </w:r>
          </w:p>
        </w:tc>
        <w:tc>
          <w:tcPr>
            <w:tcW w:w="1076"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1054" w:type="dxa"/>
            <w:tcBorders/>
            <w:shd w:fill="auto" w:val="clear"/>
            <w:tcMar>
              <w:bottom w:w="0" w:type="dxa"/>
            </w:tcMar>
            <w:vAlign w:val="bottom"/>
          </w:tcPr>
          <w:p>
            <w:pPr>
              <w:pStyle w:val="TableContents"/>
              <w:spacing w:before="0" w:after="283"/>
              <w:jc w:val="right"/>
              <w:rPr/>
            </w:pPr>
            <w:r>
              <w:rPr/>
              <w:t> </w:t>
            </w:r>
          </w:p>
        </w:tc>
        <w:tc>
          <w:tcPr>
            <w:tcW w:w="113" w:type="dxa"/>
            <w:tcBorders/>
            <w:shd w:fill="auto" w:val="clear"/>
            <w:tcMar>
              <w:bottom w:w="0" w:type="dxa"/>
            </w:tcMar>
            <w:vAlign w:val="bottom"/>
          </w:tcPr>
          <w:p>
            <w:pPr>
              <w:pStyle w:val="TableContents"/>
              <w:spacing w:before="0" w:after="283"/>
              <w:jc w:val="left"/>
              <w:rPr/>
            </w:pPr>
            <w:r>
              <w:rPr/>
              <w:t> </w:t>
            </w:r>
          </w:p>
        </w:tc>
      </w:tr>
      <w:tr>
        <w:trPr/>
        <w:tc>
          <w:tcPr>
            <w:tcW w:w="242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Joachim P.H. Schupp, M.D.</w:t>
            </w:r>
          </w:p>
        </w:tc>
        <w:tc>
          <w:tcPr>
            <w:tcW w:w="88" w:type="dxa"/>
            <w:tcBorders/>
            <w:shd w:fill="CCEEFF" w:val="clear"/>
            <w:tcMar>
              <w:bottom w:w="0" w:type="dxa"/>
            </w:tcMar>
            <w:vAlign w:val="bottom"/>
          </w:tcPr>
          <w:p>
            <w:pPr>
              <w:pStyle w:val="TableContents"/>
              <w:spacing w:before="0" w:after="283"/>
              <w:rPr/>
            </w:pPr>
            <w:r>
              <w:rPr/>
              <w:t> </w:t>
            </w:r>
          </w:p>
        </w:tc>
        <w:tc>
          <w:tcPr>
            <w:tcW w:w="63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178,500</w:t>
            </w:r>
          </w:p>
        </w:tc>
        <w:tc>
          <w:tcPr>
            <w:tcW w:w="88"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260,100</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9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29,134</w:t>
            </w:r>
          </w:p>
        </w:tc>
        <w:tc>
          <w:tcPr>
            <w:tcW w:w="2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467,734</w:t>
            </w:r>
          </w:p>
        </w:tc>
        <w:tc>
          <w:tcPr>
            <w:tcW w:w="113" w:type="dxa"/>
            <w:tcBorders/>
            <w:shd w:fill="CCEEFF" w:val="clear"/>
            <w:tcMar>
              <w:bottom w:w="0" w:type="dxa"/>
            </w:tcMar>
            <w:vAlign w:val="bottom"/>
          </w:tcPr>
          <w:p>
            <w:pPr>
              <w:pStyle w:val="TableContents"/>
              <w:spacing w:before="0" w:after="283"/>
              <w:jc w:val="left"/>
              <w:rPr/>
            </w:pPr>
            <w:r>
              <w:rPr/>
              <w:t> </w:t>
            </w:r>
          </w:p>
        </w:tc>
      </w:tr>
      <w:tr>
        <w:trPr/>
        <w:tc>
          <w:tcPr>
            <w:tcW w:w="2429" w:type="dxa"/>
            <w:tcBorders/>
            <w:shd w:fill="CCEEFF" w:val="clear"/>
            <w:tcMar>
              <w:bottom w:w="0" w:type="dxa"/>
            </w:tcMar>
            <w:vAlign w:val="bottom"/>
          </w:tcPr>
          <w:p>
            <w:pPr>
              <w:pStyle w:val="TableContents"/>
              <w:spacing w:before="0" w:after="0"/>
              <w:ind w:left="0" w:right="0" w:hanging="0"/>
              <w:jc w:val="both"/>
              <w:rPr/>
            </w:pPr>
            <w:r>
              <w:rPr/>
              <w:t>  </w:t>
            </w:r>
            <w:r>
              <w:rPr>
                <w:rFonts w:ascii="times new roman" w:hAnsi="times new roman"/>
                <w:sz w:val="20"/>
              </w:rPr>
              <w:t>Chief Medical Officer</w:t>
            </w:r>
          </w:p>
        </w:tc>
        <w:tc>
          <w:tcPr>
            <w:tcW w:w="88" w:type="dxa"/>
            <w:tcBorders/>
            <w:shd w:fill="CCEEFF" w:val="clear"/>
            <w:tcMar>
              <w:bottom w:w="0" w:type="dxa"/>
            </w:tcMar>
            <w:vAlign w:val="bottom"/>
          </w:tcPr>
          <w:p>
            <w:pPr>
              <w:pStyle w:val="TableContents"/>
              <w:spacing w:before="0" w:after="283"/>
              <w:rPr/>
            </w:pPr>
            <w:r>
              <w:rPr/>
              <w:t> </w:t>
            </w:r>
          </w:p>
        </w:tc>
        <w:tc>
          <w:tcPr>
            <w:tcW w:w="63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38,800</w:t>
            </w:r>
          </w:p>
        </w:tc>
        <w:tc>
          <w:tcPr>
            <w:tcW w:w="88"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2,192</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0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40,992</w:t>
            </w:r>
          </w:p>
        </w:tc>
        <w:tc>
          <w:tcPr>
            <w:tcW w:w="113" w:type="dxa"/>
            <w:tcBorders/>
            <w:shd w:fill="CCEEFF" w:val="clear"/>
            <w:tcMar>
              <w:bottom w:w="0" w:type="dxa"/>
            </w:tcMar>
            <w:vAlign w:val="bottom"/>
          </w:tcPr>
          <w:p>
            <w:pPr>
              <w:pStyle w:val="TableContents"/>
              <w:spacing w:before="0" w:after="283"/>
              <w:jc w:val="left"/>
              <w:rPr/>
            </w:pPr>
            <w:r>
              <w:rPr/>
              <w:t> </w:t>
            </w:r>
          </w:p>
        </w:tc>
      </w:tr>
      <w:tr>
        <w:trPr/>
        <w:tc>
          <w:tcPr>
            <w:tcW w:w="2429" w:type="dxa"/>
            <w:tcBorders/>
            <w:shd w:fill="auto" w:val="clear"/>
            <w:tcMar>
              <w:bottom w:w="0" w:type="dxa"/>
            </w:tcMar>
            <w:vAlign w:val="bottom"/>
          </w:tcPr>
          <w:p>
            <w:pPr>
              <w:pStyle w:val="TableContents"/>
              <w:spacing w:before="0" w:after="283"/>
              <w:rPr/>
            </w:pPr>
            <w:r>
              <w:rPr/>
              <w:t xml:space="preserve">  </w:t>
            </w:r>
          </w:p>
        </w:tc>
        <w:tc>
          <w:tcPr>
            <w:tcW w:w="88" w:type="dxa"/>
            <w:tcBorders/>
            <w:shd w:fill="auto" w:val="clear"/>
            <w:tcMar>
              <w:bottom w:w="0" w:type="dxa"/>
            </w:tcMar>
            <w:vAlign w:val="bottom"/>
          </w:tcPr>
          <w:p>
            <w:pPr>
              <w:pStyle w:val="TableContents"/>
              <w:spacing w:before="0" w:after="283"/>
              <w:rPr/>
            </w:pPr>
            <w:r>
              <w:rPr/>
              <w:t> </w:t>
            </w:r>
          </w:p>
        </w:tc>
        <w:tc>
          <w:tcPr>
            <w:tcW w:w="636" w:type="dxa"/>
            <w:tcBorders/>
            <w:shd w:fill="auto" w:val="clear"/>
            <w:tcMar>
              <w:bottom w:w="0" w:type="dxa"/>
            </w:tcMar>
            <w:vAlign w:val="bottom"/>
          </w:tcPr>
          <w:p>
            <w:pPr>
              <w:pStyle w:val="TableContents"/>
              <w:spacing w:before="0" w:after="283"/>
              <w:rPr/>
            </w:pPr>
            <w:r>
              <w:rPr/>
              <w:t xml:space="preserve">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88"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93" w:type="dxa"/>
            <w:tcBorders/>
            <w:shd w:fill="auto" w:val="clear"/>
            <w:tcMar>
              <w:bottom w:w="0" w:type="dxa"/>
            </w:tcMar>
            <w:vAlign w:val="bottom"/>
          </w:tcPr>
          <w:p>
            <w:pPr>
              <w:pStyle w:val="TableContents"/>
              <w:spacing w:before="0" w:after="283"/>
              <w:jc w:val="left"/>
              <w:rPr/>
            </w:pPr>
            <w:r>
              <w:rPr/>
              <w:t> </w:t>
            </w:r>
          </w:p>
        </w:tc>
        <w:tc>
          <w:tcPr>
            <w:tcW w:w="1076"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1054" w:type="dxa"/>
            <w:tcBorders/>
            <w:shd w:fill="auto" w:val="clear"/>
            <w:tcMar>
              <w:bottom w:w="0" w:type="dxa"/>
            </w:tcMar>
            <w:vAlign w:val="bottom"/>
          </w:tcPr>
          <w:p>
            <w:pPr>
              <w:pStyle w:val="TableContents"/>
              <w:spacing w:before="0" w:after="283"/>
              <w:jc w:val="right"/>
              <w:rPr/>
            </w:pPr>
            <w:r>
              <w:rPr/>
              <w:t> </w:t>
            </w:r>
          </w:p>
        </w:tc>
        <w:tc>
          <w:tcPr>
            <w:tcW w:w="113" w:type="dxa"/>
            <w:tcBorders/>
            <w:shd w:fill="auto" w:val="clear"/>
            <w:tcMar>
              <w:bottom w:w="0" w:type="dxa"/>
            </w:tcMar>
            <w:vAlign w:val="bottom"/>
          </w:tcPr>
          <w:p>
            <w:pPr>
              <w:pStyle w:val="TableContents"/>
              <w:spacing w:before="0" w:after="283"/>
              <w:jc w:val="left"/>
              <w:rPr/>
            </w:pPr>
            <w:r>
              <w:rPr/>
              <w:t> </w:t>
            </w:r>
          </w:p>
        </w:tc>
      </w:tr>
      <w:tr>
        <w:trPr/>
        <w:tc>
          <w:tcPr>
            <w:tcW w:w="242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Balbir Brar, D.V.M., Ph.D.</w:t>
            </w:r>
          </w:p>
        </w:tc>
        <w:tc>
          <w:tcPr>
            <w:tcW w:w="88" w:type="dxa"/>
            <w:tcBorders/>
            <w:shd w:fill="CCEEFF" w:val="clear"/>
            <w:tcMar>
              <w:bottom w:w="0" w:type="dxa"/>
            </w:tcMar>
            <w:vAlign w:val="bottom"/>
          </w:tcPr>
          <w:p>
            <w:pPr>
              <w:pStyle w:val="TableContents"/>
              <w:spacing w:before="0" w:after="283"/>
              <w:rPr/>
            </w:pPr>
            <w:r>
              <w:rPr/>
              <w:t> </w:t>
            </w:r>
          </w:p>
        </w:tc>
        <w:tc>
          <w:tcPr>
            <w:tcW w:w="63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84,000</w:t>
            </w:r>
          </w:p>
        </w:tc>
        <w:tc>
          <w:tcPr>
            <w:tcW w:w="88"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669,300</w:t>
            </w:r>
          </w:p>
        </w:tc>
        <w:tc>
          <w:tcPr>
            <w:tcW w:w="2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88" w:type="dxa"/>
            <w:tcBorders/>
            <w:shd w:fill="CCEEFF" w:val="clear"/>
            <w:tcMar>
              <w:bottom w:w="0" w:type="dxa"/>
            </w:tcMar>
            <w:vAlign w:val="bottom"/>
          </w:tcPr>
          <w:p>
            <w:pPr>
              <w:pStyle w:val="TableContents"/>
              <w:spacing w:before="0" w:after="283"/>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0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753,300</w:t>
            </w:r>
          </w:p>
        </w:tc>
        <w:tc>
          <w:tcPr>
            <w:tcW w:w="113" w:type="dxa"/>
            <w:tcBorders/>
            <w:shd w:fill="CCEEFF" w:val="clear"/>
            <w:tcMar>
              <w:bottom w:w="0" w:type="dxa"/>
            </w:tcMar>
            <w:vAlign w:val="bottom"/>
          </w:tcPr>
          <w:p>
            <w:pPr>
              <w:pStyle w:val="TableContents"/>
              <w:spacing w:before="0" w:after="283"/>
              <w:jc w:val="left"/>
              <w:rPr/>
            </w:pPr>
            <w:r>
              <w:rPr/>
              <w:t> </w:t>
            </w:r>
          </w:p>
        </w:tc>
      </w:tr>
      <w:tr>
        <w:trPr/>
        <w:tc>
          <w:tcPr>
            <w:tcW w:w="2429" w:type="dxa"/>
            <w:tcBorders/>
            <w:shd w:fill="CCEEFF" w:val="clear"/>
            <w:tcMar>
              <w:bottom w:w="0" w:type="dxa"/>
            </w:tcMar>
            <w:vAlign w:val="bottom"/>
          </w:tcPr>
          <w:p>
            <w:pPr>
              <w:pStyle w:val="TableContents"/>
              <w:spacing w:before="0" w:after="0"/>
              <w:ind w:left="0" w:right="0" w:hanging="0"/>
              <w:jc w:val="both"/>
              <w:rPr/>
            </w:pPr>
            <w:r>
              <w:rPr/>
              <w:t>  </w:t>
            </w:r>
            <w:r>
              <w:rPr>
                <w:rFonts w:ascii="times new roman" w:hAnsi="times new roman"/>
                <w:sz w:val="20"/>
              </w:rPr>
              <w:t>Former President (8)</w:t>
            </w:r>
          </w:p>
        </w:tc>
        <w:tc>
          <w:tcPr>
            <w:tcW w:w="88" w:type="dxa"/>
            <w:tcBorders/>
            <w:shd w:fill="CCEEFF" w:val="clear"/>
            <w:tcMar>
              <w:bottom w:w="0" w:type="dxa"/>
            </w:tcMar>
            <w:vAlign w:val="bottom"/>
          </w:tcPr>
          <w:p>
            <w:pPr>
              <w:pStyle w:val="TableContents"/>
              <w:spacing w:before="0" w:after="283"/>
              <w:rPr/>
            </w:pPr>
            <w:r>
              <w:rPr/>
              <w:t> </w:t>
            </w:r>
          </w:p>
        </w:tc>
        <w:tc>
          <w:tcPr>
            <w:tcW w:w="63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8"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0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tcMar>
              <w:bottom w:w="0" w:type="dxa"/>
            </w:tcMar>
            <w:vAlign w:val="bottom"/>
          </w:tcPr>
          <w:p>
            <w:pPr>
              <w:pStyle w:val="TableContents"/>
              <w:spacing w:before="0" w:after="283"/>
              <w:jc w:val="left"/>
              <w:rPr/>
            </w:pPr>
            <w:r>
              <w:rPr/>
              <w:t> </w:t>
            </w:r>
          </w:p>
        </w:tc>
      </w:tr>
      <w:tr>
        <w:trPr/>
        <w:tc>
          <w:tcPr>
            <w:tcW w:w="2429" w:type="dxa"/>
            <w:tcBorders/>
            <w:shd w:fill="auto" w:val="clear"/>
            <w:tcMar>
              <w:bottom w:w="0" w:type="dxa"/>
            </w:tcMar>
            <w:vAlign w:val="bottom"/>
          </w:tcPr>
          <w:p>
            <w:pPr>
              <w:pStyle w:val="TableContents"/>
              <w:spacing w:before="0" w:after="283"/>
              <w:rPr/>
            </w:pPr>
            <w:r>
              <w:rPr/>
              <w:t xml:space="preserve">  </w:t>
            </w:r>
          </w:p>
        </w:tc>
        <w:tc>
          <w:tcPr>
            <w:tcW w:w="88" w:type="dxa"/>
            <w:tcBorders/>
            <w:shd w:fill="auto" w:val="clear"/>
            <w:tcMar>
              <w:bottom w:w="0" w:type="dxa"/>
            </w:tcMar>
            <w:vAlign w:val="bottom"/>
          </w:tcPr>
          <w:p>
            <w:pPr>
              <w:pStyle w:val="TableContents"/>
              <w:spacing w:before="0" w:after="283"/>
              <w:rPr/>
            </w:pPr>
            <w:r>
              <w:rPr/>
              <w:t> </w:t>
            </w:r>
          </w:p>
        </w:tc>
        <w:tc>
          <w:tcPr>
            <w:tcW w:w="636" w:type="dxa"/>
            <w:tcBorders/>
            <w:shd w:fill="auto" w:val="clear"/>
            <w:tcMar>
              <w:bottom w:w="0" w:type="dxa"/>
            </w:tcMar>
            <w:vAlign w:val="bottom"/>
          </w:tcPr>
          <w:p>
            <w:pPr>
              <w:pStyle w:val="TableContents"/>
              <w:spacing w:before="0" w:after="283"/>
              <w:rPr/>
            </w:pPr>
            <w:r>
              <w:rPr/>
              <w:t xml:space="preserve">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88"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927"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93" w:type="dxa"/>
            <w:tcBorders/>
            <w:shd w:fill="auto" w:val="clear"/>
            <w:tcMar>
              <w:bottom w:w="0" w:type="dxa"/>
            </w:tcMar>
            <w:vAlign w:val="bottom"/>
          </w:tcPr>
          <w:p>
            <w:pPr>
              <w:pStyle w:val="TableContents"/>
              <w:spacing w:before="0" w:after="283"/>
              <w:jc w:val="left"/>
              <w:rPr/>
            </w:pPr>
            <w:r>
              <w:rPr/>
              <w:t> </w:t>
            </w:r>
          </w:p>
        </w:tc>
        <w:tc>
          <w:tcPr>
            <w:tcW w:w="1076" w:type="dxa"/>
            <w:tcBorders/>
            <w:shd w:fill="auto" w:val="clear"/>
            <w:tcMar>
              <w:bottom w:w="0" w:type="dxa"/>
            </w:tcMar>
            <w:vAlign w:val="bottom"/>
          </w:tcPr>
          <w:p>
            <w:pPr>
              <w:pStyle w:val="TableContents"/>
              <w:spacing w:before="0" w:after="283"/>
              <w:jc w:val="right"/>
              <w:rPr/>
            </w:pPr>
            <w:r>
              <w:rPr/>
              <w:t> </w:t>
            </w:r>
          </w:p>
        </w:tc>
        <w:tc>
          <w:tcPr>
            <w:tcW w:w="245"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1054" w:type="dxa"/>
            <w:tcBorders/>
            <w:shd w:fill="auto" w:val="clear"/>
            <w:tcMar>
              <w:bottom w:w="0" w:type="dxa"/>
            </w:tcMar>
            <w:vAlign w:val="bottom"/>
          </w:tcPr>
          <w:p>
            <w:pPr>
              <w:pStyle w:val="TableContents"/>
              <w:spacing w:before="0" w:after="283"/>
              <w:jc w:val="right"/>
              <w:rPr/>
            </w:pPr>
            <w:r>
              <w:rPr/>
              <w:t> </w:t>
            </w:r>
          </w:p>
        </w:tc>
        <w:tc>
          <w:tcPr>
            <w:tcW w:w="113" w:type="dxa"/>
            <w:tcBorders/>
            <w:shd w:fill="auto" w:val="clear"/>
            <w:tcMar>
              <w:bottom w:w="0" w:type="dxa"/>
            </w:tcMar>
            <w:vAlign w:val="bottom"/>
          </w:tcPr>
          <w:p>
            <w:pPr>
              <w:pStyle w:val="TableContents"/>
              <w:spacing w:before="0" w:after="283"/>
              <w:jc w:val="left"/>
              <w:rPr/>
            </w:pPr>
            <w:r>
              <w:rPr/>
              <w:t> </w:t>
            </w:r>
          </w:p>
        </w:tc>
      </w:tr>
      <w:tr>
        <w:trPr/>
        <w:tc>
          <w:tcPr>
            <w:tcW w:w="242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Andrew R. Boll</w:t>
            </w:r>
          </w:p>
        </w:tc>
        <w:tc>
          <w:tcPr>
            <w:tcW w:w="88" w:type="dxa"/>
            <w:tcBorders/>
            <w:shd w:fill="CCEEFF" w:val="clear"/>
            <w:tcMar>
              <w:bottom w:w="0" w:type="dxa"/>
            </w:tcMar>
            <w:vAlign w:val="bottom"/>
          </w:tcPr>
          <w:p>
            <w:pPr>
              <w:pStyle w:val="TableContents"/>
              <w:spacing w:before="0" w:after="283"/>
              <w:rPr/>
            </w:pPr>
            <w:r>
              <w:rPr/>
              <w:t> </w:t>
            </w:r>
          </w:p>
        </w:tc>
        <w:tc>
          <w:tcPr>
            <w:tcW w:w="63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64,500</w:t>
            </w:r>
          </w:p>
        </w:tc>
        <w:tc>
          <w:tcPr>
            <w:tcW w:w="88"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51,780</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9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7,524</w:t>
            </w:r>
          </w:p>
        </w:tc>
        <w:tc>
          <w:tcPr>
            <w:tcW w:w="2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123,804</w:t>
            </w:r>
          </w:p>
        </w:tc>
        <w:tc>
          <w:tcPr>
            <w:tcW w:w="113" w:type="dxa"/>
            <w:tcBorders/>
            <w:shd w:fill="CCEEFF" w:val="clear"/>
            <w:tcMar>
              <w:bottom w:w="0" w:type="dxa"/>
            </w:tcMar>
            <w:vAlign w:val="bottom"/>
          </w:tcPr>
          <w:p>
            <w:pPr>
              <w:pStyle w:val="TableContents"/>
              <w:spacing w:before="0" w:after="283"/>
              <w:jc w:val="left"/>
              <w:rPr/>
            </w:pPr>
            <w:r>
              <w:rPr/>
              <w:t> </w:t>
            </w:r>
          </w:p>
        </w:tc>
      </w:tr>
      <w:tr>
        <w:trPr/>
        <w:tc>
          <w:tcPr>
            <w:tcW w:w="2429" w:type="dxa"/>
            <w:tcBorders/>
            <w:shd w:fill="CCEEFF" w:val="clear"/>
            <w:tcMar>
              <w:bottom w:w="0" w:type="dxa"/>
            </w:tcMar>
            <w:vAlign w:val="bottom"/>
          </w:tcPr>
          <w:p>
            <w:pPr>
              <w:pStyle w:val="TableContents"/>
              <w:spacing w:before="0" w:after="0"/>
              <w:ind w:left="0" w:right="0" w:hanging="0"/>
              <w:jc w:val="both"/>
              <w:rPr/>
            </w:pPr>
            <w:r>
              <w:rPr/>
              <w:t>   </w:t>
            </w:r>
            <w:r>
              <w:rPr>
                <w:rFonts w:ascii="times new roman" w:hAnsi="times new roman"/>
                <w:sz w:val="20"/>
              </w:rPr>
              <w:t>Vice-President, Accounting and Public Reporting</w:t>
            </w:r>
          </w:p>
        </w:tc>
        <w:tc>
          <w:tcPr>
            <w:tcW w:w="88" w:type="dxa"/>
            <w:tcBorders/>
            <w:shd w:fill="CCEEFF" w:val="clear"/>
            <w:tcMar>
              <w:bottom w:w="0" w:type="dxa"/>
            </w:tcMar>
            <w:vAlign w:val="bottom"/>
          </w:tcPr>
          <w:p>
            <w:pPr>
              <w:pStyle w:val="TableContents"/>
              <w:spacing w:before="0" w:after="283"/>
              <w:rPr/>
            </w:pPr>
            <w:r>
              <w:rPr/>
              <w:t> </w:t>
            </w:r>
          </w:p>
        </w:tc>
        <w:tc>
          <w:tcPr>
            <w:tcW w:w="636"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8"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9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0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12"/>
        <w:gridCol w:w="23"/>
        <w:gridCol w:w="9870"/>
      </w:tblGrid>
      <w:tr>
        <w:trPr/>
        <w:tc>
          <w:tcPr>
            <w:tcW w:w="3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893"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r>
        <w:trPr/>
        <w:tc>
          <w:tcPr>
            <w:tcW w:w="312" w:type="dxa"/>
            <w:tcBorders/>
            <w:shd w:fill="auto" w:val="clear"/>
          </w:tcPr>
          <w:p>
            <w:pPr>
              <w:pStyle w:val="TableContents"/>
              <w:spacing w:before="0" w:after="0"/>
              <w:ind w:left="0" w:right="0" w:hanging="0"/>
              <w:jc w:val="both"/>
              <w:rPr/>
            </w:pPr>
            <w:r>
              <w:rPr/>
              <w:t> </w:t>
            </w:r>
            <w:r>
              <w:rPr>
                <w:rFonts w:ascii="times new roman" w:hAnsi="times new roman"/>
                <w:sz w:val="20"/>
              </w:rPr>
              <w:t>(2)</w:t>
            </w:r>
          </w:p>
        </w:tc>
        <w:tc>
          <w:tcPr>
            <w:tcW w:w="9893"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"Shareholders’ Equity" of Notes to Consolidated Financial Statements for the fiscal year ended December 31, 2012 included in our Form 10-K for the year ended December 31, 2012. For a discussion of the material terms of each stock option award, see the table entitled "Outstanding Equity Awards at Fiscal Year End."</w:t>
            </w:r>
          </w:p>
        </w:tc>
      </w:tr>
      <w:tr>
        <w:trPr/>
        <w:tc>
          <w:tcPr>
            <w:tcW w:w="335" w:type="dxa"/>
            <w:gridSpan w:val="2"/>
            <w:tcBorders/>
            <w:shd w:fill="auto" w:val="clear"/>
          </w:tcPr>
          <w:p>
            <w:pPr>
              <w:pStyle w:val="TableContents"/>
              <w:spacing w:before="0" w:after="0"/>
              <w:ind w:left="0" w:right="0" w:hanging="0"/>
              <w:jc w:val="both"/>
              <w:rPr/>
            </w:pPr>
            <w:r>
              <w:rPr/>
              <w:t> </w:t>
            </w:r>
            <w:r>
              <w:rPr>
                <w:rFonts w:ascii="times new roman" w:hAnsi="times new roman"/>
                <w:sz w:val="20"/>
              </w:rPr>
              <w:t>(3)</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restricted stock units granted to Mr. Baum outside the Plan in connection with his services as our Chief Executive Officer, the vesting of which is subject to certain performance conditions.  The value of the award at the grant date assuming that the highest level of the performance conditions will be achieved is the same as reflected in the above table.</w:t>
            </w:r>
          </w:p>
        </w:tc>
      </w:tr>
      <w:tr>
        <w:trPr/>
        <w:tc>
          <w:tcPr>
            <w:tcW w:w="335" w:type="dxa"/>
            <w:gridSpan w:val="2"/>
            <w:tcBorders/>
            <w:shd w:fill="auto" w:val="clear"/>
          </w:tcPr>
          <w:p>
            <w:pPr>
              <w:pStyle w:val="TableContents"/>
              <w:spacing w:before="0" w:after="0"/>
              <w:ind w:left="0" w:right="0" w:hanging="0"/>
              <w:jc w:val="both"/>
              <w:rPr/>
            </w:pPr>
            <w:r>
              <w:rPr/>
              <w:t>  </w:t>
            </w:r>
            <w:r>
              <w:rPr>
                <w:rFonts w:ascii="times new roman" w:hAnsi="times new roman"/>
                <w:sz w:val="20"/>
              </w:rPr>
              <w:t>(4)</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an option to purchase up to 125,000 shares of common stock under the Plan granted on January 25, 2012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(ii) an option to purchase up to 25,000 shares of common stock under the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and (iii) an option to purchase up to 60,000 shares of common stock under the Plan granted on April 1, 2012 in connection with his appointment as our Chief Executive Officer.</w:t>
            </w:r>
          </w:p>
        </w:tc>
      </w:tr>
      <w:tr>
        <w:trPr/>
        <w:tc>
          <w:tcPr>
            <w:tcW w:w="335" w:type="dxa"/>
            <w:gridSpan w:val="2"/>
            <w:tcBorders/>
            <w:shd w:fill="auto" w:val="clear"/>
          </w:tcPr>
          <w:p>
            <w:pPr>
              <w:pStyle w:val="TableContents"/>
              <w:spacing w:before="0" w:after="0"/>
              <w:ind w:left="0" w:right="0" w:hanging="0"/>
              <w:jc w:val="both"/>
              <w:rPr/>
            </w:pPr>
            <w:r>
              <w:rPr/>
              <w:t> </w:t>
            </w:r>
            <w:r>
              <w:rPr>
                <w:rFonts w:ascii="times new roman" w:hAnsi="times new roman"/>
                <w:sz w:val="20"/>
              </w:rPr>
              <w:t>(5)</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Consists of (i) $23,500 paid to an entity beneficially owned by Mr. Schupp for consulting services performed during the fiscal year 2012 prior to his hire as our Chief Medical Officer, and (ii) $5,634 paid for medical and dental insurance premiums.</w:t>
            </w:r>
          </w:p>
        </w:tc>
      </w:tr>
      <w:tr>
        <w:trPr/>
        <w:tc>
          <w:tcPr>
            <w:tcW w:w="335" w:type="dxa"/>
            <w:gridSpan w:val="2"/>
            <w:tcBorders/>
            <w:shd w:fill="auto" w:val="clear"/>
          </w:tcPr>
          <w:p>
            <w:pPr>
              <w:pStyle w:val="TableContents"/>
              <w:spacing w:before="0" w:after="0"/>
              <w:ind w:left="0" w:right="0" w:hanging="0"/>
              <w:jc w:val="both"/>
              <w:rPr/>
            </w:pPr>
            <w:r>
              <w:rPr/>
              <w:t> </w:t>
            </w:r>
            <w:r>
              <w:rPr>
                <w:rFonts w:ascii="times new roman" w:hAnsi="times new roman"/>
                <w:sz w:val="20"/>
              </w:rPr>
              <w:t>(6)</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an option to purchase up to 225,000 shares of common stock under the Plan granted on January 25, 2012 in connection with his appointment as our President, and (ii) an option to purchase up to 25,000 shares of common stock under the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Dr. Brar’s April 1, 2012 option grant were forfeited, and the 6,250 vested shares under such option remain exercisable until March 22, 2013.</w:t>
            </w:r>
          </w:p>
        </w:tc>
      </w:tr>
      <w:tr>
        <w:trPr/>
        <w:tc>
          <w:tcPr>
            <w:tcW w:w="335" w:type="dxa"/>
            <w:gridSpan w:val="2"/>
            <w:tcBorders/>
            <w:shd w:fill="auto" w:val="clear"/>
          </w:tcPr>
          <w:p>
            <w:pPr>
              <w:pStyle w:val="TableContents"/>
              <w:spacing w:before="0" w:after="0"/>
              <w:ind w:left="0" w:right="0" w:hanging="0"/>
              <w:jc w:val="both"/>
              <w:rPr/>
            </w:pPr>
            <w:r>
              <w:rPr/>
              <w:t> </w:t>
            </w:r>
            <w:r>
              <w:rPr>
                <w:rFonts w:ascii="times new roman" w:hAnsi="times new roman"/>
                <w:sz w:val="20"/>
              </w:rPr>
              <w:t>(7)</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Consists of (i) $5,000 paid to Mr. Boll for consulting services performed during the fiscal year 2012 prior to his hire as our Vice President, Accounting and Public Reporting, and (ii) $2,524 paid for medical and dental insurance premiums. </w:t>
            </w:r>
          </w:p>
        </w:tc>
      </w:tr>
      <w:tr>
        <w:trPr/>
        <w:tc>
          <w:tcPr>
            <w:tcW w:w="335" w:type="dxa"/>
            <w:gridSpan w:val="2"/>
            <w:tcBorders/>
            <w:shd w:fill="auto" w:val="clear"/>
          </w:tcPr>
          <w:p>
            <w:pPr>
              <w:pStyle w:val="TableContents"/>
              <w:spacing w:before="0" w:after="0"/>
              <w:ind w:left="0" w:right="0" w:hanging="0"/>
              <w:jc w:val="both"/>
              <w:rPr/>
            </w:pPr>
            <w:r>
              <w:rPr/>
              <w:t> </w:t>
            </w:r>
            <w:r>
              <w:rPr>
                <w:rFonts w:ascii="times new roman" w:hAnsi="times new roman"/>
                <w:sz w:val="20"/>
              </w:rPr>
              <w:t>(8)</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Effective May 7, 2013, Dr. Balbir Brar resigned from his position with the Company and no longer serves as its President.  Dr. Brar continues to serve as a Senior Advisor to the Company, focusing on pre-clinical safety matters.</w:t>
            </w:r>
          </w:p>
        </w:tc>
      </w:tr>
    </w:tbl>
    <w:p>
      <w:pPr>
        <w:pStyle w:val="TextBody"/>
        <w:spacing w:before="0" w:after="0"/>
        <w:ind w:left="0" w:right="0" w:hanging="0"/>
        <w:rPr/>
      </w:pPr>
      <w:r>
        <w:rPr/>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 w:name="PGBRK18"/>
      <w:bookmarkStart w:id="209" w:name="PGBRK18"/>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FTR18"/>
      <w:bookmarkStart w:id="211" w:name="FTR18"/>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2" w:name="GLFTR18"/>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3" w:name="PN18"/>
      <w:bookmarkEnd w:id="213"/>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HDR18"/>
      <w:bookmarkStart w:id="215" w:name="HDR18"/>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6" w:name="GLHDR18"/>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Employment Agreements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Below is a description of employment agreements with our named executive officers and our Vice President, Accounting and Public Reporting (our Principal Accounting and Financial Officer) as in effect during the fiscal year ended December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Mark L. Baum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1, 2012, the Board of Directors appointed Mr. Mark L. Baum, J.D.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Also on April 1, 2012, the Company granted to Mr. Baum an option to purchase up to 60,000 shares of common stock at an exercise price of $4.50 per share under the.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January 25, 2012, the Board approved an option grant to Mr. Baum to purchase up to 125,000 shares pursuant to the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installments commencing on January 25, 2012 and ending on January 25, 2013, and has an exercise price of $2.40.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July 18, 2012, the Board granted to Mr. Baum, in connection with his services as the Chief Executive Officer of the Company, 160,000 restricted stock units (RSUs) outside of the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  Effective upon approval of Proposal No. 5 by the Company’s stockholders, Mr. Baum has agreed to forfeit the remaining 120,000 unvested RSUs granted to him in July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Dr. Joachim Schupp</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17" w:name="TAB15"/>
      <w:bookmarkEnd w:id="217"/>
      <w:r>
        <w:rPr>
          <w:rFonts w:ascii="Times New Roman" w:hAnsi="Times New Roman"/>
          <w:sz w:val="20"/>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Plan.  The option has a four year term and vests monthly over a 36 month period following the date of grant. The option vests in full upon a change of control as defined in the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Andrew R. Boll</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18" w:name="TAB16"/>
      <w:bookmarkEnd w:id="218"/>
      <w:r>
        <w:rPr>
          <w:rFonts w:ascii="Times New Roman" w:hAnsi="Times New Roman"/>
          <w:sz w:val="20"/>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 On October 1, 2012, Mr. Boll's salary was increased to $90,000 per year.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 w:name="PGBRK19"/>
      <w:bookmarkStart w:id="220" w:name="PGBRK19"/>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FTR19"/>
      <w:bookmarkStart w:id="222" w:name="FTR19"/>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3" w:name="GLFTR19"/>
      <w:bookmarkEnd w:id="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4" w:name="PN19"/>
      <w:bookmarkEnd w:id="224"/>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HDR19"/>
      <w:bookmarkStart w:id="226" w:name="HDR19"/>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7" w:name="GLHDR19"/>
      <w:bookmarkEnd w:id="2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Outstanding Equity Awards at Fiscal Year-End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concerning outstanding stock awards held by our named executive officers and our Vice President, Accounting and Public Reporting serving during the fiscal year ended December 31, 2012.</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1574"/>
        <w:gridCol w:w="87"/>
        <w:gridCol w:w="92"/>
        <w:gridCol w:w="92"/>
        <w:gridCol w:w="989"/>
        <w:gridCol w:w="351"/>
        <w:gridCol w:w="100"/>
        <w:gridCol w:w="100"/>
        <w:gridCol w:w="1095"/>
        <w:gridCol w:w="351"/>
        <w:gridCol w:w="87"/>
        <w:gridCol w:w="178"/>
        <w:gridCol w:w="744"/>
        <w:gridCol w:w="86"/>
        <w:gridCol w:w="1025"/>
        <w:gridCol w:w="87"/>
        <w:gridCol w:w="115"/>
        <w:gridCol w:w="115"/>
        <w:gridCol w:w="1269"/>
        <w:gridCol w:w="255"/>
        <w:gridCol w:w="87"/>
        <w:gridCol w:w="146"/>
        <w:gridCol w:w="1066"/>
        <w:gridCol w:w="114"/>
      </w:tblGrid>
      <w:tr>
        <w:trPr/>
        <w:tc>
          <w:tcPr>
            <w:tcW w:w="6951" w:type="dxa"/>
            <w:gridSpan w:val="15"/>
            <w:tcBorders>
              <w:bottom w:val="single" w:sz="12" w:space="0" w:color="000000"/>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Option Awards</w:t>
            </w:r>
          </w:p>
        </w:tc>
        <w:tc>
          <w:tcPr>
            <w:tcW w:w="87" w:type="dxa"/>
            <w:tcBorders/>
            <w:shd w:fill="auto" w:val="clear"/>
            <w:tcMar>
              <w:bottom w:w="0" w:type="dxa"/>
            </w:tcMar>
            <w:vAlign w:val="bottom"/>
          </w:tcPr>
          <w:p>
            <w:pPr>
              <w:pStyle w:val="TableContents"/>
              <w:spacing w:before="0" w:after="283"/>
              <w:jc w:val="left"/>
              <w:rPr/>
            </w:pPr>
            <w:r>
              <w:rPr/>
              <w:t> </w:t>
            </w:r>
          </w:p>
        </w:tc>
        <w:tc>
          <w:tcPr>
            <w:tcW w:w="3053" w:type="dxa"/>
            <w:gridSpan w:val="7"/>
            <w:tcBorders>
              <w:bottom w:val="single" w:sz="12" w:space="0" w:color="000000"/>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Stock Awards</w:t>
            </w:r>
          </w:p>
        </w:tc>
        <w:tc>
          <w:tcPr>
            <w:tcW w:w="114" w:type="dxa"/>
            <w:tcBorders/>
            <w:shd w:fill="auto" w:val="clear"/>
            <w:tcMar>
              <w:bottom w:w="0" w:type="dxa"/>
            </w:tcMar>
            <w:vAlign w:val="bottom"/>
          </w:tcPr>
          <w:p>
            <w:pPr>
              <w:pStyle w:val="TableContents"/>
              <w:spacing w:before="0" w:after="283"/>
              <w:jc w:val="left"/>
              <w:rPr/>
            </w:pPr>
            <w:r>
              <w:rPr/>
              <w:t> </w:t>
            </w:r>
          </w:p>
        </w:tc>
      </w:tr>
      <w:tr>
        <w:trPr/>
        <w:tc>
          <w:tcPr>
            <w:tcW w:w="1574" w:type="dxa"/>
            <w:tcBorders/>
            <w:shd w:fill="auto" w:val="clear"/>
            <w:tcMar>
              <w:bottom w:w="0" w:type="dxa"/>
            </w:tcMar>
            <w:vAlign w:val="bottom"/>
          </w:tcPr>
          <w:p>
            <w:pPr>
              <w:pStyle w:val="TableContents"/>
              <w:spacing w:before="0" w:after="283"/>
              <w:rPr/>
            </w:pPr>
            <w:r>
              <w:rPr/>
              <w:t xml:space="preserve">  </w:t>
            </w:r>
          </w:p>
        </w:tc>
        <w:tc>
          <w:tcPr>
            <w:tcW w:w="87" w:type="dxa"/>
            <w:tcBorders/>
            <w:shd w:fill="auto" w:val="clear"/>
            <w:tcMar>
              <w:bottom w:w="0" w:type="dxa"/>
            </w:tcMar>
            <w:vAlign w:val="bottom"/>
          </w:tcPr>
          <w:p>
            <w:pPr>
              <w:pStyle w:val="TableContents"/>
              <w:spacing w:before="0" w:after="283"/>
              <w:rPr/>
            </w:pPr>
            <w:r>
              <w:rPr/>
              <w:t> </w:t>
            </w:r>
          </w:p>
        </w:tc>
        <w:tc>
          <w:tcPr>
            <w:tcW w:w="1173"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tc>
        <w:tc>
          <w:tcPr>
            <w:tcW w:w="351" w:type="dxa"/>
            <w:tcBorders/>
            <w:shd w:fill="auto" w:val="clear"/>
            <w:tcMar>
              <w:bottom w:w="0" w:type="dxa"/>
            </w:tcMar>
            <w:vAlign w:val="bottom"/>
          </w:tcPr>
          <w:p>
            <w:pPr>
              <w:pStyle w:val="TableContents"/>
              <w:spacing w:before="0" w:after="283"/>
              <w:jc w:val="left"/>
              <w:rPr/>
            </w:pPr>
            <w:r>
              <w:rPr/>
              <w:t> </w:t>
            </w:r>
          </w:p>
        </w:tc>
        <w:tc>
          <w:tcPr>
            <w:tcW w:w="1295"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tc>
        <w:tc>
          <w:tcPr>
            <w:tcW w:w="351"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922" w:type="dxa"/>
            <w:gridSpan w:val="2"/>
            <w:tcBorders/>
            <w:shd w:fill="auto" w:val="clear"/>
            <w:tcMar>
              <w:bottom w:w="0" w:type="dxa"/>
            </w:tcMar>
            <w:vAlign w:val="bottom"/>
          </w:tcPr>
          <w:p>
            <w:pPr>
              <w:pStyle w:val="TableContents"/>
              <w:spacing w:before="0" w:after="283"/>
              <w:rPr/>
            </w:pPr>
            <w:r>
              <w:rPr/>
              <w:t> </w:t>
            </w:r>
          </w:p>
        </w:tc>
        <w:tc>
          <w:tcPr>
            <w:tcW w:w="86" w:type="dxa"/>
            <w:tcBorders/>
            <w:shd w:fill="auto" w:val="clear"/>
            <w:tcMar>
              <w:bottom w:w="0" w:type="dxa"/>
            </w:tcMar>
            <w:vAlign w:val="bottom"/>
          </w:tcPr>
          <w:p>
            <w:pPr>
              <w:pStyle w:val="TableContents"/>
              <w:spacing w:before="0" w:after="283"/>
              <w:jc w:val="left"/>
              <w:rPr/>
            </w:pPr>
            <w:r>
              <w:rPr/>
              <w:t> </w:t>
            </w:r>
          </w:p>
        </w:tc>
        <w:tc>
          <w:tcPr>
            <w:tcW w:w="1025" w:type="dxa"/>
            <w:tcBorders/>
            <w:shd w:fill="auto" w:val="clear"/>
            <w:tcMar>
              <w:bottom w:w="0" w:type="dxa"/>
            </w:tcMar>
            <w:vAlign w:val="bottom"/>
          </w:tcPr>
          <w:p>
            <w:pPr>
              <w:pStyle w:val="TableContents"/>
              <w:spacing w:before="0" w:after="283"/>
              <w:rPr/>
            </w:pPr>
            <w:r>
              <w:rPr/>
              <w:t> </w:t>
            </w:r>
          </w:p>
        </w:tc>
        <w:tc>
          <w:tcPr>
            <w:tcW w:w="87" w:type="dxa"/>
            <w:tcBorders/>
            <w:shd w:fill="auto" w:val="clear"/>
            <w:tcMar>
              <w:bottom w:w="0" w:type="dxa"/>
            </w:tcMar>
            <w:vAlign w:val="bottom"/>
          </w:tcPr>
          <w:p>
            <w:pPr>
              <w:pStyle w:val="TableContents"/>
              <w:spacing w:before="0" w:after="283"/>
              <w:jc w:val="left"/>
              <w:rPr/>
            </w:pPr>
            <w:r>
              <w:rPr/>
              <w:t> </w:t>
            </w:r>
          </w:p>
        </w:tc>
        <w:tc>
          <w:tcPr>
            <w:tcW w:w="1499" w:type="dxa"/>
            <w:gridSpan w:val="3"/>
            <w:tcBorders/>
            <w:shd w:fill="auto" w:val="clear"/>
            <w:tcMar>
              <w:bottom w:w="0" w:type="dxa"/>
            </w:tcMar>
            <w:vAlign w:val="bottom"/>
          </w:tcPr>
          <w:p>
            <w:pPr>
              <w:pStyle w:val="TableContents"/>
              <w:spacing w:before="0" w:after="283"/>
              <w:rPr/>
            </w:pPr>
            <w:r>
              <w:rPr/>
              <w:t> </w:t>
            </w:r>
          </w:p>
        </w:tc>
        <w:tc>
          <w:tcPr>
            <w:tcW w:w="255" w:type="dxa"/>
            <w:tcBorders/>
            <w:shd w:fill="auto" w:val="clear"/>
            <w:tcMar>
              <w:bottom w:w="0" w:type="dxa"/>
            </w:tcMar>
            <w:vAlign w:val="bottom"/>
          </w:tcPr>
          <w:p>
            <w:pPr>
              <w:pStyle w:val="TableContents"/>
              <w:spacing w:before="0" w:after="283"/>
              <w:jc w:val="left"/>
              <w:rPr/>
            </w:pPr>
            <w:r>
              <w:rPr/>
              <w:t> </w:t>
            </w:r>
          </w:p>
        </w:tc>
        <w:tc>
          <w:tcPr>
            <w:tcW w:w="12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Market Value</w:t>
            </w:r>
          </w:p>
        </w:tc>
        <w:tc>
          <w:tcPr>
            <w:tcW w:w="114" w:type="dxa"/>
            <w:tcBorders/>
            <w:shd w:fill="auto" w:val="clear"/>
            <w:tcMar>
              <w:bottom w:w="0" w:type="dxa"/>
            </w:tcMar>
            <w:vAlign w:val="bottom"/>
          </w:tcPr>
          <w:p>
            <w:pPr>
              <w:pStyle w:val="TableContents"/>
              <w:spacing w:before="0" w:after="283"/>
              <w:jc w:val="left"/>
              <w:rPr/>
            </w:pPr>
            <w:r>
              <w:rPr/>
              <w:t> </w:t>
            </w:r>
          </w:p>
        </w:tc>
      </w:tr>
      <w:tr>
        <w:trPr/>
        <w:tc>
          <w:tcPr>
            <w:tcW w:w="1574" w:type="dxa"/>
            <w:tcBorders/>
            <w:shd w:fill="auto" w:val="clear"/>
            <w:tcMar>
              <w:bottom w:w="0" w:type="dxa"/>
            </w:tcMar>
            <w:vAlign w:val="bottom"/>
          </w:tcPr>
          <w:p>
            <w:pPr>
              <w:pStyle w:val="TableContents"/>
              <w:spacing w:before="0" w:after="283"/>
              <w:rPr/>
            </w:pPr>
            <w:r>
              <w:rPr/>
              <w:t xml:space="preserve">  </w:t>
            </w:r>
          </w:p>
        </w:tc>
        <w:tc>
          <w:tcPr>
            <w:tcW w:w="87" w:type="dxa"/>
            <w:tcBorders/>
            <w:shd w:fill="auto" w:val="clear"/>
            <w:tcMar>
              <w:bottom w:w="0" w:type="dxa"/>
            </w:tcMar>
            <w:vAlign w:val="bottom"/>
          </w:tcPr>
          <w:p>
            <w:pPr>
              <w:pStyle w:val="TableContents"/>
              <w:spacing w:before="0" w:after="283"/>
              <w:rPr/>
            </w:pPr>
            <w:r>
              <w:rPr/>
              <w:t> </w:t>
            </w:r>
          </w:p>
        </w:tc>
        <w:tc>
          <w:tcPr>
            <w:tcW w:w="1173"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Securities</w:t>
            </w:r>
          </w:p>
        </w:tc>
        <w:tc>
          <w:tcPr>
            <w:tcW w:w="351" w:type="dxa"/>
            <w:tcBorders/>
            <w:shd w:fill="auto" w:val="clear"/>
            <w:tcMar>
              <w:bottom w:w="0" w:type="dxa"/>
            </w:tcMar>
            <w:vAlign w:val="bottom"/>
          </w:tcPr>
          <w:p>
            <w:pPr>
              <w:pStyle w:val="TableContents"/>
              <w:spacing w:before="0" w:after="283"/>
              <w:jc w:val="left"/>
              <w:rPr/>
            </w:pPr>
            <w:r>
              <w:rPr/>
              <w:t> </w:t>
            </w:r>
          </w:p>
        </w:tc>
        <w:tc>
          <w:tcPr>
            <w:tcW w:w="1295"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Securities</w:t>
            </w:r>
          </w:p>
        </w:tc>
        <w:tc>
          <w:tcPr>
            <w:tcW w:w="351"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922" w:type="dxa"/>
            <w:gridSpan w:val="2"/>
            <w:tcBorders/>
            <w:shd w:fill="auto" w:val="clear"/>
            <w:tcMar>
              <w:bottom w:w="0" w:type="dxa"/>
            </w:tcMar>
            <w:vAlign w:val="bottom"/>
          </w:tcPr>
          <w:p>
            <w:pPr>
              <w:pStyle w:val="TableContents"/>
              <w:spacing w:before="0" w:after="283"/>
              <w:rPr/>
            </w:pPr>
            <w:r>
              <w:rPr/>
              <w:t> </w:t>
            </w:r>
          </w:p>
        </w:tc>
        <w:tc>
          <w:tcPr>
            <w:tcW w:w="86" w:type="dxa"/>
            <w:tcBorders/>
            <w:shd w:fill="auto" w:val="clear"/>
            <w:tcMar>
              <w:bottom w:w="0" w:type="dxa"/>
            </w:tcMar>
            <w:vAlign w:val="bottom"/>
          </w:tcPr>
          <w:p>
            <w:pPr>
              <w:pStyle w:val="TableContents"/>
              <w:spacing w:before="0" w:after="283"/>
              <w:jc w:val="left"/>
              <w:rPr/>
            </w:pPr>
            <w:r>
              <w:rPr/>
              <w:t> </w:t>
            </w:r>
          </w:p>
        </w:tc>
        <w:tc>
          <w:tcPr>
            <w:tcW w:w="1025" w:type="dxa"/>
            <w:tcBorders/>
            <w:shd w:fill="auto" w:val="clear"/>
            <w:tcMar>
              <w:bottom w:w="0" w:type="dxa"/>
            </w:tcMar>
            <w:vAlign w:val="bottom"/>
          </w:tcPr>
          <w:p>
            <w:pPr>
              <w:pStyle w:val="TableContents"/>
              <w:spacing w:before="0" w:after="283"/>
              <w:rPr/>
            </w:pPr>
            <w:r>
              <w:rPr/>
              <w:t> </w:t>
            </w:r>
          </w:p>
        </w:tc>
        <w:tc>
          <w:tcPr>
            <w:tcW w:w="87" w:type="dxa"/>
            <w:tcBorders/>
            <w:shd w:fill="auto" w:val="clear"/>
            <w:tcMar>
              <w:bottom w:w="0" w:type="dxa"/>
            </w:tcMar>
            <w:vAlign w:val="bottom"/>
          </w:tcPr>
          <w:p>
            <w:pPr>
              <w:pStyle w:val="TableContents"/>
              <w:spacing w:before="0" w:after="283"/>
              <w:jc w:val="left"/>
              <w:rPr/>
            </w:pPr>
            <w:r>
              <w:rPr/>
              <w:t> </w:t>
            </w:r>
          </w:p>
        </w:tc>
        <w:tc>
          <w:tcPr>
            <w:tcW w:w="14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w:t>
            </w:r>
          </w:p>
        </w:tc>
        <w:tc>
          <w:tcPr>
            <w:tcW w:w="255" w:type="dxa"/>
            <w:tcBorders/>
            <w:shd w:fill="auto" w:val="clear"/>
            <w:tcMar>
              <w:bottom w:w="0" w:type="dxa"/>
            </w:tcMar>
            <w:vAlign w:val="bottom"/>
          </w:tcPr>
          <w:p>
            <w:pPr>
              <w:pStyle w:val="TableContents"/>
              <w:spacing w:before="0" w:after="283"/>
              <w:jc w:val="left"/>
              <w:rPr/>
            </w:pPr>
            <w:r>
              <w:rPr/>
              <w:t> </w:t>
            </w:r>
          </w:p>
        </w:tc>
        <w:tc>
          <w:tcPr>
            <w:tcW w:w="12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Shares or</w:t>
            </w:r>
          </w:p>
        </w:tc>
        <w:tc>
          <w:tcPr>
            <w:tcW w:w="114" w:type="dxa"/>
            <w:tcBorders/>
            <w:shd w:fill="auto" w:val="clear"/>
            <w:tcMar>
              <w:bottom w:w="0" w:type="dxa"/>
            </w:tcMar>
            <w:vAlign w:val="bottom"/>
          </w:tcPr>
          <w:p>
            <w:pPr>
              <w:pStyle w:val="TableContents"/>
              <w:spacing w:before="0" w:after="283"/>
              <w:jc w:val="left"/>
              <w:rPr/>
            </w:pPr>
            <w:r>
              <w:rPr/>
              <w:t> </w:t>
            </w:r>
          </w:p>
        </w:tc>
      </w:tr>
      <w:tr>
        <w:trPr/>
        <w:tc>
          <w:tcPr>
            <w:tcW w:w="1574" w:type="dxa"/>
            <w:tcBorders/>
            <w:shd w:fill="auto" w:val="clear"/>
            <w:tcMar>
              <w:bottom w:w="0" w:type="dxa"/>
            </w:tcMar>
            <w:vAlign w:val="bottom"/>
          </w:tcPr>
          <w:p>
            <w:pPr>
              <w:pStyle w:val="TableContents"/>
              <w:spacing w:before="0" w:after="283"/>
              <w:rPr/>
            </w:pPr>
            <w:r>
              <w:rPr/>
              <w:t xml:space="preserve">  </w:t>
            </w:r>
          </w:p>
        </w:tc>
        <w:tc>
          <w:tcPr>
            <w:tcW w:w="87" w:type="dxa"/>
            <w:tcBorders/>
            <w:shd w:fill="auto" w:val="clear"/>
            <w:tcMar>
              <w:bottom w:w="0" w:type="dxa"/>
            </w:tcMar>
            <w:vAlign w:val="bottom"/>
          </w:tcPr>
          <w:p>
            <w:pPr>
              <w:pStyle w:val="TableContents"/>
              <w:spacing w:before="0" w:after="283"/>
              <w:rPr/>
            </w:pPr>
            <w:r>
              <w:rPr/>
              <w:t> </w:t>
            </w:r>
          </w:p>
        </w:tc>
        <w:tc>
          <w:tcPr>
            <w:tcW w:w="1173"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Underlying</w:t>
            </w:r>
          </w:p>
        </w:tc>
        <w:tc>
          <w:tcPr>
            <w:tcW w:w="351" w:type="dxa"/>
            <w:tcBorders/>
            <w:shd w:fill="auto" w:val="clear"/>
            <w:tcMar>
              <w:bottom w:w="0" w:type="dxa"/>
            </w:tcMar>
            <w:vAlign w:val="bottom"/>
          </w:tcPr>
          <w:p>
            <w:pPr>
              <w:pStyle w:val="TableContents"/>
              <w:spacing w:before="0" w:after="283"/>
              <w:jc w:val="left"/>
              <w:rPr/>
            </w:pPr>
            <w:r>
              <w:rPr/>
              <w:t> </w:t>
            </w:r>
          </w:p>
        </w:tc>
        <w:tc>
          <w:tcPr>
            <w:tcW w:w="1295"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Underlying</w:t>
            </w:r>
          </w:p>
        </w:tc>
        <w:tc>
          <w:tcPr>
            <w:tcW w:w="351"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922" w:type="dxa"/>
            <w:gridSpan w:val="2"/>
            <w:tcBorders/>
            <w:shd w:fill="auto" w:val="clear"/>
            <w:tcMar>
              <w:bottom w:w="0" w:type="dxa"/>
            </w:tcMar>
            <w:vAlign w:val="bottom"/>
          </w:tcPr>
          <w:p>
            <w:pPr>
              <w:pStyle w:val="TableContents"/>
              <w:spacing w:before="0" w:after="283"/>
              <w:rPr/>
            </w:pPr>
            <w:r>
              <w:rPr/>
              <w:t> </w:t>
            </w:r>
          </w:p>
        </w:tc>
        <w:tc>
          <w:tcPr>
            <w:tcW w:w="86" w:type="dxa"/>
            <w:tcBorders/>
            <w:shd w:fill="auto" w:val="clear"/>
            <w:tcMar>
              <w:bottom w:w="0" w:type="dxa"/>
            </w:tcMar>
            <w:vAlign w:val="bottom"/>
          </w:tcPr>
          <w:p>
            <w:pPr>
              <w:pStyle w:val="TableContents"/>
              <w:spacing w:before="0" w:after="283"/>
              <w:jc w:val="left"/>
              <w:rPr/>
            </w:pPr>
            <w:r>
              <w:rPr/>
              <w:t> </w:t>
            </w:r>
          </w:p>
        </w:tc>
        <w:tc>
          <w:tcPr>
            <w:tcW w:w="1025" w:type="dxa"/>
            <w:tcBorders/>
            <w:shd w:fill="auto" w:val="clear"/>
            <w:tcMar>
              <w:bottom w:w="0" w:type="dxa"/>
            </w:tcMar>
            <w:vAlign w:val="bottom"/>
          </w:tcPr>
          <w:p>
            <w:pPr>
              <w:pStyle w:val="TableContents"/>
              <w:spacing w:before="0" w:after="283"/>
              <w:rPr/>
            </w:pPr>
            <w:r>
              <w:rPr/>
              <w:t> </w:t>
            </w:r>
          </w:p>
        </w:tc>
        <w:tc>
          <w:tcPr>
            <w:tcW w:w="87" w:type="dxa"/>
            <w:tcBorders/>
            <w:shd w:fill="auto" w:val="clear"/>
            <w:tcMar>
              <w:bottom w:w="0" w:type="dxa"/>
            </w:tcMar>
            <w:vAlign w:val="bottom"/>
          </w:tcPr>
          <w:p>
            <w:pPr>
              <w:pStyle w:val="TableContents"/>
              <w:spacing w:before="0" w:after="283"/>
              <w:jc w:val="left"/>
              <w:rPr/>
            </w:pPr>
            <w:r>
              <w:rPr/>
              <w:t> </w:t>
            </w:r>
          </w:p>
        </w:tc>
        <w:tc>
          <w:tcPr>
            <w:tcW w:w="14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Shares</w:t>
            </w:r>
          </w:p>
        </w:tc>
        <w:tc>
          <w:tcPr>
            <w:tcW w:w="255" w:type="dxa"/>
            <w:tcBorders/>
            <w:shd w:fill="auto" w:val="clear"/>
            <w:tcMar>
              <w:bottom w:w="0" w:type="dxa"/>
            </w:tcMar>
            <w:vAlign w:val="bottom"/>
          </w:tcPr>
          <w:p>
            <w:pPr>
              <w:pStyle w:val="TableContents"/>
              <w:spacing w:before="0" w:after="283"/>
              <w:jc w:val="left"/>
              <w:rPr/>
            </w:pPr>
            <w:r>
              <w:rPr/>
              <w:t> </w:t>
            </w:r>
          </w:p>
        </w:tc>
        <w:tc>
          <w:tcPr>
            <w:tcW w:w="12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Units of</w:t>
            </w:r>
          </w:p>
        </w:tc>
        <w:tc>
          <w:tcPr>
            <w:tcW w:w="114" w:type="dxa"/>
            <w:tcBorders/>
            <w:shd w:fill="auto" w:val="clear"/>
            <w:tcMar>
              <w:bottom w:w="0" w:type="dxa"/>
            </w:tcMar>
            <w:vAlign w:val="bottom"/>
          </w:tcPr>
          <w:p>
            <w:pPr>
              <w:pStyle w:val="TableContents"/>
              <w:spacing w:before="0" w:after="283"/>
              <w:jc w:val="left"/>
              <w:rPr/>
            </w:pPr>
            <w:r>
              <w:rPr/>
              <w:t> </w:t>
            </w:r>
          </w:p>
        </w:tc>
      </w:tr>
      <w:tr>
        <w:trPr/>
        <w:tc>
          <w:tcPr>
            <w:tcW w:w="1574" w:type="dxa"/>
            <w:tcBorders/>
            <w:shd w:fill="auto" w:val="clear"/>
            <w:tcMar>
              <w:bottom w:w="0" w:type="dxa"/>
            </w:tcMar>
            <w:vAlign w:val="bottom"/>
          </w:tcPr>
          <w:p>
            <w:pPr>
              <w:pStyle w:val="TableContents"/>
              <w:spacing w:before="0" w:after="283"/>
              <w:rPr/>
            </w:pPr>
            <w:r>
              <w:rPr/>
              <w:t xml:space="preserve">  </w:t>
            </w:r>
          </w:p>
        </w:tc>
        <w:tc>
          <w:tcPr>
            <w:tcW w:w="87" w:type="dxa"/>
            <w:tcBorders/>
            <w:shd w:fill="auto" w:val="clear"/>
            <w:tcMar>
              <w:bottom w:w="0" w:type="dxa"/>
            </w:tcMar>
            <w:vAlign w:val="bottom"/>
          </w:tcPr>
          <w:p>
            <w:pPr>
              <w:pStyle w:val="TableContents"/>
              <w:spacing w:before="0" w:after="283"/>
              <w:rPr/>
            </w:pPr>
            <w:r>
              <w:rPr/>
              <w:t> </w:t>
            </w:r>
          </w:p>
        </w:tc>
        <w:tc>
          <w:tcPr>
            <w:tcW w:w="1173"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Unexercised</w:t>
            </w:r>
          </w:p>
        </w:tc>
        <w:tc>
          <w:tcPr>
            <w:tcW w:w="351" w:type="dxa"/>
            <w:tcBorders/>
            <w:shd w:fill="auto" w:val="clear"/>
            <w:tcMar>
              <w:bottom w:w="0" w:type="dxa"/>
            </w:tcMar>
            <w:vAlign w:val="bottom"/>
          </w:tcPr>
          <w:p>
            <w:pPr>
              <w:pStyle w:val="TableContents"/>
              <w:spacing w:before="0" w:after="283"/>
              <w:jc w:val="left"/>
              <w:rPr/>
            </w:pPr>
            <w:r>
              <w:rPr/>
              <w:t> </w:t>
            </w:r>
          </w:p>
        </w:tc>
        <w:tc>
          <w:tcPr>
            <w:tcW w:w="1295"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Unexercised</w:t>
            </w:r>
          </w:p>
        </w:tc>
        <w:tc>
          <w:tcPr>
            <w:tcW w:w="351"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922"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tc>
        <w:tc>
          <w:tcPr>
            <w:tcW w:w="86" w:type="dxa"/>
            <w:tcBorders/>
            <w:shd w:fill="auto" w:val="clear"/>
            <w:tcMar>
              <w:bottom w:w="0" w:type="dxa"/>
            </w:tcMar>
            <w:vAlign w:val="bottom"/>
          </w:tcPr>
          <w:p>
            <w:pPr>
              <w:pStyle w:val="TableContents"/>
              <w:spacing w:before="0" w:after="283"/>
              <w:jc w:val="left"/>
              <w:rPr/>
            </w:pPr>
            <w:r>
              <w:rPr/>
              <w:t> </w:t>
            </w:r>
          </w:p>
        </w:tc>
        <w:tc>
          <w:tcPr>
            <w:tcW w:w="1025"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tc>
        <w:tc>
          <w:tcPr>
            <w:tcW w:w="87" w:type="dxa"/>
            <w:tcBorders/>
            <w:shd w:fill="auto" w:val="clear"/>
            <w:tcMar>
              <w:bottom w:w="0" w:type="dxa"/>
            </w:tcMar>
            <w:vAlign w:val="bottom"/>
          </w:tcPr>
          <w:p>
            <w:pPr>
              <w:pStyle w:val="TableContents"/>
              <w:spacing w:before="0" w:after="283"/>
              <w:jc w:val="left"/>
              <w:rPr/>
            </w:pPr>
            <w:r>
              <w:rPr/>
              <w:t> </w:t>
            </w:r>
          </w:p>
        </w:tc>
        <w:tc>
          <w:tcPr>
            <w:tcW w:w="14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or Units</w:t>
            </w:r>
          </w:p>
        </w:tc>
        <w:tc>
          <w:tcPr>
            <w:tcW w:w="255" w:type="dxa"/>
            <w:tcBorders/>
            <w:shd w:fill="auto" w:val="clear"/>
            <w:tcMar>
              <w:bottom w:w="0" w:type="dxa"/>
            </w:tcMar>
            <w:vAlign w:val="bottom"/>
          </w:tcPr>
          <w:p>
            <w:pPr>
              <w:pStyle w:val="TableContents"/>
              <w:spacing w:before="0" w:after="283"/>
              <w:jc w:val="left"/>
              <w:rPr/>
            </w:pPr>
            <w:r>
              <w:rPr/>
              <w:t> </w:t>
            </w:r>
          </w:p>
        </w:tc>
        <w:tc>
          <w:tcPr>
            <w:tcW w:w="12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 that</w:t>
            </w:r>
          </w:p>
        </w:tc>
        <w:tc>
          <w:tcPr>
            <w:tcW w:w="114" w:type="dxa"/>
            <w:tcBorders/>
            <w:shd w:fill="auto" w:val="clear"/>
            <w:tcMar>
              <w:bottom w:w="0" w:type="dxa"/>
            </w:tcMar>
            <w:vAlign w:val="bottom"/>
          </w:tcPr>
          <w:p>
            <w:pPr>
              <w:pStyle w:val="TableContents"/>
              <w:spacing w:before="0" w:after="283"/>
              <w:jc w:val="left"/>
              <w:rPr/>
            </w:pPr>
            <w:r>
              <w:rPr/>
              <w:t> </w:t>
            </w:r>
          </w:p>
        </w:tc>
      </w:tr>
      <w:tr>
        <w:trPr/>
        <w:tc>
          <w:tcPr>
            <w:tcW w:w="1574" w:type="dxa"/>
            <w:tcBorders/>
            <w:shd w:fill="auto" w:val="clear"/>
            <w:tcMar>
              <w:bottom w:w="0" w:type="dxa"/>
            </w:tcMar>
            <w:vAlign w:val="bottom"/>
          </w:tcPr>
          <w:p>
            <w:pPr>
              <w:pStyle w:val="TableContents"/>
              <w:spacing w:before="0" w:after="283"/>
              <w:rPr/>
            </w:pPr>
            <w:r>
              <w:rPr/>
              <w:t xml:space="preserve">  </w:t>
            </w:r>
          </w:p>
        </w:tc>
        <w:tc>
          <w:tcPr>
            <w:tcW w:w="87" w:type="dxa"/>
            <w:tcBorders/>
            <w:shd w:fill="auto" w:val="clear"/>
            <w:tcMar>
              <w:bottom w:w="0" w:type="dxa"/>
            </w:tcMar>
            <w:vAlign w:val="bottom"/>
          </w:tcPr>
          <w:p>
            <w:pPr>
              <w:pStyle w:val="TableContents"/>
              <w:spacing w:before="0" w:after="283"/>
              <w:rPr/>
            </w:pPr>
            <w:r>
              <w:rPr/>
              <w:t> </w:t>
            </w:r>
          </w:p>
        </w:tc>
        <w:tc>
          <w:tcPr>
            <w:tcW w:w="1173"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w:t>
            </w:r>
          </w:p>
        </w:tc>
        <w:tc>
          <w:tcPr>
            <w:tcW w:w="351" w:type="dxa"/>
            <w:tcBorders/>
            <w:shd w:fill="auto" w:val="clear"/>
            <w:tcMar>
              <w:bottom w:w="0" w:type="dxa"/>
            </w:tcMar>
            <w:vAlign w:val="bottom"/>
          </w:tcPr>
          <w:p>
            <w:pPr>
              <w:pStyle w:val="TableContents"/>
              <w:spacing w:before="0" w:after="283"/>
              <w:jc w:val="left"/>
              <w:rPr/>
            </w:pPr>
            <w:r>
              <w:rPr/>
              <w:t> </w:t>
            </w:r>
          </w:p>
        </w:tc>
        <w:tc>
          <w:tcPr>
            <w:tcW w:w="1295"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w:t>
            </w:r>
          </w:p>
        </w:tc>
        <w:tc>
          <w:tcPr>
            <w:tcW w:w="351"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922"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86" w:type="dxa"/>
            <w:tcBorders/>
            <w:shd w:fill="auto" w:val="clear"/>
            <w:tcMar>
              <w:bottom w:w="0" w:type="dxa"/>
            </w:tcMar>
            <w:vAlign w:val="bottom"/>
          </w:tcPr>
          <w:p>
            <w:pPr>
              <w:pStyle w:val="TableContents"/>
              <w:spacing w:before="0" w:after="283"/>
              <w:jc w:val="left"/>
              <w:rPr/>
            </w:pPr>
            <w:r>
              <w:rPr/>
              <w:t> </w:t>
            </w:r>
          </w:p>
        </w:tc>
        <w:tc>
          <w:tcPr>
            <w:tcW w:w="1025"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Expiration</w:t>
            </w:r>
          </w:p>
        </w:tc>
        <w:tc>
          <w:tcPr>
            <w:tcW w:w="87" w:type="dxa"/>
            <w:tcBorders/>
            <w:shd w:fill="auto" w:val="clear"/>
            <w:tcMar>
              <w:bottom w:w="0" w:type="dxa"/>
            </w:tcMar>
            <w:vAlign w:val="bottom"/>
          </w:tcPr>
          <w:p>
            <w:pPr>
              <w:pStyle w:val="TableContents"/>
              <w:spacing w:before="0" w:after="283"/>
              <w:jc w:val="left"/>
              <w:rPr/>
            </w:pPr>
            <w:r>
              <w:rPr/>
              <w:t> </w:t>
            </w:r>
          </w:p>
        </w:tc>
        <w:tc>
          <w:tcPr>
            <w:tcW w:w="14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Stock that</w:t>
            </w:r>
          </w:p>
        </w:tc>
        <w:tc>
          <w:tcPr>
            <w:tcW w:w="255" w:type="dxa"/>
            <w:tcBorders/>
            <w:shd w:fill="auto" w:val="clear"/>
            <w:tcMar>
              <w:bottom w:w="0" w:type="dxa"/>
            </w:tcMar>
            <w:vAlign w:val="bottom"/>
          </w:tcPr>
          <w:p>
            <w:pPr>
              <w:pStyle w:val="TableContents"/>
              <w:spacing w:before="0" w:after="283"/>
              <w:jc w:val="left"/>
              <w:rPr/>
            </w:pPr>
            <w:r>
              <w:rPr/>
              <w:t> </w:t>
            </w:r>
          </w:p>
        </w:tc>
        <w:tc>
          <w:tcPr>
            <w:tcW w:w="1299" w:type="dxa"/>
            <w:gridSpan w:val="3"/>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Have Not</w:t>
            </w:r>
          </w:p>
        </w:tc>
        <w:tc>
          <w:tcPr>
            <w:tcW w:w="114" w:type="dxa"/>
            <w:tcBorders/>
            <w:shd w:fill="auto" w:val="clear"/>
            <w:tcMar>
              <w:bottom w:w="0" w:type="dxa"/>
            </w:tcMar>
            <w:vAlign w:val="bottom"/>
          </w:tcPr>
          <w:p>
            <w:pPr>
              <w:pStyle w:val="TableContents"/>
              <w:spacing w:before="0" w:after="283"/>
              <w:jc w:val="left"/>
              <w:rPr/>
            </w:pPr>
            <w:r>
              <w:rPr/>
              <w:t> </w:t>
            </w:r>
          </w:p>
        </w:tc>
      </w:tr>
      <w:tr>
        <w:trPr/>
        <w:tc>
          <w:tcPr>
            <w:tcW w:w="1574"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Name</w:t>
            </w:r>
          </w:p>
        </w:tc>
        <w:tc>
          <w:tcPr>
            <w:tcW w:w="87" w:type="dxa"/>
            <w:tcBorders/>
            <w:shd w:fill="auto" w:val="clear"/>
            <w:tcMar>
              <w:bottom w:w="0" w:type="dxa"/>
            </w:tcMar>
            <w:vAlign w:val="bottom"/>
          </w:tcPr>
          <w:p>
            <w:pPr>
              <w:pStyle w:val="TableContents"/>
              <w:spacing w:before="0" w:after="283"/>
              <w:rPr/>
            </w:pPr>
            <w:r>
              <w:rPr/>
              <w:t> </w:t>
            </w:r>
          </w:p>
        </w:tc>
        <w:tc>
          <w:tcPr>
            <w:tcW w:w="1173" w:type="dxa"/>
            <w:gridSpan w:val="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Exercisable</w:t>
            </w:r>
          </w:p>
        </w:tc>
        <w:tc>
          <w:tcPr>
            <w:tcW w:w="351" w:type="dxa"/>
            <w:tcBorders/>
            <w:shd w:fill="auto" w:val="clear"/>
            <w:tcMar>
              <w:bottom w:w="0" w:type="dxa"/>
            </w:tcMar>
            <w:vAlign w:val="bottom"/>
          </w:tcPr>
          <w:p>
            <w:pPr>
              <w:pStyle w:val="TableContents"/>
              <w:spacing w:before="0" w:after="283"/>
              <w:jc w:val="left"/>
              <w:rPr/>
            </w:pPr>
            <w:r>
              <w:rPr/>
              <w:t> </w:t>
            </w:r>
          </w:p>
        </w:tc>
        <w:tc>
          <w:tcPr>
            <w:tcW w:w="1295" w:type="dxa"/>
            <w:gridSpan w:val="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Unexercisable</w:t>
            </w:r>
          </w:p>
        </w:tc>
        <w:tc>
          <w:tcPr>
            <w:tcW w:w="351"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922"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 ($)</w:t>
            </w:r>
          </w:p>
        </w:tc>
        <w:tc>
          <w:tcPr>
            <w:tcW w:w="86" w:type="dxa"/>
            <w:tcBorders/>
            <w:shd w:fill="auto" w:val="clear"/>
            <w:tcMar>
              <w:bottom w:w="0" w:type="dxa"/>
            </w:tcMar>
            <w:vAlign w:val="bottom"/>
          </w:tcPr>
          <w:p>
            <w:pPr>
              <w:pStyle w:val="TableContents"/>
              <w:spacing w:before="0" w:after="283"/>
              <w:jc w:val="left"/>
              <w:rPr/>
            </w:pPr>
            <w:r>
              <w:rPr/>
              <w:t> </w:t>
            </w:r>
          </w:p>
        </w:tc>
        <w:tc>
          <w:tcPr>
            <w:tcW w:w="102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Date</w:t>
            </w:r>
          </w:p>
        </w:tc>
        <w:tc>
          <w:tcPr>
            <w:tcW w:w="87" w:type="dxa"/>
            <w:tcBorders/>
            <w:shd w:fill="auto" w:val="clear"/>
            <w:tcMar>
              <w:bottom w:w="0" w:type="dxa"/>
            </w:tcMar>
            <w:vAlign w:val="bottom"/>
          </w:tcPr>
          <w:p>
            <w:pPr>
              <w:pStyle w:val="TableContents"/>
              <w:spacing w:before="0" w:after="283"/>
              <w:jc w:val="left"/>
              <w:rPr/>
            </w:pPr>
            <w:r>
              <w:rPr/>
              <w:t> </w:t>
            </w:r>
          </w:p>
        </w:tc>
        <w:tc>
          <w:tcPr>
            <w:tcW w:w="1499" w:type="dxa"/>
            <w:gridSpan w:val="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Have Not Vested</w:t>
            </w:r>
          </w:p>
        </w:tc>
        <w:tc>
          <w:tcPr>
            <w:tcW w:w="255" w:type="dxa"/>
            <w:tcBorders/>
            <w:shd w:fill="auto" w:val="clear"/>
            <w:tcMar>
              <w:bottom w:w="0" w:type="dxa"/>
            </w:tcMar>
            <w:vAlign w:val="bottom"/>
          </w:tcPr>
          <w:p>
            <w:pPr>
              <w:pStyle w:val="TableContents"/>
              <w:spacing w:before="0" w:after="283"/>
              <w:jc w:val="left"/>
              <w:rPr/>
            </w:pPr>
            <w:r>
              <w:rPr/>
              <w:t> </w:t>
            </w:r>
          </w:p>
        </w:tc>
        <w:tc>
          <w:tcPr>
            <w:tcW w:w="1299" w:type="dxa"/>
            <w:gridSpan w:val="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Vested(1)</w:t>
            </w:r>
          </w:p>
        </w:tc>
        <w:tc>
          <w:tcPr>
            <w:tcW w:w="114" w:type="dxa"/>
            <w:tcBorders/>
            <w:shd w:fill="auto" w:val="clear"/>
            <w:tcMar>
              <w:bottom w:w="0" w:type="dxa"/>
            </w:tcMar>
            <w:vAlign w:val="bottom"/>
          </w:tcPr>
          <w:p>
            <w:pPr>
              <w:pStyle w:val="TableContents"/>
              <w:spacing w:before="0" w:after="283"/>
              <w:jc w:val="left"/>
              <w:rPr/>
            </w:pPr>
            <w:r>
              <w:rPr/>
              <w:t> </w:t>
            </w:r>
          </w:p>
        </w:tc>
      </w:tr>
      <w:tr>
        <w:trPr/>
        <w:tc>
          <w:tcPr>
            <w:tcW w:w="1574"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 L. Baum, J.D.</w:t>
            </w:r>
          </w:p>
        </w:tc>
        <w:tc>
          <w:tcPr>
            <w:tcW w:w="87"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114,583</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100" w:type="dxa"/>
            <w:tcBorders/>
            <w:shd w:fill="CCEEFF" w:val="clear"/>
            <w:tcMar>
              <w:bottom w:w="0" w:type="dxa"/>
            </w:tcMar>
            <w:vAlign w:val="bottom"/>
          </w:tcPr>
          <w:p>
            <w:pPr>
              <w:pStyle w:val="TableContents"/>
              <w:spacing w:before="0" w:after="283"/>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10,417</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87" w:type="dxa"/>
            <w:tcBorders/>
            <w:shd w:fill="CCEEFF" w:val="clear"/>
            <w:tcMar>
              <w:bottom w:w="0" w:type="dxa"/>
            </w:tcMar>
            <w:vAlign w:val="bottom"/>
          </w:tcPr>
          <w:p>
            <w:pPr>
              <w:pStyle w:val="TableContents"/>
              <w:spacing w:before="0" w:after="283"/>
              <w:rPr/>
            </w:pPr>
            <w:r>
              <w:rPr/>
              <w:t> </w:t>
            </w:r>
          </w:p>
        </w:tc>
        <w:tc>
          <w:tcPr>
            <w:tcW w:w="17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86"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1/25/2022</w:t>
            </w:r>
          </w:p>
        </w:tc>
        <w:tc>
          <w:tcPr>
            <w:tcW w:w="87" w:type="dxa"/>
            <w:tcBorders/>
            <w:shd w:fill="CCEEFF" w:val="clear"/>
            <w:tcMar>
              <w:bottom w:w="0" w:type="dxa"/>
            </w:tcMar>
            <w:vAlign w:val="bottom"/>
          </w:tcPr>
          <w:p>
            <w:pPr>
              <w:pStyle w:val="TableContents"/>
              <w:spacing w:before="0" w:after="283"/>
              <w:jc w:val="left"/>
              <w:rPr/>
            </w:pPr>
            <w:r>
              <w:rPr/>
              <w:t> </w:t>
            </w:r>
          </w:p>
        </w:tc>
        <w:tc>
          <w:tcPr>
            <w:tcW w:w="115" w:type="dxa"/>
            <w:tcBorders/>
            <w:shd w:fill="CCEEFF" w:val="clear"/>
            <w:tcMar>
              <w:bottom w:w="0" w:type="dxa"/>
            </w:tcMar>
            <w:vAlign w:val="bottom"/>
          </w:tcPr>
          <w:p>
            <w:pPr>
              <w:pStyle w:val="TableContents"/>
              <w:spacing w:before="0" w:after="283"/>
              <w:rPr/>
            </w:pPr>
            <w:r>
              <w:rPr/>
              <w:t> </w:t>
            </w:r>
          </w:p>
        </w:tc>
        <w:tc>
          <w:tcPr>
            <w:tcW w:w="115"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r>
      <w:tr>
        <w:trPr/>
        <w:tc>
          <w:tcPr>
            <w:tcW w:w="1574" w:type="dxa"/>
            <w:tcBorders/>
            <w:shd w:fill="FFFFFF" w:val="clear"/>
            <w:tcMar>
              <w:bottom w:w="0" w:type="dxa"/>
            </w:tcMar>
            <w:vAlign w:val="bottom"/>
          </w:tcPr>
          <w:p>
            <w:pPr>
              <w:pStyle w:val="TableContents"/>
              <w:spacing w:before="0" w:after="283"/>
              <w:rPr/>
            </w:pPr>
            <w:r>
              <w:rPr/>
              <w:t xml:space="preserve">  </w:t>
            </w:r>
          </w:p>
        </w:tc>
        <w:tc>
          <w:tcPr>
            <w:tcW w:w="87" w:type="dxa"/>
            <w:tcBorders/>
            <w:shd w:fill="FFFFFF" w:val="clear"/>
            <w:tcMar>
              <w:bottom w:w="0" w:type="dxa"/>
            </w:tcMar>
            <w:vAlign w:val="bottom"/>
          </w:tcPr>
          <w:p>
            <w:pPr>
              <w:pStyle w:val="TableContents"/>
              <w:spacing w:before="0" w:after="283"/>
              <w:rPr/>
            </w:pPr>
            <w:r>
              <w:rPr/>
              <w:t> </w:t>
            </w:r>
          </w:p>
        </w:tc>
        <w:tc>
          <w:tcPr>
            <w:tcW w:w="92" w:type="dxa"/>
            <w:tcBorders/>
            <w:shd w:fill="FFFFFF" w:val="clear"/>
            <w:tcMar>
              <w:bottom w:w="0" w:type="dxa"/>
            </w:tcMar>
            <w:vAlign w:val="bottom"/>
          </w:tcPr>
          <w:p>
            <w:pPr>
              <w:pStyle w:val="TableContents"/>
              <w:spacing w:before="0" w:after="283"/>
              <w:rPr/>
            </w:pPr>
            <w:r>
              <w:rPr/>
              <w:t> </w:t>
            </w:r>
          </w:p>
        </w:tc>
        <w:tc>
          <w:tcPr>
            <w:tcW w:w="92"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31,875</w:t>
            </w:r>
          </w:p>
        </w:tc>
        <w:tc>
          <w:tcPr>
            <w:tcW w:w="35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0" w:type="dxa"/>
            <w:tcBorders/>
            <w:shd w:fill="FFFFFF" w:val="clear"/>
            <w:tcMar>
              <w:bottom w:w="0" w:type="dxa"/>
            </w:tcMar>
            <w:vAlign w:val="bottom"/>
          </w:tcPr>
          <w:p>
            <w:pPr>
              <w:pStyle w:val="TableContents"/>
              <w:spacing w:before="0" w:after="283"/>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28,125</w:t>
            </w:r>
          </w:p>
        </w:tc>
        <w:tc>
          <w:tcPr>
            <w:tcW w:w="35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87"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86"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3/31/2017</w:t>
            </w:r>
          </w:p>
        </w:tc>
        <w:tc>
          <w:tcPr>
            <w:tcW w:w="87" w:type="dxa"/>
            <w:tcBorders/>
            <w:shd w:fill="FFFFFF" w:val="clear"/>
            <w:tcMar>
              <w:bottom w:w="0" w:type="dxa"/>
            </w:tcMar>
            <w:vAlign w:val="bottom"/>
          </w:tcPr>
          <w:p>
            <w:pPr>
              <w:pStyle w:val="TableContents"/>
              <w:spacing w:before="0" w:after="283"/>
              <w:jc w:val="left"/>
              <w:rPr/>
            </w:pPr>
            <w:r>
              <w:rPr/>
              <w:t> </w:t>
            </w:r>
          </w:p>
        </w:tc>
        <w:tc>
          <w:tcPr>
            <w:tcW w:w="115" w:type="dxa"/>
            <w:tcBorders/>
            <w:shd w:fill="FFFFFF" w:val="clear"/>
            <w:tcMar>
              <w:bottom w:w="0" w:type="dxa"/>
            </w:tcMar>
            <w:vAlign w:val="bottom"/>
          </w:tcPr>
          <w:p>
            <w:pPr>
              <w:pStyle w:val="TableContents"/>
              <w:spacing w:before="0" w:after="283"/>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w:t>
            </w:r>
          </w:p>
        </w:tc>
      </w:tr>
      <w:tr>
        <w:trPr/>
        <w:tc>
          <w:tcPr>
            <w:tcW w:w="1574" w:type="dxa"/>
            <w:tcBorders/>
            <w:shd w:fill="CCEEFF" w:val="clear"/>
            <w:tcMar>
              <w:bottom w:w="0" w:type="dxa"/>
            </w:tcMar>
            <w:vAlign w:val="bottom"/>
          </w:tcPr>
          <w:p>
            <w:pPr>
              <w:pStyle w:val="TableContents"/>
              <w:spacing w:before="0" w:after="283"/>
              <w:rPr/>
            </w:pPr>
            <w:r>
              <w:rPr/>
              <w:t xml:space="preserve">  </w:t>
            </w:r>
          </w:p>
        </w:tc>
        <w:tc>
          <w:tcPr>
            <w:tcW w:w="87"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18,750</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00" w:type="dxa"/>
            <w:tcBorders/>
            <w:shd w:fill="CCEEFF" w:val="clear"/>
            <w:tcMar>
              <w:bottom w:w="0" w:type="dxa"/>
            </w:tcMar>
            <w:vAlign w:val="bottom"/>
          </w:tcPr>
          <w:p>
            <w:pPr>
              <w:pStyle w:val="TableContents"/>
              <w:spacing w:before="0" w:after="283"/>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87" w:type="dxa"/>
            <w:tcBorders/>
            <w:shd w:fill="CCEEFF" w:val="clear"/>
            <w:tcMar>
              <w:bottom w:w="0" w:type="dxa"/>
            </w:tcMar>
            <w:vAlign w:val="bottom"/>
          </w:tcPr>
          <w:p>
            <w:pPr>
              <w:pStyle w:val="TableContents"/>
              <w:spacing w:before="0" w:after="283"/>
              <w:rPr/>
            </w:pPr>
            <w:r>
              <w:rPr/>
              <w:t> </w:t>
            </w:r>
          </w:p>
        </w:tc>
        <w:tc>
          <w:tcPr>
            <w:tcW w:w="17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86"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3/31/2017</w:t>
            </w:r>
          </w:p>
        </w:tc>
        <w:tc>
          <w:tcPr>
            <w:tcW w:w="87" w:type="dxa"/>
            <w:tcBorders/>
            <w:shd w:fill="CCEEFF" w:val="clear"/>
            <w:tcMar>
              <w:bottom w:w="0" w:type="dxa"/>
            </w:tcMar>
            <w:vAlign w:val="bottom"/>
          </w:tcPr>
          <w:p>
            <w:pPr>
              <w:pStyle w:val="TableContents"/>
              <w:spacing w:before="0" w:after="283"/>
              <w:jc w:val="left"/>
              <w:rPr/>
            </w:pPr>
            <w:r>
              <w:rPr/>
              <w:t> </w:t>
            </w:r>
          </w:p>
        </w:tc>
        <w:tc>
          <w:tcPr>
            <w:tcW w:w="115" w:type="dxa"/>
            <w:tcBorders/>
            <w:shd w:fill="CCEEFF" w:val="clear"/>
            <w:tcMar>
              <w:bottom w:w="0" w:type="dxa"/>
            </w:tcMar>
            <w:vAlign w:val="bottom"/>
          </w:tcPr>
          <w:p>
            <w:pPr>
              <w:pStyle w:val="TableContents"/>
              <w:spacing w:before="0" w:after="283"/>
              <w:rPr/>
            </w:pPr>
            <w:r>
              <w:rPr/>
              <w:t> </w:t>
            </w:r>
          </w:p>
        </w:tc>
        <w:tc>
          <w:tcPr>
            <w:tcW w:w="115"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r>
      <w:tr>
        <w:trPr/>
        <w:tc>
          <w:tcPr>
            <w:tcW w:w="1574" w:type="dxa"/>
            <w:tcBorders/>
            <w:shd w:fill="FFFFFF" w:val="clear"/>
            <w:tcMar>
              <w:bottom w:w="0" w:type="dxa"/>
            </w:tcMar>
            <w:vAlign w:val="bottom"/>
          </w:tcPr>
          <w:p>
            <w:pPr>
              <w:pStyle w:val="TableContents"/>
              <w:spacing w:before="0" w:after="283"/>
              <w:rPr/>
            </w:pPr>
            <w:r>
              <w:rPr/>
              <w:t xml:space="preserve">  </w:t>
            </w:r>
          </w:p>
        </w:tc>
        <w:tc>
          <w:tcPr>
            <w:tcW w:w="87" w:type="dxa"/>
            <w:tcBorders/>
            <w:shd w:fill="FFFFFF" w:val="clear"/>
            <w:tcMar>
              <w:bottom w:w="0" w:type="dxa"/>
            </w:tcMar>
            <w:vAlign w:val="bottom"/>
          </w:tcPr>
          <w:p>
            <w:pPr>
              <w:pStyle w:val="TableContents"/>
              <w:spacing w:before="0" w:after="283"/>
              <w:rPr/>
            </w:pPr>
            <w:r>
              <w:rPr/>
              <w:t> </w:t>
            </w:r>
          </w:p>
        </w:tc>
        <w:tc>
          <w:tcPr>
            <w:tcW w:w="92" w:type="dxa"/>
            <w:tcBorders/>
            <w:shd w:fill="FFFFFF" w:val="clear"/>
            <w:tcMar>
              <w:bottom w:w="0" w:type="dxa"/>
            </w:tcMar>
            <w:vAlign w:val="bottom"/>
          </w:tcPr>
          <w:p>
            <w:pPr>
              <w:pStyle w:val="TableContents"/>
              <w:spacing w:before="0" w:after="283"/>
              <w:rPr/>
            </w:pPr>
            <w:r>
              <w:rPr/>
              <w:t> </w:t>
            </w:r>
          </w:p>
        </w:tc>
        <w:tc>
          <w:tcPr>
            <w:tcW w:w="92"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1"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rPr/>
            </w:pPr>
            <w:r>
              <w:rPr/>
              <w:t> </w:t>
            </w:r>
            <w:r>
              <w:rPr>
                <w:rFonts w:ascii="times new roman" w:hAnsi="times new roman"/>
                <w:sz w:val="20"/>
              </w:rPr>
              <w:t>-</w:t>
            </w:r>
          </w:p>
        </w:tc>
        <w:tc>
          <w:tcPr>
            <w:tcW w:w="87" w:type="dxa"/>
            <w:tcBorders/>
            <w:shd w:fill="FFFFFF" w:val="clear"/>
            <w:tcMar>
              <w:bottom w:w="0" w:type="dxa"/>
            </w:tcMar>
            <w:vAlign w:val="bottom"/>
          </w:tcPr>
          <w:p>
            <w:pPr>
              <w:pStyle w:val="TableContents"/>
              <w:spacing w:before="0" w:after="283"/>
              <w:jc w:val="left"/>
              <w:rPr/>
            </w:pPr>
            <w:r>
              <w:rPr/>
              <w:t> </w:t>
            </w:r>
          </w:p>
        </w:tc>
        <w:tc>
          <w:tcPr>
            <w:tcW w:w="115" w:type="dxa"/>
            <w:tcBorders/>
            <w:shd w:fill="FFFFFF" w:val="clear"/>
            <w:tcMar>
              <w:bottom w:w="0" w:type="dxa"/>
            </w:tcMar>
            <w:vAlign w:val="bottom"/>
          </w:tcPr>
          <w:p>
            <w:pPr>
              <w:pStyle w:val="TableContents"/>
              <w:spacing w:before="0" w:after="283"/>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160,000</w:t>
            </w:r>
          </w:p>
        </w:tc>
        <w:tc>
          <w:tcPr>
            <w:tcW w:w="25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87" w:type="dxa"/>
            <w:tcBorders/>
            <w:shd w:fill="FFFFFF" w:val="clear"/>
            <w:tcMar>
              <w:bottom w:w="0" w:type="dxa"/>
            </w:tcMar>
            <w:vAlign w:val="bottom"/>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1,560,000</w:t>
            </w:r>
          </w:p>
        </w:tc>
        <w:tc>
          <w:tcPr>
            <w:tcW w:w="114" w:type="dxa"/>
            <w:tcBorders/>
            <w:shd w:fill="FFFFFF" w:val="clear"/>
            <w:tcMar>
              <w:bottom w:w="0" w:type="dxa"/>
            </w:tcMar>
            <w:vAlign w:val="bottom"/>
          </w:tcPr>
          <w:p>
            <w:pPr>
              <w:pStyle w:val="TableContents"/>
              <w:spacing w:before="0" w:after="283"/>
              <w:jc w:val="left"/>
              <w:rPr/>
            </w:pPr>
            <w:r>
              <w:rPr/>
              <w:t> </w:t>
            </w:r>
          </w:p>
        </w:tc>
      </w:tr>
      <w:tr>
        <w:trPr/>
        <w:tc>
          <w:tcPr>
            <w:tcW w:w="1574"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Balbir Brar, D.V.M., Ph.D.</w:t>
            </w:r>
          </w:p>
        </w:tc>
        <w:tc>
          <w:tcPr>
            <w:tcW w:w="87"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68,750</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100" w:type="dxa"/>
            <w:tcBorders/>
            <w:shd w:fill="CCEEFF" w:val="clear"/>
            <w:tcMar>
              <w:bottom w:w="0" w:type="dxa"/>
            </w:tcMar>
            <w:vAlign w:val="bottom"/>
          </w:tcPr>
          <w:p>
            <w:pPr>
              <w:pStyle w:val="TableContents"/>
              <w:spacing w:before="0" w:after="283"/>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156,250</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87" w:type="dxa"/>
            <w:tcBorders/>
            <w:shd w:fill="CCEEFF" w:val="clear"/>
            <w:tcMar>
              <w:bottom w:w="0" w:type="dxa"/>
            </w:tcMar>
            <w:vAlign w:val="bottom"/>
          </w:tcPr>
          <w:p>
            <w:pPr>
              <w:pStyle w:val="TableContents"/>
              <w:spacing w:before="0" w:after="283"/>
              <w:rPr/>
            </w:pPr>
            <w:r>
              <w:rPr/>
              <w:t> </w:t>
            </w:r>
          </w:p>
        </w:tc>
        <w:tc>
          <w:tcPr>
            <w:tcW w:w="17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86"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1/25/2016</w:t>
            </w:r>
          </w:p>
        </w:tc>
        <w:tc>
          <w:tcPr>
            <w:tcW w:w="87" w:type="dxa"/>
            <w:tcBorders/>
            <w:shd w:fill="CCEEFF" w:val="clear"/>
            <w:tcMar>
              <w:bottom w:w="0" w:type="dxa"/>
            </w:tcMar>
            <w:vAlign w:val="bottom"/>
          </w:tcPr>
          <w:p>
            <w:pPr>
              <w:pStyle w:val="TableContents"/>
              <w:spacing w:before="0" w:after="283"/>
              <w:jc w:val="left"/>
              <w:rPr/>
            </w:pPr>
            <w:r>
              <w:rPr/>
              <w:t> </w:t>
            </w:r>
          </w:p>
        </w:tc>
        <w:tc>
          <w:tcPr>
            <w:tcW w:w="115" w:type="dxa"/>
            <w:tcBorders/>
            <w:shd w:fill="CCEEFF" w:val="clear"/>
            <w:tcMar>
              <w:bottom w:w="0" w:type="dxa"/>
            </w:tcMar>
            <w:vAlign w:val="bottom"/>
          </w:tcPr>
          <w:p>
            <w:pPr>
              <w:pStyle w:val="TableContents"/>
              <w:spacing w:before="0" w:after="283"/>
              <w:rPr/>
            </w:pPr>
            <w:r>
              <w:rPr/>
              <w:t> </w:t>
            </w:r>
          </w:p>
        </w:tc>
        <w:tc>
          <w:tcPr>
            <w:tcW w:w="115"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r>
      <w:tr>
        <w:trPr/>
        <w:tc>
          <w:tcPr>
            <w:tcW w:w="1574" w:type="dxa"/>
            <w:tcBorders/>
            <w:shd w:fill="FFFFFF" w:val="clear"/>
            <w:tcMar>
              <w:bottom w:w="0" w:type="dxa"/>
            </w:tcMar>
            <w:vAlign w:val="bottom"/>
          </w:tcPr>
          <w:p>
            <w:pPr>
              <w:pStyle w:val="TableContents"/>
              <w:spacing w:before="0" w:after="283"/>
              <w:rPr/>
            </w:pPr>
            <w:r>
              <w:rPr/>
              <w:t xml:space="preserve">  </w:t>
            </w:r>
          </w:p>
        </w:tc>
        <w:tc>
          <w:tcPr>
            <w:tcW w:w="87" w:type="dxa"/>
            <w:tcBorders/>
            <w:shd w:fill="FFFFFF" w:val="clear"/>
            <w:tcMar>
              <w:bottom w:w="0" w:type="dxa"/>
            </w:tcMar>
            <w:vAlign w:val="bottom"/>
          </w:tcPr>
          <w:p>
            <w:pPr>
              <w:pStyle w:val="TableContents"/>
              <w:spacing w:before="0" w:after="283"/>
              <w:rPr/>
            </w:pPr>
            <w:r>
              <w:rPr/>
              <w:t> </w:t>
            </w:r>
          </w:p>
        </w:tc>
        <w:tc>
          <w:tcPr>
            <w:tcW w:w="92" w:type="dxa"/>
            <w:tcBorders/>
            <w:shd w:fill="FFFFFF" w:val="clear"/>
            <w:tcMar>
              <w:bottom w:w="0" w:type="dxa"/>
            </w:tcMar>
            <w:vAlign w:val="bottom"/>
          </w:tcPr>
          <w:p>
            <w:pPr>
              <w:pStyle w:val="TableContents"/>
              <w:spacing w:before="0" w:after="283"/>
              <w:rPr/>
            </w:pPr>
            <w:r>
              <w:rPr/>
              <w:t> </w:t>
            </w:r>
          </w:p>
        </w:tc>
        <w:tc>
          <w:tcPr>
            <w:tcW w:w="92"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5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100" w:type="dxa"/>
            <w:tcBorders/>
            <w:shd w:fill="FFFFFF" w:val="clear"/>
            <w:tcMar>
              <w:bottom w:w="0" w:type="dxa"/>
            </w:tcMar>
            <w:vAlign w:val="bottom"/>
          </w:tcPr>
          <w:p>
            <w:pPr>
              <w:pStyle w:val="TableContents"/>
              <w:spacing w:before="0" w:after="283"/>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1"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86"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rPr/>
            </w:pPr>
            <w:r>
              <w:rPr/>
              <w:t> </w:t>
            </w:r>
            <w:r>
              <w:rPr>
                <w:rFonts w:ascii="times new roman" w:hAnsi="times new roman"/>
                <w:sz w:val="20"/>
              </w:rPr>
              <w:t>-</w:t>
            </w:r>
          </w:p>
        </w:tc>
        <w:tc>
          <w:tcPr>
            <w:tcW w:w="87" w:type="dxa"/>
            <w:tcBorders/>
            <w:shd w:fill="FFFFFF" w:val="clear"/>
            <w:tcMar>
              <w:bottom w:w="0" w:type="dxa"/>
            </w:tcMar>
            <w:vAlign w:val="bottom"/>
          </w:tcPr>
          <w:p>
            <w:pPr>
              <w:pStyle w:val="TableContents"/>
              <w:spacing w:before="0" w:after="283"/>
              <w:jc w:val="left"/>
              <w:rPr/>
            </w:pPr>
            <w:r>
              <w:rPr/>
              <w:t> </w:t>
            </w:r>
          </w:p>
        </w:tc>
        <w:tc>
          <w:tcPr>
            <w:tcW w:w="115" w:type="dxa"/>
            <w:tcBorders/>
            <w:shd w:fill="FFFFFF" w:val="clear"/>
            <w:tcMar>
              <w:bottom w:w="0" w:type="dxa"/>
            </w:tcMar>
            <w:vAlign w:val="bottom"/>
          </w:tcPr>
          <w:p>
            <w:pPr>
              <w:pStyle w:val="TableContents"/>
              <w:spacing w:before="0" w:after="283"/>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w:t>
            </w:r>
          </w:p>
        </w:tc>
      </w:tr>
      <w:tr>
        <w:trPr/>
        <w:tc>
          <w:tcPr>
            <w:tcW w:w="1574"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Joachim P.H. Schupp, M.D.</w:t>
            </w:r>
          </w:p>
        </w:tc>
        <w:tc>
          <w:tcPr>
            <w:tcW w:w="87"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22,917</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100" w:type="dxa"/>
            <w:tcBorders/>
            <w:shd w:fill="CCEEFF" w:val="clear"/>
            <w:tcMar>
              <w:bottom w:w="0" w:type="dxa"/>
            </w:tcMar>
            <w:vAlign w:val="bottom"/>
          </w:tcPr>
          <w:p>
            <w:pPr>
              <w:pStyle w:val="TableContents"/>
              <w:spacing w:before="0" w:after="283"/>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52,083</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87" w:type="dxa"/>
            <w:tcBorders/>
            <w:shd w:fill="CCEEFF" w:val="clear"/>
            <w:tcMar>
              <w:bottom w:w="0" w:type="dxa"/>
            </w:tcMar>
            <w:vAlign w:val="bottom"/>
          </w:tcPr>
          <w:p>
            <w:pPr>
              <w:pStyle w:val="TableContents"/>
              <w:spacing w:before="0" w:after="283"/>
              <w:rPr/>
            </w:pPr>
            <w:r>
              <w:rPr/>
              <w:t> </w:t>
            </w:r>
          </w:p>
        </w:tc>
        <w:tc>
          <w:tcPr>
            <w:tcW w:w="17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86"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2/15/2016</w:t>
            </w:r>
          </w:p>
        </w:tc>
        <w:tc>
          <w:tcPr>
            <w:tcW w:w="87" w:type="dxa"/>
            <w:tcBorders/>
            <w:shd w:fill="CCEEFF" w:val="clear"/>
            <w:tcMar>
              <w:bottom w:w="0" w:type="dxa"/>
            </w:tcMar>
            <w:vAlign w:val="bottom"/>
          </w:tcPr>
          <w:p>
            <w:pPr>
              <w:pStyle w:val="TableContents"/>
              <w:spacing w:before="0" w:after="283"/>
              <w:jc w:val="left"/>
              <w:rPr/>
            </w:pPr>
            <w:r>
              <w:rPr/>
              <w:t> </w:t>
            </w:r>
          </w:p>
        </w:tc>
        <w:tc>
          <w:tcPr>
            <w:tcW w:w="115" w:type="dxa"/>
            <w:tcBorders/>
            <w:shd w:fill="CCEEFF" w:val="clear"/>
            <w:tcMar>
              <w:bottom w:w="0" w:type="dxa"/>
            </w:tcMar>
            <w:vAlign w:val="bottom"/>
          </w:tcPr>
          <w:p>
            <w:pPr>
              <w:pStyle w:val="TableContents"/>
              <w:spacing w:before="0" w:after="283"/>
              <w:rPr/>
            </w:pPr>
            <w:r>
              <w:rPr/>
              <w:t> </w:t>
            </w:r>
          </w:p>
        </w:tc>
        <w:tc>
          <w:tcPr>
            <w:tcW w:w="115"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r>
      <w:tr>
        <w:trPr/>
        <w:tc>
          <w:tcPr>
            <w:tcW w:w="1574" w:type="dxa"/>
            <w:tcBorders/>
            <w:shd w:fill="FFFFFF" w:val="clear"/>
            <w:tcMar>
              <w:bottom w:w="0" w:type="dxa"/>
            </w:tcMar>
            <w:vAlign w:val="bottom"/>
          </w:tcPr>
          <w:p>
            <w:pPr>
              <w:pStyle w:val="TableContents"/>
              <w:spacing w:before="0" w:after="283"/>
              <w:rPr/>
            </w:pPr>
            <w:r>
              <w:rPr/>
              <w:t xml:space="preserve">  </w:t>
            </w:r>
          </w:p>
        </w:tc>
        <w:tc>
          <w:tcPr>
            <w:tcW w:w="87" w:type="dxa"/>
            <w:tcBorders/>
            <w:shd w:fill="FFFFFF" w:val="clear"/>
            <w:tcMar>
              <w:bottom w:w="0" w:type="dxa"/>
            </w:tcMar>
            <w:vAlign w:val="bottom"/>
          </w:tcPr>
          <w:p>
            <w:pPr>
              <w:pStyle w:val="TableContents"/>
              <w:spacing w:before="0" w:after="283"/>
              <w:rPr/>
            </w:pPr>
            <w:r>
              <w:rPr/>
              <w:t> </w:t>
            </w:r>
          </w:p>
        </w:tc>
        <w:tc>
          <w:tcPr>
            <w:tcW w:w="92" w:type="dxa"/>
            <w:tcBorders/>
            <w:shd w:fill="FFFFFF" w:val="clear"/>
            <w:tcMar>
              <w:bottom w:w="0" w:type="dxa"/>
            </w:tcMar>
            <w:vAlign w:val="bottom"/>
          </w:tcPr>
          <w:p>
            <w:pPr>
              <w:pStyle w:val="TableContents"/>
              <w:spacing w:before="0" w:after="283"/>
              <w:rPr/>
            </w:pPr>
            <w:r>
              <w:rPr/>
              <w:t> </w:t>
            </w:r>
          </w:p>
        </w:tc>
        <w:tc>
          <w:tcPr>
            <w:tcW w:w="92"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w:t>
            </w:r>
          </w:p>
        </w:tc>
        <w:tc>
          <w:tcPr>
            <w:tcW w:w="35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100" w:type="dxa"/>
            <w:tcBorders/>
            <w:shd w:fill="FFFFFF" w:val="clear"/>
            <w:tcMar>
              <w:bottom w:w="0" w:type="dxa"/>
            </w:tcMar>
            <w:vAlign w:val="bottom"/>
          </w:tcPr>
          <w:p>
            <w:pPr>
              <w:pStyle w:val="TableContents"/>
              <w:spacing w:before="0" w:after="283"/>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109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1"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86"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10/5/2014</w:t>
            </w:r>
          </w:p>
        </w:tc>
        <w:tc>
          <w:tcPr>
            <w:tcW w:w="87" w:type="dxa"/>
            <w:tcBorders/>
            <w:shd w:fill="FFFFFF" w:val="clear"/>
            <w:tcMar>
              <w:bottom w:w="0" w:type="dxa"/>
            </w:tcMar>
            <w:vAlign w:val="bottom"/>
          </w:tcPr>
          <w:p>
            <w:pPr>
              <w:pStyle w:val="TableContents"/>
              <w:spacing w:before="0" w:after="283"/>
              <w:jc w:val="left"/>
              <w:rPr/>
            </w:pPr>
            <w:r>
              <w:rPr/>
              <w:t> </w:t>
            </w:r>
          </w:p>
        </w:tc>
        <w:tc>
          <w:tcPr>
            <w:tcW w:w="115" w:type="dxa"/>
            <w:tcBorders/>
            <w:shd w:fill="FFFFFF" w:val="clear"/>
            <w:tcMar>
              <w:bottom w:w="0" w:type="dxa"/>
            </w:tcMar>
            <w:vAlign w:val="bottom"/>
          </w:tcPr>
          <w:p>
            <w:pPr>
              <w:pStyle w:val="TableContents"/>
              <w:spacing w:before="0" w:after="283"/>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w:t>
            </w:r>
          </w:p>
        </w:tc>
      </w:tr>
      <w:tr>
        <w:trPr/>
        <w:tc>
          <w:tcPr>
            <w:tcW w:w="1574"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Andrew R. Boll</w:t>
            </w:r>
          </w:p>
        </w:tc>
        <w:tc>
          <w:tcPr>
            <w:tcW w:w="87"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rPr/>
            </w:pPr>
            <w:r>
              <w:rPr/>
              <w:t> </w:t>
            </w:r>
          </w:p>
        </w:tc>
        <w:tc>
          <w:tcPr>
            <w:tcW w:w="92"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4,583</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100" w:type="dxa"/>
            <w:tcBorders/>
            <w:shd w:fill="CCEEFF" w:val="clear"/>
            <w:tcMar>
              <w:bottom w:w="0" w:type="dxa"/>
            </w:tcMar>
            <w:vAlign w:val="bottom"/>
          </w:tcPr>
          <w:p>
            <w:pPr>
              <w:pStyle w:val="TableContents"/>
              <w:spacing w:before="0" w:after="283"/>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109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10,417</w:t>
            </w:r>
          </w:p>
        </w:tc>
        <w:tc>
          <w:tcPr>
            <w:tcW w:w="35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87" w:type="dxa"/>
            <w:tcBorders/>
            <w:shd w:fill="CCEEFF" w:val="clear"/>
            <w:tcMar>
              <w:bottom w:w="0" w:type="dxa"/>
            </w:tcMar>
            <w:vAlign w:val="bottom"/>
          </w:tcPr>
          <w:p>
            <w:pPr>
              <w:pStyle w:val="TableContents"/>
              <w:spacing w:before="0" w:after="283"/>
              <w:rPr/>
            </w:pPr>
            <w:r>
              <w:rPr/>
              <w:t> </w:t>
            </w:r>
          </w:p>
        </w:tc>
        <w:tc>
          <w:tcPr>
            <w:tcW w:w="17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86"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2/1/2016</w:t>
            </w:r>
          </w:p>
        </w:tc>
        <w:tc>
          <w:tcPr>
            <w:tcW w:w="87" w:type="dxa"/>
            <w:tcBorders/>
            <w:shd w:fill="CCEEFF" w:val="clear"/>
            <w:tcMar>
              <w:bottom w:w="0" w:type="dxa"/>
            </w:tcMar>
            <w:vAlign w:val="bottom"/>
          </w:tcPr>
          <w:p>
            <w:pPr>
              <w:pStyle w:val="TableContents"/>
              <w:spacing w:before="0" w:after="283"/>
              <w:jc w:val="left"/>
              <w:rPr/>
            </w:pPr>
            <w:r>
              <w:rPr/>
              <w:t> </w:t>
            </w:r>
          </w:p>
        </w:tc>
        <w:tc>
          <w:tcPr>
            <w:tcW w:w="115" w:type="dxa"/>
            <w:tcBorders/>
            <w:shd w:fill="CCEEFF" w:val="clear"/>
            <w:tcMar>
              <w:bottom w:w="0" w:type="dxa"/>
            </w:tcMar>
            <w:vAlign w:val="bottom"/>
          </w:tcPr>
          <w:p>
            <w:pPr>
              <w:pStyle w:val="TableContents"/>
              <w:spacing w:before="0" w:after="283"/>
              <w:rPr/>
            </w:pPr>
            <w:r>
              <w:rPr/>
              <w:t> </w:t>
            </w:r>
          </w:p>
        </w:tc>
        <w:tc>
          <w:tcPr>
            <w:tcW w:w="115"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54"/>
        <w:gridCol w:w="2285"/>
        <w:gridCol w:w="7566"/>
      </w:tblGrid>
      <w:tr>
        <w:trPr/>
        <w:tc>
          <w:tcPr>
            <w:tcW w:w="3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Calculated by multiplying the number of unvested shares by $9.75, the closing price per share of our common stock on December 31, 2012 (which was the last business day of the fiscal year).</w:t>
            </w:r>
          </w:p>
        </w:tc>
      </w:tr>
      <w:tr>
        <w:trPr/>
        <w:tc>
          <w:tcPr>
            <w:tcW w:w="354" w:type="dxa"/>
            <w:tcBorders/>
            <w:shd w:fill="auto" w:val="clear"/>
          </w:tcPr>
          <w:p>
            <w:pPr>
              <w:pStyle w:val="TableContents"/>
              <w:spacing w:before="0" w:after="0"/>
              <w:ind w:left="0" w:right="0" w:hanging="0"/>
              <w:jc w:val="both"/>
              <w:rPr/>
            </w:pPr>
            <w:r>
              <w:rPr/>
              <w:t> </w:t>
            </w:r>
            <w:r>
              <w:rPr>
                <w:rFonts w:ascii="times new roman" w:hAnsi="times new roman"/>
                <w:sz w:val="20"/>
              </w:rPr>
              <w:t>(2)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an option granted to Mr. Baum on April 1, 2012 under the Plan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12 equal monthly installments of 10,417 shares commencing on January 25, 2012 and ending on January 25, 2013.</w:t>
            </w:r>
          </w:p>
        </w:tc>
      </w:tr>
      <w:tr>
        <w:trPr/>
        <w:tc>
          <w:tcPr>
            <w:tcW w:w="354" w:type="dxa"/>
            <w:tcBorders/>
            <w:shd w:fill="auto" w:val="clear"/>
          </w:tcPr>
          <w:p>
            <w:pPr>
              <w:pStyle w:val="TableContents"/>
              <w:spacing w:before="0" w:after="0"/>
              <w:ind w:left="0" w:right="0" w:hanging="0"/>
              <w:jc w:val="both"/>
              <w:rPr/>
            </w:pPr>
            <w:r>
              <w:rPr/>
              <w:t> </w:t>
            </w:r>
            <w:r>
              <w:rPr>
                <w:rFonts w:ascii="times new roman" w:hAnsi="times new roman"/>
                <w:sz w:val="20"/>
              </w:rPr>
              <w:t>(3)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an option granted to Mr. Baum an April 1, 2012 under the Plan in connection with his appointment as our Chief Executive Officer.  The option vests over a two-year period, with 15,000 shares vesting immediately upon issuance and an additional 1,875 shares vesting monthly for the 24 months thereafter.</w:t>
            </w:r>
          </w:p>
        </w:tc>
      </w:tr>
      <w:tr>
        <w:trPr/>
        <w:tc>
          <w:tcPr>
            <w:tcW w:w="354" w:type="dxa"/>
            <w:tcBorders/>
            <w:shd w:fill="auto" w:val="clear"/>
          </w:tcPr>
          <w:p>
            <w:pPr>
              <w:pStyle w:val="TableContents"/>
              <w:spacing w:before="0" w:after="0"/>
              <w:ind w:left="0" w:right="0" w:hanging="0"/>
              <w:jc w:val="both"/>
              <w:rPr/>
            </w:pPr>
            <w:r>
              <w:rPr/>
              <w:t> </w:t>
            </w:r>
            <w:r>
              <w:rPr>
                <w:rFonts w:ascii="times new roman" w:hAnsi="times new roman"/>
                <w:sz w:val="20"/>
              </w:rPr>
              <w:t>(4)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an option granted to Mr. Baum an April 1, 2012 under the Plan in connection with his services as a director.  The option vests in four equal quarterly installments of 6,250 shares commencing on June 30, 2012.</w:t>
            </w:r>
          </w:p>
        </w:tc>
      </w:tr>
      <w:tr>
        <w:trPr/>
        <w:tc>
          <w:tcPr>
            <w:tcW w:w="354" w:type="dxa"/>
            <w:tcBorders/>
            <w:shd w:fill="auto" w:val="clear"/>
          </w:tcPr>
          <w:p>
            <w:pPr>
              <w:pStyle w:val="TableContents"/>
              <w:spacing w:before="0" w:after="0"/>
              <w:ind w:left="0" w:right="0" w:hanging="0"/>
              <w:jc w:val="both"/>
              <w:rPr/>
            </w:pPr>
            <w:r>
              <w:rPr/>
              <w:t> </w:t>
            </w:r>
            <w:r>
              <w:rPr>
                <w:rFonts w:ascii="times new roman" w:hAnsi="times new roman"/>
                <w:sz w:val="20"/>
              </w:rPr>
              <w:t>(5)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restricted stock units granted to Mr. Baum outside the Plan in connection with his services as our Chief Executive Officer. The total award vests as follows:  (i) 25% vests on successful completion of a financing that results in aggregate cash proceeds to the Company of at least $5,000,000 at any time following the effective date of the grant; (ii) 25% vests on the Company meeting the primary endpoints of its Phase 3 clinical studies for its drug candidate, Impracor; (iii) 25% vests on the Company submitting a New Drug Application for Impracor to the U.S. Food and Drug Administration; and (iv) 25% vests on the Company entering into a definitive license, collaboration or similar agreement for Impracor that would reasonably be expected to generate cash flow for the Company.</w:t>
            </w:r>
          </w:p>
        </w:tc>
      </w:tr>
      <w:tr>
        <w:trPr/>
        <w:tc>
          <w:tcPr>
            <w:tcW w:w="354" w:type="dxa"/>
            <w:tcBorders/>
            <w:shd w:fill="auto" w:val="clear"/>
          </w:tcPr>
          <w:p>
            <w:pPr>
              <w:pStyle w:val="TableContents"/>
              <w:spacing w:before="0" w:after="0"/>
              <w:ind w:left="0" w:right="0" w:hanging="0"/>
              <w:jc w:val="both"/>
              <w:rPr/>
            </w:pPr>
            <w:r>
              <w:rPr/>
              <w:t> </w:t>
            </w:r>
            <w:r>
              <w:rPr>
                <w:rFonts w:ascii="times new roman" w:hAnsi="times new roman"/>
                <w:sz w:val="20"/>
              </w:rPr>
              <w:t>(6)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an option granted to Dr. Brar on January 25, 2012 under the Plan in connection with his appointment as our President.  The option vests in equal monthly installments over the 36 month period following the date of grant.</w:t>
            </w:r>
          </w:p>
        </w:tc>
      </w:tr>
      <w:tr>
        <w:trPr/>
        <w:tc>
          <w:tcPr>
            <w:tcW w:w="354" w:type="dxa"/>
            <w:tcBorders/>
            <w:shd w:fill="auto" w:val="clear"/>
          </w:tcPr>
          <w:p>
            <w:pPr>
              <w:pStyle w:val="TableContents"/>
              <w:spacing w:before="0" w:after="0"/>
              <w:ind w:left="0" w:right="0" w:hanging="0"/>
              <w:jc w:val="both"/>
              <w:rPr/>
            </w:pPr>
            <w:r>
              <w:rPr/>
              <w:t> </w:t>
            </w:r>
            <w:r>
              <w:rPr>
                <w:rFonts w:ascii="times new roman" w:hAnsi="times new roman"/>
                <w:sz w:val="20"/>
              </w:rPr>
              <w:t>(7)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an option granted to Dr. Brar on April 1, 2012 under the Plan in connection with his former services as a director.  The option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the option were forfeited, and the 6,250 vested shares under the option remain exercisable until March 22, 2013.</w:t>
            </w:r>
          </w:p>
        </w:tc>
      </w:tr>
      <w:tr>
        <w:trPr/>
        <w:tc>
          <w:tcPr>
            <w:tcW w:w="354" w:type="dxa"/>
            <w:tcBorders/>
            <w:shd w:fill="auto" w:val="clear"/>
          </w:tcPr>
          <w:p>
            <w:pPr>
              <w:pStyle w:val="TableContents"/>
              <w:spacing w:before="0" w:after="0"/>
              <w:ind w:left="0" w:right="0" w:hanging="0"/>
              <w:jc w:val="both"/>
              <w:rPr/>
            </w:pPr>
            <w:r>
              <w:rPr/>
              <w:t> </w:t>
            </w:r>
            <w:r>
              <w:rPr>
                <w:rFonts w:ascii="times new roman" w:hAnsi="times new roman"/>
                <w:sz w:val="20"/>
              </w:rPr>
              <w:t>(8)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an option granted to Dr. Schupp on February 15, 2012 under the Plan in connection with his appointment as our Chief Medical Officer.  The option vests in equal monthly installments over the 36 month period following the date of grant.</w:t>
            </w:r>
          </w:p>
        </w:tc>
      </w:tr>
      <w:tr>
        <w:trPr/>
        <w:tc>
          <w:tcPr>
            <w:tcW w:w="354" w:type="dxa"/>
            <w:tcBorders/>
            <w:shd w:fill="auto" w:val="clear"/>
          </w:tcPr>
          <w:p>
            <w:pPr>
              <w:pStyle w:val="TableContents"/>
              <w:spacing w:before="0" w:after="0"/>
              <w:ind w:left="0" w:right="0" w:hanging="0"/>
              <w:jc w:val="both"/>
              <w:rPr/>
            </w:pPr>
            <w:r>
              <w:rPr/>
              <w:t> </w:t>
            </w:r>
            <w:r>
              <w:rPr>
                <w:rFonts w:ascii="times new roman" w:hAnsi="times new roman"/>
                <w:sz w:val="20"/>
              </w:rPr>
              <w:t>(9)  </w:t>
            </w:r>
          </w:p>
        </w:tc>
        <w:tc>
          <w:tcPr>
            <w:tcW w:w="9851" w:type="dxa"/>
            <w:gridSpan w:val="2"/>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an option granted to Dr. Schupp on December 15, 2011 under the Plan in connection with a release given by Dr. Schupp upon DermaStar’s investment in the Company.  The option was 100% vested upon its grant.</w:t>
            </w:r>
          </w:p>
        </w:tc>
      </w:tr>
      <w:tr>
        <w:trPr/>
        <w:tc>
          <w:tcPr>
            <w:tcW w:w="2639" w:type="dxa"/>
            <w:gridSpan w:val="2"/>
            <w:tcBorders/>
            <w:shd w:fill="auto" w:val="clear"/>
          </w:tcPr>
          <w:p>
            <w:pPr>
              <w:pStyle w:val="TableContents"/>
              <w:spacing w:before="0" w:after="0"/>
              <w:ind w:left="0" w:right="0" w:hanging="0"/>
              <w:jc w:val="both"/>
              <w:rPr/>
            </w:pPr>
            <w:r>
              <w:rPr/>
              <w:t> </w:t>
            </w:r>
            <w:r>
              <w:rPr>
                <w:rFonts w:ascii="times new roman" w:hAnsi="times new roman"/>
                <w:sz w:val="20"/>
              </w:rPr>
              <w:t>(10)  </w:t>
            </w:r>
          </w:p>
        </w:tc>
        <w:tc>
          <w:tcPr>
            <w:tcW w:w="75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Boll on February 1, 2012 under the Plan in connection with his appointment as our Vice President, Accounting and Public Reporting.  The option vests in equal monthly installments over the 36 month period following the date of grant.</w:t>
            </w:r>
          </w:p>
        </w:tc>
      </w:tr>
    </w:tbl>
    <w:p>
      <w:pPr>
        <w:pStyle w:val="TextBody"/>
        <w:spacing w:before="0" w:after="0"/>
        <w:ind w:left="0" w:right="0" w:hanging="0"/>
        <w:jc w:val="both"/>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8" w:name="PGBRK20"/>
      <w:bookmarkStart w:id="229" w:name="PGBRK2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FTR20"/>
      <w:bookmarkStart w:id="231" w:name="FTR20"/>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2" w:name="GLFTR20"/>
      <w:bookmarkEnd w:id="2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3" w:name="PN20"/>
      <w:bookmarkEnd w:id="233"/>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 w:name="HDR20"/>
      <w:bookmarkStart w:id="235" w:name="HDR20"/>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6" w:name="GLHDR20"/>
      <w:bookmarkEnd w:id="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Named Executive Officer Compensation Determinations and Considerations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Compensation Philosophy and Objectives</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philosophy in setting compensation policies for executive officers has two fundamental objectives: (1) to attract, motivate and retain a highly skilled team of executives and (2) to align our executives’ interests with those of our stockholders by rewarding both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considers the following guidelines when making compensation decisions:</w:t>
      </w:r>
    </w:p>
    <w:p>
      <w:pPr>
        <w:pStyle w:val="TextBody"/>
        <w:spacing w:before="0" w:after="0"/>
        <w:ind w:left="0" w:right="0" w:hanging="0"/>
        <w:rPr/>
      </w:pPr>
      <w:r>
        <w:rPr/>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23"/>
        <w:gridCol w:w="261"/>
        <w:gridCol w:w="9421"/>
      </w:tblGrid>
      <w:tr>
        <w:trPr/>
        <w:tc>
          <w:tcPr>
            <w:tcW w:w="523" w:type="dxa"/>
            <w:tcBorders/>
            <w:shd w:fill="auto" w:val="clear"/>
            <w:vAlign w:val="center"/>
          </w:tcPr>
          <w:p>
            <w:pPr>
              <w:pStyle w:val="TableContents"/>
              <w:spacing w:before="0" w:after="283"/>
              <w:rPr/>
            </w:pPr>
            <w:r>
              <w:rPr/>
              <w:t xml:space="preserve">  </w:t>
            </w:r>
          </w:p>
        </w:tc>
        <w:tc>
          <w:tcPr>
            <w:tcW w:w="261" w:type="dxa"/>
            <w:tcBorders/>
            <w:shd w:fill="auto" w:val="clear"/>
          </w:tcPr>
          <w:p>
            <w:pPr>
              <w:pStyle w:val="TableContents"/>
              <w:spacing w:before="0" w:after="0"/>
              <w:ind w:left="0" w:right="0" w:hanging="0"/>
              <w:jc w:val="both"/>
              <w:rPr/>
            </w:pPr>
            <w:r>
              <w:rPr/>
              <w:t>●</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providing a competitive total compensation package that enables the Company to attract and retain highly qualified executives with the skills and experience required for the achievement of business goals;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23"/>
        <w:gridCol w:w="261"/>
        <w:gridCol w:w="9421"/>
      </w:tblGrid>
      <w:tr>
        <w:trPr/>
        <w:tc>
          <w:tcPr>
            <w:tcW w:w="523" w:type="dxa"/>
            <w:tcBorders/>
            <w:shd w:fill="auto" w:val="clear"/>
            <w:vAlign w:val="center"/>
          </w:tcPr>
          <w:p>
            <w:pPr>
              <w:pStyle w:val="TableContents"/>
              <w:spacing w:before="0" w:after="283"/>
              <w:rPr/>
            </w:pPr>
            <w:r>
              <w:rPr/>
              <w:t xml:space="preserve">  </w:t>
            </w:r>
          </w:p>
        </w:tc>
        <w:tc>
          <w:tcPr>
            <w:tcW w:w="261" w:type="dxa"/>
            <w:tcBorders/>
            <w:shd w:fill="auto" w:val="clear"/>
          </w:tcPr>
          <w:p>
            <w:pPr>
              <w:pStyle w:val="TableContents"/>
              <w:spacing w:before="0" w:after="0"/>
              <w:ind w:left="0" w:right="0" w:hanging="0"/>
              <w:jc w:val="both"/>
              <w:rPr/>
            </w:pPr>
            <w:r>
              <w:rPr/>
              <w:t>●</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aligning compensation elements with the Company’s annual goals and long-term business strategies and objectives;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22"/>
        <w:gridCol w:w="261"/>
        <w:gridCol w:w="9422"/>
      </w:tblGrid>
      <w:tr>
        <w:trPr/>
        <w:tc>
          <w:tcPr>
            <w:tcW w:w="522" w:type="dxa"/>
            <w:tcBorders/>
            <w:shd w:fill="auto" w:val="clear"/>
            <w:vAlign w:val="center"/>
          </w:tcPr>
          <w:p>
            <w:pPr>
              <w:pStyle w:val="TableContents"/>
              <w:spacing w:before="0" w:after="283"/>
              <w:rPr/>
            </w:pPr>
            <w:r>
              <w:rPr/>
              <w:t xml:space="preserve">  </w:t>
            </w:r>
          </w:p>
        </w:tc>
        <w:tc>
          <w:tcPr>
            <w:tcW w:w="261" w:type="dxa"/>
            <w:tcBorders/>
            <w:shd w:fill="auto" w:val="clear"/>
          </w:tcPr>
          <w:p>
            <w:pPr>
              <w:pStyle w:val="TableContents"/>
              <w:spacing w:before="0" w:after="0"/>
              <w:ind w:left="0" w:right="0" w:hanging="0"/>
              <w:jc w:val="both"/>
              <w:rPr/>
            </w:pPr>
            <w:r>
              <w:rPr/>
              <w:t>●</w:t>
            </w:r>
          </w:p>
        </w:tc>
        <w:tc>
          <w:tcPr>
            <w:tcW w:w="94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promoting the achievement of key strategic and financial performance measures by linking short-term and long-term cash and equity incentives to the achievement of measurable corporate and individual performance goals;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5"/>
        <w:gridCol w:w="258"/>
        <w:gridCol w:w="128"/>
        <w:gridCol w:w="9304"/>
      </w:tblGrid>
      <w:tr>
        <w:trPr/>
        <w:tc>
          <w:tcPr>
            <w:tcW w:w="515" w:type="dxa"/>
            <w:tcBorders/>
            <w:shd w:fill="auto" w:val="clear"/>
            <w:vAlign w:val="center"/>
          </w:tcPr>
          <w:p>
            <w:pPr>
              <w:pStyle w:val="TableContents"/>
              <w:spacing w:before="0" w:after="283"/>
              <w:rPr/>
            </w:pPr>
            <w:r>
              <w:rPr/>
              <w:t xml:space="preserve">  </w:t>
            </w:r>
          </w:p>
        </w:tc>
        <w:tc>
          <w:tcPr>
            <w:tcW w:w="258" w:type="dxa"/>
            <w:tcBorders/>
            <w:shd w:fill="auto" w:val="clear"/>
          </w:tcPr>
          <w:p>
            <w:pPr>
              <w:pStyle w:val="TableContents"/>
              <w:spacing w:before="0" w:after="0"/>
              <w:ind w:left="0" w:right="0" w:hanging="0"/>
              <w:jc w:val="both"/>
              <w:rPr/>
            </w:pPr>
            <w:r>
              <w:rPr/>
              <w:t>●</w:t>
            </w:r>
          </w:p>
        </w:tc>
        <w:tc>
          <w:tcPr>
            <w:tcW w:w="128" w:type="dxa"/>
            <w:tcBorders/>
            <w:shd w:fill="auto" w:val="clear"/>
          </w:tcPr>
          <w:p>
            <w:pPr>
              <w:pStyle w:val="TableContents"/>
              <w:spacing w:before="0" w:after="283"/>
              <w:rPr/>
            </w:pPr>
            <w:r>
              <w:rPr/>
              <w:t xml:space="preserve">  </w:t>
            </w:r>
          </w:p>
        </w:tc>
        <w:tc>
          <w:tcPr>
            <w:tcW w:w="93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aligning executives’ incentives with the creation of stockholder value.</w:t>
            </w:r>
          </w:p>
        </w:tc>
      </w:tr>
    </w:tbl>
    <w:p>
      <w:pPr>
        <w:pStyle w:val="TextBody"/>
        <w:spacing w:before="0" w:after="0"/>
        <w:ind w:left="0" w:right="0" w:hanging="0"/>
        <w:rPr/>
      </w:pPr>
      <w:r>
        <w:rPr/>
      </w:r>
    </w:p>
    <w:p>
      <w:pPr>
        <w:pStyle w:val="TextBody"/>
        <w:spacing w:before="0" w:after="0"/>
        <w:ind w:left="0" w:right="0" w:firstLine="540"/>
        <w:jc w:val="both"/>
        <w:rPr>
          <w:rFonts w:ascii="Times New Roman" w:hAnsi="Times New Roman"/>
          <w:sz w:val="20"/>
        </w:rPr>
      </w:pPr>
      <w:r>
        <w:rPr>
          <w:rFonts w:ascii="Times New Roman" w:hAnsi="Times New Roman"/>
          <w:sz w:val="20"/>
        </w:rPr>
        <w:t>During the fiscal year ended December 31, 2012, the primary concern of the Board (and, after its establishment, the Compensation Committee) was to assemble a strong management team while still conserving the Company’s cash as it pursued obtaining the financing necessary to resume operations following the dismissal of the Company’s Chapter 11 bankruptcy case in December 2012 (as described in greater detail in the Company’s Annual Report on Form 10-K for the fiscal year ended December 31, 2012).  As a result, the Board determined to pursue a compensation program heavily weighted towards the grant of equity incentive awards over cash incentive plans and base salary.  This approach has the added benefit of strongly aligning the objectives of management with those of our stockholders with respect to long-term performance and success.  The Compensation Committee expects to periodically reassess the appropriate weighting of cash and equity compensation in light of the Company’s expenditures in connection with its operations and working capital needs.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Role of Executive Officers in Compensation Decisions</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The Compensation Committee makes all compensation decisions for our Chief Executive Officer and approves or revises recommendations of our Chief Executive Officer regarding all of the non-equity compensation of our other named executive officer. Decisions regarding the non-equity compensation of all other officers are made by our Chief Executive Officer.</w:t>
      </w:r>
    </w:p>
    <w:p>
      <w:pPr>
        <w:pStyle w:val="TextBody"/>
        <w:spacing w:before="0" w:after="0"/>
        <w:ind w:left="0" w:right="0" w:hanging="0"/>
        <w:jc w:val="both"/>
        <w:rPr/>
      </w:pPr>
      <w:r>
        <w:rPr/>
        <w:t> </w:t>
      </w:r>
    </w:p>
    <w:p>
      <w:pPr>
        <w:pStyle w:val="TextBody"/>
        <w:spacing w:before="0" w:after="0"/>
        <w:ind w:left="0" w:right="0" w:hanging="0"/>
        <w:jc w:val="left"/>
        <w:rPr/>
      </w:pPr>
      <w:r>
        <w:rPr/>
        <w:t>        </w:t>
      </w:r>
      <w:r>
        <w:rPr>
          <w:rFonts w:ascii="Times New Roman" w:hAnsi="Times New Roman"/>
          <w:sz w:val="20"/>
        </w:rPr>
        <w:t>Our Chief Executive Officer annually reviews the performance of each other elected officer. The conclusions reached and recommendations based on this review, including with respect to salary adjustments and annual award amounts, are presented to the Compensation Committee. The Compensation Committee can exercise its discretion in modifying any recommended adjustments or awards to executives.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Role of Compensation Consultants in Compensation Decisions</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The Compensation Committee did not utilize any compensation consultants in determining or recommending the amount and form of executive and director compensation for fiscal year 2012.</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7" w:name="PGBRK21"/>
      <w:bookmarkStart w:id="238" w:name="PGBRK21"/>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 w:name="FTR21"/>
      <w:bookmarkStart w:id="240" w:name="FTR21"/>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1" w:name="GLFTR21"/>
      <w:bookmarkEnd w:id="2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2" w:name="PN21"/>
      <w:bookmarkEnd w:id="242"/>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HDR21"/>
      <w:bookmarkStart w:id="244" w:name="HDR21"/>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5" w:name="GLHDR21"/>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our compensation plans under which our equity securities are authorized for issuance as of December 31, 2012:</w:t>
      </w:r>
      <w:bookmarkStart w:id="246" w:name="FIS_UNIDENTIFIED_TABLE_9"/>
      <w:bookmarkEnd w:id="246"/>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EQUITY COMPENSATION PLAN INFORMATION (1)(2)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147"/>
        <w:gridCol w:w="114"/>
        <w:gridCol w:w="1877"/>
        <w:gridCol w:w="114"/>
        <w:gridCol w:w="302"/>
        <w:gridCol w:w="1480"/>
        <w:gridCol w:w="114"/>
        <w:gridCol w:w="2057"/>
      </w:tblGrid>
      <w:tr>
        <w:trPr/>
        <w:tc>
          <w:tcPr>
            <w:tcW w:w="4147" w:type="dxa"/>
            <w:tcBorders/>
            <w:shd w:fill="auto" w:val="clear"/>
            <w:vAlign w:val="bottom"/>
          </w:tcPr>
          <w:p>
            <w:pPr>
              <w:pStyle w:val="TableContents"/>
              <w:spacing w:before="0" w:after="283"/>
              <w:jc w:val="left"/>
              <w:rPr/>
            </w:pPr>
            <w:r>
              <w:rPr/>
              <w:t xml:space="preserve">  </w:t>
            </w:r>
          </w:p>
        </w:tc>
        <w:tc>
          <w:tcPr>
            <w:tcW w:w="114" w:type="dxa"/>
            <w:tcBorders/>
            <w:shd w:fill="auto" w:val="clear"/>
            <w:vAlign w:val="bottom"/>
          </w:tcPr>
          <w:p>
            <w:pPr>
              <w:pStyle w:val="TableContents"/>
              <w:spacing w:before="0" w:after="283"/>
              <w:jc w:val="left"/>
              <w:rPr/>
            </w:pPr>
            <w:r>
              <w:rPr/>
              <w:t> </w:t>
            </w:r>
          </w:p>
        </w:tc>
        <w:tc>
          <w:tcPr>
            <w:tcW w:w="1877" w:type="dxa"/>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Number of Shares</w:t>
            </w:r>
          </w:p>
          <w:p>
            <w:pPr>
              <w:pStyle w:val="TableContents"/>
              <w:spacing w:before="0" w:after="0"/>
              <w:ind w:left="0" w:right="36" w:hanging="0"/>
              <w:jc w:val="center"/>
              <w:rPr>
                <w:rFonts w:ascii="times new roman" w:hAnsi="times new roman"/>
                <w:b/>
                <w:sz w:val="16"/>
              </w:rPr>
            </w:pPr>
            <w:r>
              <w:rPr>
                <w:rFonts w:ascii="times new roman" w:hAnsi="times new roman"/>
                <w:b/>
                <w:sz w:val="16"/>
              </w:rPr>
              <w:t>to be Issued Upon</w:t>
            </w:r>
          </w:p>
          <w:p>
            <w:pPr>
              <w:pStyle w:val="TableContents"/>
              <w:spacing w:before="0" w:after="0"/>
              <w:ind w:left="0" w:right="36" w:hanging="0"/>
              <w:jc w:val="center"/>
              <w:rPr>
                <w:rFonts w:ascii="times new roman" w:hAnsi="times new roman"/>
                <w:b/>
                <w:sz w:val="16"/>
              </w:rPr>
            </w:pPr>
            <w:r>
              <w:rPr>
                <w:rFonts w:ascii="times new roman" w:hAnsi="times new roman"/>
                <w:b/>
                <w:sz w:val="16"/>
              </w:rPr>
              <w:t>Exercise of</w:t>
            </w:r>
          </w:p>
          <w:p>
            <w:pPr>
              <w:pStyle w:val="TableContents"/>
              <w:spacing w:before="0" w:after="0"/>
              <w:ind w:left="0" w:right="36" w:hanging="0"/>
              <w:jc w:val="center"/>
              <w:rPr>
                <w:rFonts w:ascii="times new roman" w:hAnsi="times new roman"/>
                <w:b/>
                <w:sz w:val="16"/>
              </w:rPr>
            </w:pPr>
            <w:r>
              <w:rPr>
                <w:rFonts w:ascii="times new roman" w:hAnsi="times new roman"/>
                <w:b/>
                <w:sz w:val="16"/>
              </w:rPr>
              <w:t>Outstanding</w:t>
            </w:r>
          </w:p>
          <w:p>
            <w:pPr>
              <w:pStyle w:val="TableContents"/>
              <w:spacing w:before="0" w:after="0"/>
              <w:ind w:left="0" w:right="36" w:hanging="0"/>
              <w:jc w:val="center"/>
              <w:rPr>
                <w:rFonts w:ascii="times new roman" w:hAnsi="times new roman"/>
                <w:b/>
                <w:sz w:val="16"/>
              </w:rPr>
            </w:pPr>
            <w:r>
              <w:rPr>
                <w:rFonts w:ascii="times new roman" w:hAnsi="times new roman"/>
                <w:b/>
                <w:sz w:val="16"/>
              </w:rPr>
              <w:t>Stock Options</w:t>
            </w:r>
          </w:p>
        </w:tc>
        <w:tc>
          <w:tcPr>
            <w:tcW w:w="114" w:type="dxa"/>
            <w:tcBorders/>
            <w:shd w:fill="auto" w:val="clear"/>
            <w:vAlign w:val="bottom"/>
          </w:tcPr>
          <w:p>
            <w:pPr>
              <w:pStyle w:val="TableContents"/>
              <w:spacing w:before="0" w:after="283"/>
              <w:rPr/>
            </w:pPr>
            <w:r>
              <w:rPr/>
              <w:t xml:space="preserve">  </w:t>
            </w:r>
          </w:p>
        </w:tc>
        <w:tc>
          <w:tcPr>
            <w:tcW w:w="1782"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Weighted-</w:t>
            </w:r>
          </w:p>
          <w:p>
            <w:pPr>
              <w:pStyle w:val="TableContents"/>
              <w:spacing w:before="0" w:after="0"/>
              <w:ind w:left="0" w:right="36" w:hanging="0"/>
              <w:jc w:val="center"/>
              <w:rPr>
                <w:rFonts w:ascii="times new roman" w:hAnsi="times new roman"/>
                <w:b/>
                <w:sz w:val="16"/>
              </w:rPr>
            </w:pPr>
            <w:r>
              <w:rPr>
                <w:rFonts w:ascii="times new roman" w:hAnsi="times new roman"/>
                <w:b/>
                <w:sz w:val="16"/>
              </w:rPr>
              <w:t>Average</w:t>
            </w:r>
          </w:p>
          <w:p>
            <w:pPr>
              <w:pStyle w:val="TableContents"/>
              <w:spacing w:before="0" w:after="0"/>
              <w:ind w:left="0" w:right="36" w:hanging="0"/>
              <w:jc w:val="center"/>
              <w:rPr>
                <w:rFonts w:ascii="times new roman" w:hAnsi="times new roman"/>
                <w:b/>
                <w:sz w:val="16"/>
              </w:rPr>
            </w:pPr>
            <w:r>
              <w:rPr>
                <w:rFonts w:ascii="times new roman" w:hAnsi="times new roman"/>
                <w:b/>
                <w:sz w:val="16"/>
              </w:rPr>
              <w:t>Exercise Price</w:t>
            </w:r>
          </w:p>
          <w:p>
            <w:pPr>
              <w:pStyle w:val="TableContents"/>
              <w:spacing w:before="0" w:after="0"/>
              <w:ind w:left="0" w:right="36" w:hanging="0"/>
              <w:jc w:val="center"/>
              <w:rPr>
                <w:rFonts w:ascii="times new roman" w:hAnsi="times new roman"/>
                <w:b/>
                <w:sz w:val="16"/>
              </w:rPr>
            </w:pPr>
            <w:r>
              <w:rPr>
                <w:rFonts w:ascii="times new roman" w:hAnsi="times new roman"/>
                <w:b/>
                <w:sz w:val="16"/>
              </w:rPr>
              <w:t>of Outstanding</w:t>
            </w:r>
          </w:p>
          <w:p>
            <w:pPr>
              <w:pStyle w:val="TableContents"/>
              <w:spacing w:before="0" w:after="0"/>
              <w:ind w:left="0" w:right="36" w:hanging="0"/>
              <w:jc w:val="center"/>
              <w:rPr>
                <w:rFonts w:ascii="times new roman" w:hAnsi="times new roman"/>
                <w:b/>
                <w:sz w:val="16"/>
              </w:rPr>
            </w:pPr>
            <w:r>
              <w:rPr>
                <w:rFonts w:ascii="times new roman" w:hAnsi="times new roman"/>
                <w:b/>
                <w:sz w:val="16"/>
              </w:rPr>
              <w:t>Stock Options</w:t>
            </w:r>
          </w:p>
        </w:tc>
        <w:tc>
          <w:tcPr>
            <w:tcW w:w="114" w:type="dxa"/>
            <w:tcBorders/>
            <w:shd w:fill="auto" w:val="clear"/>
            <w:vAlign w:val="bottom"/>
          </w:tcPr>
          <w:p>
            <w:pPr>
              <w:pStyle w:val="TableContents"/>
              <w:spacing w:before="0" w:after="283"/>
              <w:rPr/>
            </w:pPr>
            <w:r>
              <w:rPr/>
              <w:t xml:space="preserve">  </w:t>
            </w:r>
          </w:p>
        </w:tc>
        <w:tc>
          <w:tcPr>
            <w:tcW w:w="2057" w:type="dxa"/>
            <w:tcBorders/>
            <w:shd w:fill="auto" w:val="cle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Number of Shares</w:t>
            </w:r>
          </w:p>
          <w:p>
            <w:pPr>
              <w:pStyle w:val="TableContents"/>
              <w:spacing w:before="0" w:after="0"/>
              <w:ind w:left="0" w:right="36" w:hanging="0"/>
              <w:jc w:val="center"/>
              <w:rPr>
                <w:rFonts w:ascii="times new roman" w:hAnsi="times new roman"/>
                <w:b/>
                <w:sz w:val="16"/>
              </w:rPr>
            </w:pPr>
            <w:r>
              <w:rPr>
                <w:rFonts w:ascii="times new roman" w:hAnsi="times new roman"/>
                <w:b/>
                <w:sz w:val="16"/>
              </w:rPr>
              <w:t>Remaining Available</w:t>
            </w:r>
          </w:p>
          <w:p>
            <w:pPr>
              <w:pStyle w:val="TableContents"/>
              <w:spacing w:before="0" w:after="0"/>
              <w:ind w:left="0" w:right="36" w:hanging="0"/>
              <w:jc w:val="center"/>
              <w:rPr>
                <w:rFonts w:ascii="times new roman" w:hAnsi="times new roman"/>
                <w:b/>
                <w:sz w:val="16"/>
              </w:rPr>
            </w:pPr>
            <w:r>
              <w:rPr>
                <w:rFonts w:ascii="times new roman" w:hAnsi="times new roman"/>
                <w:b/>
                <w:sz w:val="16"/>
              </w:rPr>
              <w:t>for Future Issuance</w:t>
            </w:r>
          </w:p>
          <w:p>
            <w:pPr>
              <w:pStyle w:val="TableContents"/>
              <w:spacing w:before="0" w:after="0"/>
              <w:ind w:left="0" w:right="36" w:hanging="0"/>
              <w:jc w:val="center"/>
              <w:rPr>
                <w:rFonts w:ascii="times new roman" w:hAnsi="times new roman"/>
                <w:b/>
                <w:sz w:val="16"/>
              </w:rPr>
            </w:pPr>
            <w:r>
              <w:rPr>
                <w:rFonts w:ascii="times new roman" w:hAnsi="times new roman"/>
                <w:b/>
                <w:sz w:val="16"/>
              </w:rPr>
              <w:t>Under Equity</w:t>
            </w:r>
          </w:p>
          <w:p>
            <w:pPr>
              <w:pStyle w:val="TableContents"/>
              <w:spacing w:before="0" w:after="0"/>
              <w:ind w:left="0" w:right="36" w:hanging="0"/>
              <w:jc w:val="center"/>
              <w:rPr>
                <w:rFonts w:ascii="times new roman" w:hAnsi="times new roman"/>
                <w:b/>
                <w:sz w:val="16"/>
              </w:rPr>
            </w:pPr>
            <w:r>
              <w:rPr>
                <w:rFonts w:ascii="times new roman" w:hAnsi="times new roman"/>
                <w:b/>
                <w:sz w:val="16"/>
              </w:rPr>
              <w:t>Compensation Plans</w:t>
            </w:r>
          </w:p>
        </w:tc>
      </w:tr>
      <w:tr>
        <w:trPr/>
        <w:tc>
          <w:tcPr>
            <w:tcW w:w="4147"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approved by security holders</w:t>
            </w:r>
          </w:p>
        </w:tc>
        <w:tc>
          <w:tcPr>
            <w:tcW w:w="114" w:type="dxa"/>
            <w:tcBorders/>
            <w:shd w:fill="CCEEFF" w:val="clear"/>
            <w:vAlign w:val="bottom"/>
          </w:tcPr>
          <w:p>
            <w:pPr>
              <w:pStyle w:val="TableContents"/>
              <w:spacing w:before="0" w:after="283"/>
              <w:jc w:val="left"/>
              <w:rPr/>
            </w:pPr>
            <w:r>
              <w:rPr/>
              <w:t> </w:t>
            </w:r>
          </w:p>
        </w:tc>
        <w:tc>
          <w:tcPr>
            <w:tcW w:w="1877"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2,400,000</w:t>
            </w:r>
          </w:p>
        </w:tc>
        <w:tc>
          <w:tcPr>
            <w:tcW w:w="114" w:type="dxa"/>
            <w:tcBorders/>
            <w:shd w:fill="CCEEFF" w:val="clear"/>
            <w:vAlign w:val="bottom"/>
          </w:tcPr>
          <w:p>
            <w:pPr>
              <w:pStyle w:val="TableContents"/>
              <w:spacing w:before="0" w:after="283"/>
              <w:rPr/>
            </w:pPr>
            <w:r>
              <w:rPr/>
              <w:t xml:space="preserve">  </w:t>
            </w:r>
          </w:p>
        </w:tc>
        <w:tc>
          <w:tcPr>
            <w:tcW w:w="302"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w:t>
            </w:r>
          </w:p>
        </w:tc>
        <w:tc>
          <w:tcPr>
            <w:tcW w:w="1480"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5.26</w:t>
            </w:r>
          </w:p>
        </w:tc>
        <w:tc>
          <w:tcPr>
            <w:tcW w:w="114" w:type="dxa"/>
            <w:tcBorders/>
            <w:shd w:fill="CCEEFF" w:val="clear"/>
            <w:vAlign w:val="bottom"/>
          </w:tcPr>
          <w:p>
            <w:pPr>
              <w:pStyle w:val="TableContents"/>
              <w:spacing w:before="0" w:after="283"/>
              <w:rPr/>
            </w:pPr>
            <w:r>
              <w:rPr/>
              <w:t xml:space="preserve">  </w:t>
            </w:r>
          </w:p>
        </w:tc>
        <w:tc>
          <w:tcPr>
            <w:tcW w:w="2057"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1,477,888</w:t>
            </w:r>
          </w:p>
        </w:tc>
      </w:tr>
      <w:tr>
        <w:trPr/>
        <w:tc>
          <w:tcPr>
            <w:tcW w:w="4147"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not approved by security holders</w:t>
            </w:r>
          </w:p>
        </w:tc>
        <w:tc>
          <w:tcPr>
            <w:tcW w:w="114" w:type="dxa"/>
            <w:tcBorders/>
            <w:shd w:fill="FFFFFF" w:val="clear"/>
            <w:vAlign w:val="bottom"/>
          </w:tcPr>
          <w:p>
            <w:pPr>
              <w:pStyle w:val="TableContents"/>
              <w:spacing w:before="0" w:after="283"/>
              <w:jc w:val="left"/>
              <w:rPr/>
            </w:pPr>
            <w:r>
              <w:rPr/>
              <w:t> </w:t>
            </w:r>
          </w:p>
        </w:tc>
        <w:tc>
          <w:tcPr>
            <w:tcW w:w="1877" w:type="dxa"/>
            <w:tcBorders>
              <w:bottom w:val="single" w:sz="12" w:space="0" w:color="000000"/>
            </w:tcBorders>
            <w:shd w:fill="FFFFFF" w:val="clear"/>
            <w:tcMar>
              <w:bottom w:w="28"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200,000(3)</w:t>
            </w:r>
          </w:p>
        </w:tc>
        <w:tc>
          <w:tcPr>
            <w:tcW w:w="114" w:type="dxa"/>
            <w:tcBorders/>
            <w:shd w:fill="FFFFFF" w:val="clear"/>
            <w:vAlign w:val="bottom"/>
          </w:tcPr>
          <w:p>
            <w:pPr>
              <w:pStyle w:val="TableContents"/>
              <w:spacing w:before="0" w:after="283"/>
              <w:rPr/>
            </w:pPr>
            <w:r>
              <w:rPr/>
              <w:t xml:space="preserve">  </w:t>
            </w:r>
          </w:p>
        </w:tc>
        <w:tc>
          <w:tcPr>
            <w:tcW w:w="302"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1480" w:type="dxa"/>
            <w:tcBorders>
              <w:bottom w:val="single" w:sz="12" w:space="0" w:color="000000"/>
            </w:tcBorders>
            <w:shd w:fill="FFFFFF" w:val="clear"/>
            <w:tcMar>
              <w:bottom w:w="28"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rPr/>
            </w:pPr>
            <w:r>
              <w:rPr/>
              <w:t xml:space="preserve">  </w:t>
            </w:r>
          </w:p>
        </w:tc>
        <w:tc>
          <w:tcPr>
            <w:tcW w:w="2057" w:type="dxa"/>
            <w:tcBorders>
              <w:bottom w:val="single" w:sz="12" w:space="0" w:color="000000"/>
            </w:tcBorders>
            <w:shd w:fill="FFFFFF" w:val="clear"/>
            <w:tcMar>
              <w:bottom w:w="28"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w:t>
            </w:r>
          </w:p>
        </w:tc>
      </w:tr>
      <w:tr>
        <w:trPr/>
        <w:tc>
          <w:tcPr>
            <w:tcW w:w="4147" w:type="dxa"/>
            <w:tcBorders/>
            <w:shd w:fill="CCEEFF" w:val="clear"/>
            <w:vAlign w:val="bottom"/>
          </w:tcPr>
          <w:p>
            <w:pPr>
              <w:pStyle w:val="TableContents"/>
              <w:spacing w:before="0" w:after="0"/>
              <w:ind w:left="540" w:right="16" w:hanging="0"/>
              <w:jc w:val="left"/>
              <w:rPr>
                <w:rFonts w:ascii="times new roman" w:hAnsi="times new roman"/>
                <w:sz w:val="20"/>
              </w:rPr>
            </w:pPr>
            <w:r>
              <w:rPr>
                <w:rFonts w:ascii="times new roman" w:hAnsi="times new roman"/>
                <w:sz w:val="20"/>
              </w:rPr>
              <w:t>Total</w:t>
            </w:r>
          </w:p>
        </w:tc>
        <w:tc>
          <w:tcPr>
            <w:tcW w:w="114" w:type="dxa"/>
            <w:tcBorders/>
            <w:shd w:fill="CCEEFF" w:val="clear"/>
            <w:vAlign w:val="bottom"/>
          </w:tcPr>
          <w:p>
            <w:pPr>
              <w:pStyle w:val="TableContents"/>
              <w:spacing w:before="0" w:after="283"/>
              <w:jc w:val="left"/>
              <w:rPr/>
            </w:pPr>
            <w:r>
              <w:rPr/>
              <w:t> </w:t>
            </w:r>
          </w:p>
        </w:tc>
        <w:tc>
          <w:tcPr>
            <w:tcW w:w="1877" w:type="dxa"/>
            <w:tcBorders>
              <w:bottom w:val="double" w:sz="8" w:space="0" w:color="000000"/>
            </w:tcBorders>
            <w:shd w:fill="CCEEFF" w:val="clear"/>
            <w:tcMar>
              <w:bottom w:w="28"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2,600,000</w:t>
            </w:r>
          </w:p>
        </w:tc>
        <w:tc>
          <w:tcPr>
            <w:tcW w:w="114" w:type="dxa"/>
            <w:tcBorders/>
            <w:shd w:fill="CCEEFF" w:val="clear"/>
            <w:vAlign w:val="bottom"/>
          </w:tcPr>
          <w:p>
            <w:pPr>
              <w:pStyle w:val="TableContents"/>
              <w:spacing w:before="0" w:after="283"/>
              <w:rPr/>
            </w:pPr>
            <w:r>
              <w:rPr/>
              <w:t xml:space="preserve">  </w:t>
            </w:r>
          </w:p>
        </w:tc>
        <w:tc>
          <w:tcPr>
            <w:tcW w:w="302" w:type="dxa"/>
            <w:tcBorders>
              <w:bottom w:val="double" w:sz="8" w:space="0" w:color="000000"/>
            </w:tcBorders>
            <w:shd w:fill="CCEEFF" w:val="clear"/>
            <w:tcMar>
              <w:bottom w:w="28"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w:t>
            </w:r>
          </w:p>
        </w:tc>
        <w:tc>
          <w:tcPr>
            <w:tcW w:w="1480" w:type="dxa"/>
            <w:tcBorders>
              <w:bottom w:val="double" w:sz="8" w:space="0" w:color="000000"/>
            </w:tcBorders>
            <w:shd w:fill="CCEEFF" w:val="clear"/>
            <w:tcMar>
              <w:bottom w:w="28"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5.26</w:t>
            </w:r>
          </w:p>
        </w:tc>
        <w:tc>
          <w:tcPr>
            <w:tcW w:w="114" w:type="dxa"/>
            <w:tcBorders/>
            <w:shd w:fill="CCEEFF" w:val="clear"/>
            <w:vAlign w:val="bottom"/>
          </w:tcPr>
          <w:p>
            <w:pPr>
              <w:pStyle w:val="TableContents"/>
              <w:spacing w:before="0" w:after="283"/>
              <w:rPr/>
            </w:pPr>
            <w:r>
              <w:rPr/>
              <w:t xml:space="preserve">  </w:t>
            </w:r>
          </w:p>
        </w:tc>
        <w:tc>
          <w:tcPr>
            <w:tcW w:w="2057" w:type="dxa"/>
            <w:tcBorders>
              <w:bottom w:val="double" w:sz="8" w:space="0" w:color="000000"/>
            </w:tcBorders>
            <w:shd w:fill="CCEEFF" w:val="clear"/>
            <w:tcMar>
              <w:bottom w:w="28"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1,477,888</w:t>
            </w:r>
          </w:p>
        </w:tc>
      </w:tr>
    </w:tbl>
    <w:p>
      <w:pPr>
        <w:pStyle w:val="TextBody"/>
        <w:spacing w:before="0" w:after="0"/>
        <w:ind w:left="0" w:right="0" w:hanging="0"/>
        <w:rPr/>
      </w:pPr>
      <w:r>
        <w:rPr/>
      </w:r>
    </w:p>
    <w:p>
      <w:pPr>
        <w:pStyle w:val="Normal"/>
        <w:spacing w:before="0" w:after="0"/>
        <w:rPr>
          <w:sz w:val="4"/>
          <w:szCs w:val="4"/>
        </w:rPr>
      </w:pPr>
      <w:r>
        <w:rPr>
          <w:sz w:val="4"/>
          <w:szCs w:val="4"/>
        </w:rPr>
      </w:r>
      <w:bookmarkStart w:id="247" w:name="list8"/>
      <w:bookmarkStart w:id="248" w:name="list8"/>
      <w:bookmarkEnd w:id="248"/>
    </w:p>
    <w:tbl>
      <w:tblPr>
        <w:tblW w:w="5000" w:type="pct"/>
        <w:jc w:val="left"/>
        <w:tblInd w:w="0" w:type="dxa"/>
        <w:tblCellMar>
          <w:top w:w="0" w:type="dxa"/>
          <w:left w:w="0" w:type="dxa"/>
          <w:bottom w:w="0" w:type="dxa"/>
          <w:right w:w="0" w:type="dxa"/>
        </w:tblCellMar>
      </w:tblPr>
      <w:tblGrid>
        <w:gridCol w:w="294"/>
        <w:gridCol w:w="9911"/>
      </w:tblGrid>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the 2007 Incentive Stock and Awards Plan. See the notes to our financial statements included in our Annual Report on Form 10-K for the fiscal year ended December 31, 2012.</w:t>
            </w:r>
          </w:p>
        </w:tc>
      </w:tr>
    </w:tbl>
    <w:p>
      <w:pPr>
        <w:pStyle w:val="Normal"/>
        <w:spacing w:before="0" w:after="0"/>
        <w:rPr>
          <w:sz w:val="4"/>
          <w:szCs w:val="4"/>
        </w:rPr>
      </w:pPr>
      <w:r>
        <w:rPr>
          <w:sz w:val="4"/>
          <w:szCs w:val="4"/>
        </w:rPr>
      </w:r>
      <w:bookmarkStart w:id="249" w:name="list9"/>
      <w:bookmarkStart w:id="250" w:name="list9"/>
      <w:bookmarkEnd w:id="250"/>
    </w:p>
    <w:tbl>
      <w:tblPr>
        <w:tblW w:w="5000" w:type="pct"/>
        <w:jc w:val="left"/>
        <w:tblInd w:w="0" w:type="dxa"/>
        <w:tblCellMar>
          <w:top w:w="0" w:type="dxa"/>
          <w:left w:w="0" w:type="dxa"/>
          <w:bottom w:w="0" w:type="dxa"/>
          <w:right w:w="0" w:type="dxa"/>
        </w:tblCellMar>
      </w:tblPr>
      <w:tblGrid>
        <w:gridCol w:w="215"/>
        <w:gridCol w:w="9990"/>
      </w:tblGrid>
      <w:tr>
        <w:trPr/>
        <w:tc>
          <w:tcPr>
            <w:tcW w:w="2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January 25, 2012, the Board determined that it was in the best interests of the Company and its stockholders to amend the Plan to, among other things, increase the maximum number of shares issuable under the Plan by 675,000 shares to 750,000 shares, and to reserve such shares for issuance under the Plan (the “Plan Amendment”), subject to stockholder approval of the Plan Amendment. Our stockholders approved the Plan Amendment in an action by written consent on January 25, 2012; the approval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750,000 to 2,400,000 and to increase the per person limit on the maximum number of shares of the Company’s common stock that may be granted to an individual under the Plan in a calendar year.</w:t>
            </w:r>
          </w:p>
        </w:tc>
      </w:tr>
    </w:tbl>
    <w:p>
      <w:pPr>
        <w:pStyle w:val="Normal"/>
        <w:spacing w:before="0" w:after="0"/>
        <w:rPr>
          <w:sz w:val="4"/>
          <w:szCs w:val="4"/>
        </w:rPr>
      </w:pPr>
      <w:r>
        <w:rPr>
          <w:sz w:val="4"/>
          <w:szCs w:val="4"/>
        </w:rPr>
      </w:r>
      <w:bookmarkStart w:id="251" w:name="list10"/>
      <w:bookmarkStart w:id="252" w:name="list10"/>
      <w:bookmarkEnd w:id="252"/>
    </w:p>
    <w:tbl>
      <w:tblPr>
        <w:tblW w:w="5000" w:type="pct"/>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July 18, 2012, the Board granted to Mr. Baum, in connection with his services as the Chief Executive Officer of the Company, 160,000 restricted stock units (RSUs) and Dr. Kammer, in connection with his services as a consultant, 40,000 RSUs outside of the Plan.  The restricted stock units granted to Mr. Baum and Dr. Kammer are subject to certain performance-based vesting criteria.  See the notes to our financial statements included in our Annual Report on Form 10-K for the fiscal year ended December 31, 2012.</w:t>
            </w:r>
          </w:p>
        </w:tc>
      </w:tr>
    </w:tbl>
    <w:p>
      <w:pPr>
        <w:pStyle w:val="TextBody"/>
        <w:spacing w:before="0" w:after="0"/>
        <w:ind w:left="0" w:right="0" w:hanging="0"/>
        <w:rPr/>
      </w:pPr>
      <w:r>
        <w:rPr/>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3" w:name="PGBRK22"/>
      <w:bookmarkStart w:id="254" w:name="PGBRK22"/>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FTR22"/>
      <w:bookmarkStart w:id="256" w:name="FTR22"/>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7" w:name="GLFTR22"/>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8" w:name="PN22"/>
      <w:bookmarkEnd w:id="258"/>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HDR22"/>
      <w:bookmarkStart w:id="260" w:name="HDR22"/>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1" w:name="GLHDR22"/>
      <w:bookmarkEnd w:id="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PROPOSAL NO. 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ADVISORY VOTE ON THE FREQUENCY OF THE ADVISORY VOTE ON EXECUTIVE COMPENSATION</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Section 14A of the Exchange Act, as added by the Dodd-Frank Act, also enables our stockholders to indicate their preference as to how frequently we should seek an advisory vote on the compensation of our named executive officers. By voting on this proposal, stockholders may indicate whether they would prefer an advisory vote on named executive officer compensation once every year, once every two years, or once every three years. Stockholders also may abstain from voting on this proposal.</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After careful consideration of this proposal, the Board has determined that an advisory vote on executive compensation that occurs every three years is the most appropriate alternative for the Company, and therefore your Board recommends that you vote for a three year (3-year) frequency for the advisory vote on executive compensation.</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formulating its recommendation, our Board considered that a triennial vote will allow stockholders to better evaluate our executive compensation program in relation to our short- and long-term company performance. Additionally, a triennial vote will provide us with time to respond to stockholder concerns and implement appropriate revisions.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proxy card provides stockholders with the opportunity to choose among four options (holding the advisory vote on executive compensation every one, two or three years, or abstain from voting) and, therefore, stockholders will not be voting to approve or disapprove the recommendation of the board of directors. You may cast your vote on your preferred voting frequency by choosing the option of once every year (“1 year”), once every two years (“2 years”), once every three years (“3 years”), or you may abstain from voting.</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option of one year, two years or three years that receives the highest number of votes cast by stockholders will be considered the frequency for the advisory vote on executive compensation that is preferred by our stockholders. However, because this vote is advisory and not binding on the Board of Directors or the Company in any way, the Board may decide that it is in the best interests of our stockholders and the Company to hold an advisory vote on executive compensation more or less frequently than the option preferred by our stockholders.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Vote Required and Board of Directors’ Recommendation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option of one year, two years or three years that receives the highest number of votes cast by stockholders will be considered the frequency for the advisory vote on executive compensation that is preferred by our stockholders. Abstentions and broker non-votes will not be counted in determining which option receives the largest number of votes cast.</w:t>
      </w:r>
    </w:p>
    <w:p>
      <w:pPr>
        <w:pStyle w:val="TextBody"/>
        <w:spacing w:before="0" w:after="0"/>
        <w:ind w:left="0" w:right="0" w:firstLine="72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THE BOARD OF DIRECTORS RECOMMENDS THAT STOCKHOLDERS VOTE FOR A </w:t>
      </w:r>
      <w:r>
        <w:rPr>
          <w:rFonts w:ascii="Times New Roman" w:hAnsi="Times New Roman"/>
          <w:b/>
          <w:sz w:val="20"/>
          <w:u w:val="single"/>
        </w:rPr>
        <w:t>THREE YEAR (3-YEAR)</w:t>
      </w:r>
      <w:r>
        <w:rPr>
          <w:rFonts w:ascii="Times New Roman" w:hAnsi="Times New Roman"/>
          <w:b/>
          <w:sz w:val="20"/>
        </w:rPr>
        <w:t xml:space="preserve"> FREQUENCY FOR THE STOCKHOLDER ADVISORY VOTE ON COMPENSATION AWARDED TO OUR NAMED EXECUTIVE OFFICERS.</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2" w:name="PGBRK23"/>
      <w:bookmarkStart w:id="263" w:name="PGBRK23"/>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FTR23"/>
      <w:bookmarkStart w:id="265" w:name="FTR23"/>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6" w:name="GLFTR23"/>
      <w:bookmarkEnd w:id="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7" w:name="PN23"/>
      <w:bookmarkEnd w:id="267"/>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HDR23"/>
      <w:bookmarkStart w:id="269" w:name="HDR23"/>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0" w:name="GLHDR23"/>
      <w:bookmarkEnd w:id="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PROPOSAL NO. 5</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AMENDMENT TO THE COMPANY’S 2007 INCENTIVE STOCK AND AWARDS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2007 Incentive Stock and Awards Plan (the “Plan”) was originally approved by the Board of Directors and the stockholders of the Company on September 17, 2007 and was subsequently amended on November 5, 2008, January 25, 2012 and July 18, 2012.  In addition, on May 2, 2013, the Board of Directors approved the amendment and restatement of the Plan to provide for (i) the issuance of restricted stock units (in addition to the previously authorized options and restricted stock) and (ii) incorporates the prior three stockholder-approved amendments to the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Also on May 2, 2013 the Board of Directors approved an amendment to the Plan (as amended and restated) (the “Plan Amendment”) to (i) increase the number of shares issuable under the Plan from 2,400,000 shares to 5,000,000 shares and (ii) increase the maximum number of (A) options and (B) restricted stock and restricted stock units intended to be “performance-based compensation” that may be granted to an individual in a calendar year from 600,000 shares each to 1,750,000 shares each. The Plan Amendment must be approved by the Company’s stockholders.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May 2, 2013, the Company entered into an amended and restated employment agreement with Mr. Baum with respect to his employment as Chief Executive Officer. Mr. Baum’s amended and restated employment agreement provides for the issuance of 180,000 stock options and 200,000 restricted stock units under the Plan. The stock options vest on a quarterly basis over three years and have an exercise price of $8.99 per share and the restricted stock units vest on the third anniversary of the agreement, in each case provided that Mr. Baum is employed with the Company on the applicable vesting date. In addition, Mr. Baum was granted a performance-based restricted stock unit award (the “Performance Equity Award”) comprised of up to 1,050,000 performance-based restricted stock units. The Performance Equity Award vests three years from the date of grant contingent upon the satisfaction of certain performance-based vesting criteria during the three year period.  The performance-based vesting criteria are broken into five equal tranches and require that the Company achieves and maintains certain stock price targets ranging from $10 per share to $30 per share during the three year period following the grant date.  With certain limited exceptions, Mr. Baum must be employed with the Company on the third anniversary of the grant date in order for the Performance Equity Award to vest.  The Performance Equity Award contains an incentive recoupment (or “clawback”) provision that provides for Mr. Baum’s forfeiture or repayment of the benefits granted under the Performance Equity Award under certain circumstances.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Under the terms of the employment agreement with Mr. Baum, the earning and issuance of any shares under the Performance Equity Award that would exceed the number of shares available for grant and/or the applicable annual per person grant limit for restricted stock units under the Plan are subject to approval by the Company’s stockholders of the Plan Amendment.   The current per person grant limit under the Plan for grants of performance-based restricted stock units is 600,000 shares.  As a result, if the Plan Amendment is not approved by the Company’s stockholders, Mr. Baum will only be entitled to receive a maximum of 600,000 shares pursuant to the Performance Equity Award.  The Compensation Committee believes that the full Performance Equity Award provides a strong incentive to Mr. Baum to increase stockholder value over both the short and long term.  The Board of Directors recommends that stockholders vote FOR the Plan Amendment.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upon approval of the Plan Amendment by the Company’s stockholders, Mr. Baum has agreed to cancel 120,000 unvested restricted stock units granted to him in July 2012.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of June 30, 2013, the Plan had 163,339 shares available for future awards (assuming that only 600,000 restricted stock units included in the Performance Equity Award described above are treated as grants under the Plan).   Following the effective date of the Plan Amendment, the Plan will have 2,313,339 shares available for future awards (assuming no grants are made between the date of this proxy statement and the date of stockholder approval of the Plan Amendment). A copy of the Plan Amendment is attached hereto as </w:t>
      </w:r>
      <w:r>
        <w:rPr>
          <w:rFonts w:ascii="Times New Roman" w:hAnsi="Times New Roman"/>
          <w:i/>
          <w:sz w:val="20"/>
        </w:rPr>
        <w:t>Annex 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Board believes that the Plan Amendment will allow us to continue to use the Plan to attract and retain key talent, help align the interests of our employees, non-employee directors and consultants with our stockholders and potentially to receive a federal income tax deduction for certain compensation paid under the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is a summary of the principal terms of the Plan, as amended by the Plan Amendment.</w:t>
      </w:r>
    </w:p>
    <w:p>
      <w:pPr>
        <w:pStyle w:val="TextBody"/>
        <w:spacing w:before="0" w:after="0"/>
        <w:ind w:left="0" w:right="0" w:hanging="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1" w:name="PGBRK24"/>
      <w:bookmarkStart w:id="272" w:name="PGBRK24"/>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FTR24"/>
      <w:bookmarkStart w:id="274" w:name="FTR24"/>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5" w:name="GLFTR24"/>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6" w:name="PN24"/>
      <w:bookmarkEnd w:id="276"/>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HDR24"/>
      <w:bookmarkStart w:id="278" w:name="HDR24"/>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9" w:name="GLHDR24"/>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General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Purpose</w:t>
      </w:r>
      <w:r>
        <w:rPr>
          <w:rFonts w:ascii="Times New Roman" w:hAnsi="Times New Roman"/>
          <w:b/>
          <w:sz w:val="20"/>
        </w:rPr>
        <w:t>.</w:t>
      </w:r>
      <w:r>
        <w:rPr>
          <w:rFonts w:ascii="Times New Roman" w:hAnsi="Times New Roman"/>
          <w:sz w:val="20"/>
        </w:rPr>
        <w:t xml:space="preserve"> The Plan is intended to provide an incentive, to retain the Company’s officers, directors, employees, consultants and advisors, to attract new directors, officers, consultants, advisors and employees whose services are considered valuable, to encourage the sense of proprietorship and to stimulate the active interest of such persons in the development and financial success of the Company and its subsidiaries. It is further intended that certain options granted pursuant to the Plan constitute incentive stock options (the “Incentive Options”) within the meaning of Section 422 of the Internal Revenue Code of 1986 (the “Code”) while certain other options granted pursuant to the Plan will be nonqualified stock options (the “Nonqualified Options”). Incentive Options and Nonqualified Options are hereinafter referred to collectively as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Administration</w:t>
      </w:r>
      <w:r>
        <w:rPr>
          <w:rFonts w:ascii="Times New Roman" w:hAnsi="Times New Roman"/>
          <w:b/>
          <w:sz w:val="20"/>
        </w:rPr>
        <w:t>.</w:t>
      </w:r>
      <w:r>
        <w:rPr>
          <w:rFonts w:ascii="Times New Roman" w:hAnsi="Times New Roman"/>
          <w:sz w:val="20"/>
        </w:rPr>
        <w:t xml:space="preserve"> The Board has appointed and maintained the Compensation Committee as administrator of the Plan (the “Committee”), which will serve at the pleasure of the Board. The Committee, subject to certain provisions of the Plan, has full power and authority to designate recipients of Options, restricted stock (“Restricted Stock”) and restricted stock units (“Restricted Stock Units”) and to determine the terms and conditions of the respective Option, Restricted Stock and Restricted Stock Unit agreements (which need not be identical) and to interpret the provisions and supervise the administration of the Plan. The Committee also has the authority to designate which Options granted under the Plan will be Incentive Options and which will be Nonqualified Options. In the event that for any reason the Committee is unable to act or if there shall be no such Committee, or if the Board otherwise determines to administer the Plan, then the Plan shall be administered by the Board, and references herein to the Committee shall be deemed to be references to the Board.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Eligible Participants</w:t>
      </w:r>
      <w:r>
        <w:rPr>
          <w:rFonts w:ascii="Times New Roman" w:hAnsi="Times New Roman"/>
          <w:b/>
          <w:sz w:val="20"/>
        </w:rPr>
        <w:t>.</w:t>
      </w:r>
      <w:r>
        <w:rPr>
          <w:rFonts w:ascii="Times New Roman" w:hAnsi="Times New Roman"/>
          <w:sz w:val="20"/>
        </w:rPr>
        <w:t xml:space="preserve"> The persons eligible for participation in the Plan as recipients of Options (the “Optionees”) or Restricted Stock or Restricted Stock Units (the “Grantees” and together with Optionees, the “Participants”) include directors, officers and employees of, and consultants and advisors to, the Company or any subsidiary; provided that Incentive Options may only be granted to employees of the Company and any subsidiary. The Plan currently has 15 Participants.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Shares of the Company’s Common Stock Authorized under the Plan</w:t>
      </w:r>
      <w:r>
        <w:rPr>
          <w:rFonts w:ascii="Times New Roman" w:hAnsi="Times New Roman"/>
          <w:b/>
          <w:sz w:val="20"/>
        </w:rPr>
        <w:t>.</w:t>
      </w:r>
      <w:r>
        <w:rPr>
          <w:rFonts w:ascii="Times New Roman" w:hAnsi="Times New Roman"/>
          <w:sz w:val="20"/>
        </w:rPr>
        <w:t xml:space="preserve"> The Plan currently authorizes the grant of awards to Participants with respect to a maximum of 2,400,000 shares of Common Stock, which will increase to 5,000,000 as of the effective date of the Plan Amendment. Should any Option or award of Restricted Stock or Restricted Stock Units expire or be canceled prior to its exercise or vesting in full or should the number of shares of Stock to be delivered upon the exercise or vesting in full of an Option or award of Restricted Stock or Restricted Stock Units be reduced for any reason, the shares of Stock theretofore subject to such Option, Restricted Stock or Restricted Stock Units may be subject to future Options, Restricted Stock or Restricted Stock Units under the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of June 30, 2013, the Plan had 163,339 shares available for future awards (assuming that only 600,000 restricted stock units included in the Performance Equity Award described above are treated as grants under the Plan).   Following the effective date of the Plan Amendment, the Plan will have 2,313,339 shares available for future awards (assuming no grants are made between the date of this proxy statement and the date of stockholder approval of the Plan Amendment).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Effective Date and Duration of the Plan</w:t>
      </w:r>
      <w:r>
        <w:rPr>
          <w:rFonts w:ascii="Times New Roman" w:hAnsi="Times New Roman"/>
          <w:b/>
          <w:sz w:val="20"/>
        </w:rPr>
        <w:t>.</w:t>
      </w:r>
      <w:r>
        <w:rPr>
          <w:rFonts w:ascii="Times New Roman" w:hAnsi="Times New Roman"/>
          <w:sz w:val="20"/>
        </w:rPr>
        <w:t xml:space="preserve"> The effective date of the Plan is September 17, 2007. No Option or award of Restricted Stock or Restricted Stock Unit will be granted pursuant to the Plan on or after the date which is ten years from the effective date of the Plan, but Options and awards of Restricted Stock theretofore granted may extend beyond that date.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Terms and Conditions of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Option Price</w:t>
      </w:r>
      <w:r>
        <w:rPr>
          <w:rFonts w:ascii="Times New Roman" w:hAnsi="Times New Roman"/>
          <w:b/>
          <w:sz w:val="20"/>
        </w:rPr>
        <w:t>.</w:t>
      </w:r>
      <w:r>
        <w:rPr>
          <w:rFonts w:ascii="Times New Roman" w:hAnsi="Times New Roman"/>
          <w:sz w:val="20"/>
        </w:rPr>
        <w:t xml:space="preserve"> The purchase price of each share of the Company’s common stock (the “Common Stock”) purchasable under an Incentive Option is determined by the Committee at the time of grant, but will not be less than 100% of the Fair Market Value (as defined below) of such share of Common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Common Stock will be at least 110% of the Fair Market Value per share of Common Stock on the date of grant. The purchase price of each share of Common Stock purchasable under a Nonqualified Option will not be less than 100% of the Fair Market Value of such share of Common Stock on the date the Option is granted. “Fair Market Value” means the closing price on the day of the grant of the Option or Restricted Stock on the principal securities exchange on which shares of our Common Stock are listed (if the shares of Common Stock are so listed), or on The NASDAQ Global Select Market, The NASDAQ Global Market, or The NASDAQ Capital Market of The NASDAQ Stock Market LLC or OTC Bulletin Board (if the shares of Common Stock are regularly quoted on The NASDAQ Global Select Market, The NASDAQ Global Market or The NASDAQ Capital Market of The NASDAQ Stock Market LLC or OTC Bulletin Board, as the case may be), or, if no closing price was reported on that date, as applicable, on the last trading date such closing price was reported, or, if not so listed, the mean between the closing bid and asked prices of publicly traded shares of our Common Stock in the over the counter market, or, if such bid and asked prices shall not be available, as reported by any nationally recognized quotation service selected by the Company, or as determined by the Committee in a manner consistent with the provisions of the Code.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0" w:name="PGBRK25"/>
      <w:bookmarkStart w:id="281" w:name="PGBRK25"/>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2" w:name="FTR25"/>
      <w:bookmarkStart w:id="283" w:name="FTR25"/>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4" w:name="GLFTR25"/>
      <w:bookmarkEnd w:id="2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5" w:name="PN25"/>
      <w:bookmarkEnd w:id="285"/>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6" w:name="HDR25"/>
      <w:bookmarkStart w:id="287" w:name="HDR25"/>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8" w:name="GLHDR25"/>
      <w:bookmarkEnd w:id="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Option Term.</w:t>
      </w:r>
      <w:r>
        <w:rPr>
          <w:rFonts w:ascii="Times New Roman" w:hAnsi="Times New Roman"/>
          <w:sz w:val="20"/>
        </w:rPr>
        <w:t> The term of each Option will be fixed by the Committee, but no Option may be exercisable more than ten years after the date such Option is granted. Further,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may be exercisable more than five years after the date such Incentive Option is granted.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Exercisability.</w:t>
      </w:r>
      <w:r>
        <w:rPr>
          <w:rFonts w:ascii="Times New Roman" w:hAnsi="Times New Roman"/>
          <w:sz w:val="20"/>
        </w:rPr>
        <w:t> Options will be exercisable at such time or times and subject to such terms and conditions as determined by the Committee at the time of grant; provided, however, that in the absence of any Option vesting periods designated by the Committee at the time of grant, Options will vest and become exercisable as to one-third of the total number of shares subject to the Option on each of the first, second and third yearly anniversaries of the date of grant; and provided further that no Options may be exercisable until such time as any vesting limitation required by Section 16 of the Securities Exchange Act of 1934, and related rules, will be satisfied if necessary for continued validity of the exemption provided under Rule 16b-3(d)(3).</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Upon the occurrence of a “Change in Control” (as defined in the Plan),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will terminate within a specified number of days after notice to the Optionee thereunder, and each such Optionee will receive, with respect to each share of Common Stock subject to such Option, an amount equal to the excess of the Fair Market Value of such shares immediately prior to such Change in Control over the exercise price per share of such Option; such amount may be payable in cash, in one or more kinds of property (including the property, if any, payable in the transaction) or a combination thereof, as the Committee may determine in its sole discretion. If Change of Control is defined in an employment agreement between the Company and an Optionee, then, with respect to such Optionee, Change of Control will have the meaning ascribed to it in such employment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Method of Exercise.</w:t>
      </w:r>
      <w:r>
        <w:rPr>
          <w:rFonts w:ascii="Times New Roman" w:hAnsi="Times New Roman"/>
          <w:sz w:val="20"/>
        </w:rPr>
        <w:t> Options to the extent then exercisable may be exercised in whole or in part at any time during the option period, by giving written notice to the Company specifying the number of shares of Common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Common Stock owned by the Optionee (based on the Fair Market Value of the Common Stock which is not the subject of any pledge or security interest), (ii) in the form of shares of Common Stock withheld by the Company from the shares of Common Stock otherwise to be received with such withheld shares of Common Stock having a Fair Market Value equal to the exercise price of the Option, or (iii) by a combination of the foregoing, provided that the combined value of all cash and cash equivalents and the Fair Market Value of any shares surrendered to the Company is at least equal to such exercise price. An Optionee will have the right to dividends and other rights of a stockholder with respect to shares of Common Stock purchased upon exercise of an Option at such time as the Optionee (i) has given written notice of exercise and has paid in full for such shares, and (ii) has satisfied such conditions that may be imposed by the Company with respect to the withholding of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Non-transferability of Options.</w:t>
      </w:r>
      <w:r>
        <w:rPr>
          <w:rFonts w:ascii="Times New Roman" w:hAnsi="Times New Roman"/>
          <w:sz w:val="20"/>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of the Plan will be void and ineffective and will give no right to the purported transferee.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Termination by Death.</w:t>
      </w:r>
      <w:r>
        <w:rPr>
          <w:rFonts w:ascii="Times New Roman" w:hAnsi="Times New Roman"/>
          <w:sz w:val="20"/>
        </w:rPr>
        <w:t> Unless otherwise determined by the Committee, if any Optionee’s employment with or service to the Company or any subsidiary terminates by reason of death, the Option may thereafter be exercised, to the extent then exercisable (or on such accelerated basis as the Committee may determine at or after grant), by the legal representative of the estate or by the legatee of the Optionee under the will of the Optionee, for a period of one (1) year after the date of such death or until the expiration of the stated term of such Option as provided under the Plan, whichever period is shorter.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Termination by Reason of Disability.</w:t>
      </w:r>
      <w:r>
        <w:rPr>
          <w:rFonts w:ascii="Times New Roman" w:hAnsi="Times New Roman"/>
          <w:sz w:val="20"/>
        </w:rPr>
        <w:t>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may determine at or after grant), but may not be exercised after ninety (90) days after the date of such termination of employment or service or the expiration of the stated term of such Option, whichever period is shorter; provided, however,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“Disability” means an Optionee’s total and permanent disability; provided that if Disability is defined in an employment agreement between the Company and the relevant Optionee, then, with respect to such Optionee, Disability will have the meaning ascribed to it in such employment agreement.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9" w:name="PGBRK26"/>
      <w:bookmarkStart w:id="290" w:name="PGBRK26"/>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1" w:name="FTR26"/>
      <w:bookmarkStart w:id="292" w:name="FTR26"/>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3" w:name="GLFTR26"/>
      <w:bookmarkEnd w:id="2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4" w:name="PN26"/>
      <w:bookmarkEnd w:id="294"/>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HDR26"/>
      <w:bookmarkStart w:id="296" w:name="HDR26"/>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7" w:name="GLHDR26"/>
      <w:bookmarkEnd w:id="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Termination by Reason of Retirement.</w:t>
      </w:r>
      <w:r>
        <w:rPr>
          <w:rFonts w:ascii="Times New Roman" w:hAnsi="Times New Roman"/>
          <w:sz w:val="20"/>
        </w:rPr>
        <w:t>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may determine at or after grant), but may not be exercised after ninety (90) days after the date of such termination of employment or service or the expiration of the stated term of such Option, whichever date is earlier; provided, however,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“Normal Retirement” is defined as retirement from active employment with the Company or any subsidiary on or after the normal retirement date specified in the applicable Company or subsidiary pension plan or if there is no such pension plan, age 65. “Early Retirement” is defined as retirement from active employment with the Company or any subsidiary pursuant to the early retirement provisions of the applicable Company or subsidiary pension plan or if there is no such pension plan, age 55.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Other Terminations.</w:t>
      </w:r>
      <w:r>
        <w:rPr>
          <w:rFonts w:ascii="Times New Roman" w:hAnsi="Times New Roman"/>
          <w:sz w:val="20"/>
        </w:rPr>
        <w:t> Unless otherwise determined by the Committee upon grant, if any Optionee’s employment with or service to the Company or any subsidiary is terminated by such Optionee for any reason other than death, Disability, Normal or Early Retirement or Good Reason (as defined in the Plan), the Option will thereupon terminate, except that the portion of any Option that was exercisable on the date of such termination of employment or service may be exercised for the lesser of ninety (90) days after the date of termination or the balance of such Option’s term, which ever period is shorter. The transfer of an Optionee from the employ of or service to the Company to the employ of or service to a subsidiary, or vice versa, or from one subsidiary to another, will not be deemed to constitute a termination of employment or service for purposes of the Plan. Notwithstanding the foregoing, in the event that the Optionee’s employment or service with the Company or any subsidiary is terminated by the Company or such subsidiary for Cause (as defined in the Plan), any unexercised portion of any Option will immediately terminate in its entirety.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Limit on Value of Incentive Stock Option.</w:t>
      </w:r>
      <w:r>
        <w:rPr>
          <w:rFonts w:ascii="Times New Roman" w:hAnsi="Times New Roman"/>
          <w:sz w:val="20"/>
        </w:rPr>
        <w:t> The aggregate Fair Market Value, determined as of the date the Incentive Option is granted, of Common Stock for which Incentive Options are exercisable for the first time by any Optionee during any calendar year under the Plan (and/or any other stock option plans of the Company or any subsidiary) shall not exceed $1,000,000.</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Terms and Conditions of Restricted Stock and Restricted Stock Units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Restricted Stock and Restricted Stock Units may be granted under the Plan aside from, or in association with, any other award and is subject to the following conditions and may contain such additional terms and conditions (including provisions relating to the acceleration of vesting of Restricted Stock or Restricted Stock Units upon a Change of Control), not inconsistent with the terms of the Plan, as the Committee deems desirable: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Grantee rights.</w:t>
      </w:r>
      <w:r>
        <w:rPr>
          <w:rFonts w:ascii="Times New Roman" w:hAnsi="Times New Roman"/>
          <w:sz w:val="20"/>
        </w:rPr>
        <w:t xml:space="preserve"> A Grantee has no rights to an award of Restricted Stock unless and until Grantee accepts the award within the period prescribed by the Committee and, if the Committee deems desirable, makes payment to the Company in cash, or by check or such other instrument as may be acceptable to the Committee. After acceptance and issuance of a certificate or certificates, as provided for below, the Grantee will have the rights of a stockholder with respect to Restricted Stock subject to the non-transferability and forfeiture restrictions described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Issuance of Certificates.</w:t>
      </w:r>
      <w:r>
        <w:rPr>
          <w:rFonts w:ascii="Times New Roman" w:hAnsi="Times New Roman"/>
          <w:sz w:val="20"/>
        </w:rPr>
        <w:t xml:space="preserve"> The Company will issue in the Grantee’s name a certificate or certificates for the shares of Common Stock associated with the award promptly after the Grantee accepts such award.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Forfeitability, Non-transferability of Restricted Stock and Restricted Stock Units.</w:t>
      </w:r>
      <w:r>
        <w:rPr>
          <w:rFonts w:ascii="Times New Roman" w:hAnsi="Times New Roman"/>
          <w:sz w:val="20"/>
        </w:rPr>
        <w:t> Shares of Restricted Stock and Restricted Stock Units are forfeitable until the terms of the Restricted Stock or Restricted Stock Unit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will be subject to the same restrictions as such shares of Restricted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Change of Control.</w:t>
      </w:r>
      <w:r>
        <w:rPr>
          <w:rFonts w:ascii="Times New Roman" w:hAnsi="Times New Roman"/>
          <w:sz w:val="20"/>
        </w:rPr>
        <w:t xml:space="preserve"> Upon the occurrence of a Change in Control as defined in the Plan, the Committee may accelerate the vesting of outstanding Restricted Stock and Restricted Stock Units, in whole or in part, as determined by the Committee, in its sole discretion.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Termination of Employment.</w:t>
      </w:r>
      <w:r>
        <w:rPr>
          <w:rFonts w:ascii="Times New Roman" w:hAnsi="Times New Roman"/>
          <w:sz w:val="20"/>
        </w:rPr>
        <w:t xml:space="preserve"> Unless otherwise determined by the Committee at or after grant, in the event the Grantee ceases to be an employee or otherwise associated with the Company for any other reason, all shares of Restricted Stock and Restricted Stock Unit theretofore awarded to him which are still subject to restrictions will be forfeited and the Company will have the right to complete a blank stock power relating to such shares. The Committee may provide (on or after grant) that restrictions or forfeiture conditions relating to shares of Restricted Stock and Restricted Stock Units will be waived in whole or in part in the event of termination resulting from specified causes, and the Committee may in other cases waive in whole or in part restrictions or forfeiture conditions relating to Restricted Stock.</w:t>
      </w:r>
    </w:p>
    <w:p>
      <w:pPr>
        <w:pStyle w:val="TextBody"/>
        <w:spacing w:before="0" w:after="0"/>
        <w:ind w:left="0" w:right="0" w:hanging="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8" w:name="PGBRK27"/>
      <w:bookmarkStart w:id="299" w:name="PGBRK27"/>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FTR27"/>
      <w:bookmarkStart w:id="301" w:name="FTR27"/>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2" w:name="GLFTR27"/>
      <w:bookmarkEnd w:id="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3" w:name="PN27"/>
      <w:bookmarkEnd w:id="303"/>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HDR27"/>
      <w:bookmarkStart w:id="305" w:name="HDR27"/>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6" w:name="GLHDR27"/>
      <w:bookmarkEnd w:id="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Section 162(m) of the Code.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Under the Plan without giving effect to the Plan Amendment, the maximum number of shares with respect to which Options may be granted to an Optionee during a calendar year is 600,000 shares.  As amended by the Plan Amendment, the maximum number of shares with respect to which Options may be granted to an Optionee during a calendar year would be 1,750,000 shares. In addition, in connection with an Optionee’s commencement of employment or service with the Company, an Optionee may be granted Options for up to an additional 200,000 shares, which shall not count against the limit set forth in the previous sentence. The foregoing limitations shall be adjusted proportionately by the Committee in the event of a merger, reorganization, consolidation, recapitalization, stock dividend or other change in corporate structure affecting the shares. Under Code Section 162(m) no deduction is allowed in any taxable year of the Company for compensation in excess of $1 million paid to the Company’s “covered employees.” An exception to this rule applies to compensation that is paid to a covered employee pursuant to a stock incentive plan approved by stockholders and that specifies, among other things, the maximum number of shares with respect to which Options may be granted to eligible Participants under the Plan during a specified period. Compensation paid pursuant to Options granted under the Plan and with an exercise price equal to the Fair Market Value of the shares on the date of grant is deemed to be inherently performance-based, since such awards provide value to Participants only if the stock price appreciates. To the extent required by Section 162(m) of the Code or the regulations thereunder, in applying the foregoing limitation, if any Option is canceled, the canceled Option shall continue to count against the maximum number of shares with respect to which an Option may be granted to an eligible Participant.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awards of Restricted Stock and Restricted Stock Units that are intended to be performance-based compensation under Section 162(m) of the Internal Revenue Code of 1986, as amended (the “Code”), the maximum number of shares subject to such awards that may be granted to a Participant during a calendar year without giving effect to the Plan Amendment is 600,000 shares. After giving effect to the Plan Amendment, the maximum number of shares subject to such awards that may be granted to a Participant in a calendar year would be 1,750,000 shares.  The foregoing limitations shall be adjusted proportionately by the Committee in the event of a merger, reorganization, consolidation, recapitalization, stock dividend or other change in corporate structure affecting the shares. In order for Restricted Stock to qualify as performance-based compensation, the Committee must establish a performance goal with respect to such award in writing not later than ninety (90) days after the commencement of the services to which it relates (or, if earlier, the date after which twenty-five percent (25%) of the period of service to which the performance goal relates has elapsed) and while the outcome is substantially uncertain. In addition, the performance goal must be stated in terms of an objective formula or standard.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Under Code Section 162(m), a “covered employee” is the Company’s chief executive officer and the three (3) other most highly compensated officers of the Company other than the chief financial officer.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Plan includes the following performance criteria that may be considered by the Committee when granting performance-based awards: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The performance criteria may be applicable to the Company or any subsidiary of the Company, and/or any individual business units of the Company or any subsidiary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Other Provisions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Capital Change of the Company.</w:t>
      </w:r>
      <w:r>
        <w:rPr>
          <w:rFonts w:ascii="Times New Roman" w:hAnsi="Times New Roman"/>
          <w:sz w:val="20"/>
        </w:rPr>
        <w:t> In the event of any merger, reorganization, consolidation, recapitalization, stock dividend, or other change in corporate structure affecting the Common Stock, the Committee will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will be maintained (to the extent possible) as immediately before the occurrence of such event. The Committee will, to the extent feasible, make such other adjustments as may be required under the tax laws so that any Incentive Options previously granted will not be deemed modified within the meaning of Section 424(h) of the Code. Appropriate adjustments will also be made in the case of outstanding Restricted Stock granted under the Plan. The adjustments described above will be made only to the extent consistent with continued qualification of the Option under Section 422 of the Code (in the case of an Incentive Option) and Section 409A of the Code.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7" w:name="PGBRK28"/>
      <w:bookmarkStart w:id="308" w:name="PGBRK28"/>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FTR28"/>
      <w:bookmarkStart w:id="310" w:name="FTR28"/>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1" w:name="GLFTR28"/>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2" w:name="PN28"/>
      <w:bookmarkEnd w:id="312"/>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HDR28"/>
      <w:bookmarkStart w:id="314" w:name="HDR28"/>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5" w:name="GLHDR28"/>
      <w:bookmarkEnd w:id="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Amendment and Termination.</w:t>
      </w:r>
      <w:r>
        <w:rPr>
          <w:rFonts w:ascii="Times New Roman" w:hAnsi="Times New Roman"/>
          <w:sz w:val="20"/>
        </w:rPr>
        <w:t> The Board may amend, suspend, or terminate the Plan, except that no amendment may be made that would impair the rights of any Participant under any Option or Restricted Stock granted without the Participant’s consent, and except that no amendment may be made without the approval of the stockholders of the Company that would:</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08"/>
        <w:gridCol w:w="9697"/>
      </w:tblGrid>
      <w:tr>
        <w:trPr/>
        <w:tc>
          <w:tcPr>
            <w:tcW w:w="508" w:type="dxa"/>
            <w:tcBorders/>
            <w:shd w:fill="FFFFFF" w:val="clear"/>
            <w:vAlign w:val="center"/>
          </w:tcPr>
          <w:p>
            <w:pPr>
              <w:pStyle w:val="TableContents"/>
              <w:spacing w:before="0" w:after="283"/>
              <w:jc w:val="center"/>
              <w:rPr/>
            </w:pPr>
            <w:r>
              <w:rPr/>
              <w:t>●</w:t>
            </w:r>
          </w:p>
        </w:tc>
        <w:tc>
          <w:tcPr>
            <w:tcW w:w="9697" w:type="dxa"/>
            <w:tcBorders/>
            <w:shd w:fill="FFFFFF" w:val="clear"/>
            <w:vAlign w:val="center"/>
          </w:tcPr>
          <w:p>
            <w:pPr>
              <w:pStyle w:val="TableContents"/>
              <w:spacing w:before="0" w:after="283"/>
              <w:rPr/>
            </w:pPr>
            <w:r>
              <w:rPr/>
              <w:t> </w:t>
            </w:r>
            <w:r>
              <w:rPr>
                <w:rFonts w:ascii="times new roman" w:hAnsi="times new roman"/>
                <w:sz w:val="20"/>
              </w:rPr>
              <w:t>materially increase the number of shares that may be issued under the Plan;</w:t>
            </w:r>
          </w:p>
        </w:tc>
      </w:tr>
      <w:tr>
        <w:trPr/>
        <w:tc>
          <w:tcPr>
            <w:tcW w:w="508" w:type="dxa"/>
            <w:tcBorders/>
            <w:shd w:fill="FFFFFF" w:val="clear"/>
            <w:vAlign w:val="center"/>
          </w:tcPr>
          <w:p>
            <w:pPr>
              <w:pStyle w:val="TableContents"/>
              <w:spacing w:before="0" w:after="283"/>
              <w:rPr/>
            </w:pPr>
            <w:r>
              <w:rPr/>
              <w:t> </w:t>
            </w:r>
          </w:p>
        </w:tc>
        <w:tc>
          <w:tcPr>
            <w:tcW w:w="9697" w:type="dxa"/>
            <w:tcBorders/>
            <w:shd w:fill="FFFFFF" w:val="clear"/>
            <w:vAlign w:val="center"/>
          </w:tcPr>
          <w:p>
            <w:pPr>
              <w:pStyle w:val="TableContents"/>
              <w:spacing w:before="0" w:after="283"/>
              <w:rPr/>
            </w:pPr>
            <w:r>
              <w:rPr/>
              <w:t> </w:t>
            </w:r>
          </w:p>
        </w:tc>
      </w:tr>
      <w:tr>
        <w:trPr/>
        <w:tc>
          <w:tcPr>
            <w:tcW w:w="508" w:type="dxa"/>
            <w:tcBorders/>
            <w:shd w:fill="FFFFFF" w:val="clear"/>
            <w:vAlign w:val="center"/>
          </w:tcPr>
          <w:p>
            <w:pPr>
              <w:pStyle w:val="TableContents"/>
              <w:spacing w:before="0" w:after="283"/>
              <w:jc w:val="center"/>
              <w:rPr/>
            </w:pPr>
            <w:r>
              <w:rPr/>
              <w:t>●</w:t>
            </w:r>
          </w:p>
        </w:tc>
        <w:tc>
          <w:tcPr>
            <w:tcW w:w="9697" w:type="dxa"/>
            <w:tcBorders/>
            <w:shd w:fill="FFFFFF" w:val="clear"/>
            <w:vAlign w:val="center"/>
          </w:tcPr>
          <w:p>
            <w:pPr>
              <w:pStyle w:val="TableContents"/>
              <w:spacing w:before="0" w:after="283"/>
              <w:rPr/>
            </w:pPr>
            <w:r>
              <w:rPr/>
              <w:t> </w:t>
            </w:r>
            <w:r>
              <w:rPr>
                <w:rFonts w:ascii="times new roman" w:hAnsi="times new roman"/>
                <w:sz w:val="20"/>
              </w:rPr>
              <w:t>materially increase the benefits accruing to the Participants under the Plan;</w:t>
            </w:r>
          </w:p>
        </w:tc>
      </w:tr>
      <w:tr>
        <w:trPr/>
        <w:tc>
          <w:tcPr>
            <w:tcW w:w="508" w:type="dxa"/>
            <w:tcBorders/>
            <w:shd w:fill="FFFFFF" w:val="clear"/>
            <w:vAlign w:val="center"/>
          </w:tcPr>
          <w:p>
            <w:pPr>
              <w:pStyle w:val="TableContents"/>
              <w:spacing w:before="0" w:after="283"/>
              <w:rPr/>
            </w:pPr>
            <w:r>
              <w:rPr/>
              <w:t> </w:t>
            </w:r>
          </w:p>
        </w:tc>
        <w:tc>
          <w:tcPr>
            <w:tcW w:w="9697" w:type="dxa"/>
            <w:tcBorders/>
            <w:shd w:fill="FFFFFF" w:val="clear"/>
            <w:vAlign w:val="center"/>
          </w:tcPr>
          <w:p>
            <w:pPr>
              <w:pStyle w:val="TableContents"/>
              <w:spacing w:before="0" w:after="283"/>
              <w:rPr/>
            </w:pPr>
            <w:r>
              <w:rPr/>
              <w:t> </w:t>
            </w:r>
          </w:p>
        </w:tc>
      </w:tr>
      <w:tr>
        <w:trPr/>
        <w:tc>
          <w:tcPr>
            <w:tcW w:w="508" w:type="dxa"/>
            <w:tcBorders/>
            <w:shd w:fill="FFFFFF" w:val="clear"/>
            <w:vAlign w:val="center"/>
          </w:tcPr>
          <w:p>
            <w:pPr>
              <w:pStyle w:val="TableContents"/>
              <w:spacing w:before="0" w:after="283"/>
              <w:jc w:val="center"/>
              <w:rPr/>
            </w:pPr>
            <w:r>
              <w:rPr/>
              <w:t>●</w:t>
            </w:r>
          </w:p>
        </w:tc>
        <w:tc>
          <w:tcPr>
            <w:tcW w:w="9697" w:type="dxa"/>
            <w:tcBorders/>
            <w:shd w:fill="FFFFFF" w:val="clear"/>
            <w:vAlign w:val="center"/>
          </w:tcPr>
          <w:p>
            <w:pPr>
              <w:pStyle w:val="TableContents"/>
              <w:spacing w:before="0" w:after="283"/>
              <w:rPr/>
            </w:pPr>
            <w:r>
              <w:rPr/>
              <w:t> </w:t>
            </w:r>
            <w:r>
              <w:rPr>
                <w:rFonts w:ascii="times new roman" w:hAnsi="times new roman"/>
                <w:sz w:val="20"/>
              </w:rPr>
              <w:t>materially modify the requirements as to eligibility for participation in the Plan;</w:t>
            </w:r>
          </w:p>
        </w:tc>
      </w:tr>
      <w:tr>
        <w:trPr/>
        <w:tc>
          <w:tcPr>
            <w:tcW w:w="508" w:type="dxa"/>
            <w:tcBorders/>
            <w:shd w:fill="FFFFFF" w:val="clear"/>
            <w:vAlign w:val="center"/>
          </w:tcPr>
          <w:p>
            <w:pPr>
              <w:pStyle w:val="TableContents"/>
              <w:spacing w:before="0" w:after="283"/>
              <w:rPr/>
            </w:pPr>
            <w:r>
              <w:rPr/>
              <w:t> </w:t>
            </w:r>
          </w:p>
        </w:tc>
        <w:tc>
          <w:tcPr>
            <w:tcW w:w="9697" w:type="dxa"/>
            <w:tcBorders/>
            <w:shd w:fill="FFFFFF" w:val="clear"/>
            <w:vAlign w:val="center"/>
          </w:tcPr>
          <w:p>
            <w:pPr>
              <w:pStyle w:val="TableContents"/>
              <w:spacing w:before="0" w:after="283"/>
              <w:rPr/>
            </w:pPr>
            <w:r>
              <w:rPr/>
              <w:t> </w:t>
            </w:r>
          </w:p>
        </w:tc>
      </w:tr>
      <w:tr>
        <w:trPr/>
        <w:tc>
          <w:tcPr>
            <w:tcW w:w="508" w:type="dxa"/>
            <w:tcBorders/>
            <w:shd w:fill="FFFFFF" w:val="clear"/>
          </w:tcPr>
          <w:p>
            <w:pPr>
              <w:pStyle w:val="TableContents"/>
              <w:spacing w:before="0" w:after="283"/>
              <w:jc w:val="center"/>
              <w:rPr/>
            </w:pPr>
            <w:r>
              <w:rPr/>
              <w:t>●</w:t>
            </w:r>
          </w:p>
        </w:tc>
        <w:tc>
          <w:tcPr>
            <w:tcW w:w="969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decrease the exercise price of an Incentive Option to less than 100% of the Fair Market Value per share of Common Stock on the date of grant thereof or the exercise price of a Nonqualified Option to less than 100% of the Fair Market Value per share of Common Stock on the date of grant thereof;</w:t>
            </w:r>
          </w:p>
        </w:tc>
      </w:tr>
      <w:tr>
        <w:trPr/>
        <w:tc>
          <w:tcPr>
            <w:tcW w:w="508" w:type="dxa"/>
            <w:tcBorders/>
            <w:shd w:fill="FFFFFF" w:val="clear"/>
            <w:vAlign w:val="center"/>
          </w:tcPr>
          <w:p>
            <w:pPr>
              <w:pStyle w:val="TableContents"/>
              <w:spacing w:before="0" w:after="283"/>
              <w:rPr/>
            </w:pPr>
            <w:r>
              <w:rPr/>
              <w:t> </w:t>
            </w:r>
          </w:p>
        </w:tc>
        <w:tc>
          <w:tcPr>
            <w:tcW w:w="9697" w:type="dxa"/>
            <w:tcBorders/>
            <w:shd w:fill="FFFFFF" w:val="clear"/>
            <w:vAlign w:val="center"/>
          </w:tcPr>
          <w:p>
            <w:pPr>
              <w:pStyle w:val="TableContents"/>
              <w:spacing w:before="0" w:after="283"/>
              <w:rPr/>
            </w:pPr>
            <w:r>
              <w:rPr/>
              <w:t> </w:t>
            </w:r>
          </w:p>
        </w:tc>
      </w:tr>
      <w:tr>
        <w:trPr/>
        <w:tc>
          <w:tcPr>
            <w:tcW w:w="508" w:type="dxa"/>
            <w:tcBorders/>
            <w:shd w:fill="FFFFFF" w:val="clear"/>
            <w:vAlign w:val="center"/>
          </w:tcPr>
          <w:p>
            <w:pPr>
              <w:pStyle w:val="TableContents"/>
              <w:spacing w:before="0" w:after="283"/>
              <w:jc w:val="center"/>
              <w:rPr/>
            </w:pPr>
            <w:r>
              <w:rPr/>
              <w:t>●</w:t>
            </w:r>
          </w:p>
        </w:tc>
        <w:tc>
          <w:tcPr>
            <w:tcW w:w="969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extend the term of any Option beyond that provided for in the Plan or by the Committee; or</w:t>
            </w:r>
          </w:p>
        </w:tc>
      </w:tr>
      <w:tr>
        <w:trPr/>
        <w:tc>
          <w:tcPr>
            <w:tcW w:w="508" w:type="dxa"/>
            <w:tcBorders/>
            <w:shd w:fill="FFFFFF" w:val="clear"/>
            <w:vAlign w:val="center"/>
          </w:tcPr>
          <w:p>
            <w:pPr>
              <w:pStyle w:val="TableContents"/>
              <w:spacing w:before="0" w:after="283"/>
              <w:rPr/>
            </w:pPr>
            <w:r>
              <w:rPr/>
              <w:t> </w:t>
            </w:r>
          </w:p>
        </w:tc>
        <w:tc>
          <w:tcPr>
            <w:tcW w:w="9697" w:type="dxa"/>
            <w:tcBorders/>
            <w:shd w:fill="FFFFFF" w:val="clear"/>
            <w:vAlign w:val="center"/>
          </w:tcPr>
          <w:p>
            <w:pPr>
              <w:pStyle w:val="TableContents"/>
              <w:spacing w:before="0" w:after="283"/>
              <w:rPr/>
            </w:pPr>
            <w:r>
              <w:rPr/>
              <w:t> </w:t>
            </w:r>
          </w:p>
        </w:tc>
      </w:tr>
      <w:tr>
        <w:trPr/>
        <w:tc>
          <w:tcPr>
            <w:tcW w:w="508" w:type="dxa"/>
            <w:tcBorders/>
            <w:shd w:fill="FFFFFF" w:val="clear"/>
          </w:tcPr>
          <w:p>
            <w:pPr>
              <w:pStyle w:val="TableContents"/>
              <w:spacing w:before="0" w:after="283"/>
              <w:jc w:val="center"/>
              <w:rPr/>
            </w:pPr>
            <w:r>
              <w:rPr/>
              <w:t>●</w:t>
            </w:r>
          </w:p>
        </w:tc>
        <w:tc>
          <w:tcPr>
            <w:tcW w:w="969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except as otherwise provided for in the Plan, reduce the exercise price of outstanding Options or effect re-pricing through cancellations and re-grants of new Options.</w:t>
            </w:r>
          </w:p>
        </w:tc>
      </w:tr>
    </w:tbl>
    <w:p>
      <w:pPr>
        <w:pStyle w:val="TextBody"/>
        <w:spacing w:before="0" w:after="0"/>
        <w:rPr/>
      </w:pPr>
      <w:r>
        <w:rPr/>
        <w:t> </w:t>
      </w:r>
    </w:p>
    <w:p>
      <w:pPr>
        <w:pStyle w:val="TextBody"/>
        <w:spacing w:before="0" w:after="0"/>
        <w:ind w:left="0" w:right="0" w:hanging="0"/>
        <w:rPr>
          <w:rFonts w:ascii="Times New Roman" w:hAnsi="Times New Roman"/>
          <w:sz w:val="20"/>
        </w:rPr>
      </w:pPr>
      <w:r>
        <w:rPr>
          <w:rFonts w:ascii="Times New Roman" w:hAnsi="Times New Roman"/>
          <w:sz w:val="20"/>
        </w:rPr>
        <w:t>Subject to the forgoing, the Committee may amend the terms of any Option theretofore granted, prospectively or retrospectively, but no such amendment may impair the rights of any Optionee without the Optionee’s consent.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Amended Plan Benefits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grant of awards under the Plan to eligible Participants is subject to the discretion of the Committee. As such, with the exception of the following grants, it is not possible to determine the benefits or the amounts to be received under the Plan by the Company’s officers, directors, employees, consultants and advisors: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New Plan Benefits</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Other than the grant of the Performance Equity Award to Mr. Baum (as described above and as set forth in the table below), equity-based or cash compensation awards to be granted in the future to eligible individuals, including current and future employees, officers and directors, under the Plan as amended by the Plan Amendment cannot be determined at this time, as actual awards will be made at the discretion of the Compensation Committee. For an understanding of the equity-based compensation awards made in the past to our executives under the Plan, see the table Outstanding Equity Awards at 2012 Fiscal Year-End.</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6900"/>
        <w:gridCol w:w="148"/>
        <w:gridCol w:w="177"/>
        <w:gridCol w:w="1281"/>
        <w:gridCol w:w="148"/>
        <w:gridCol w:w="116"/>
        <w:gridCol w:w="140"/>
        <w:gridCol w:w="1133"/>
        <w:gridCol w:w="162"/>
      </w:tblGrid>
      <w:tr>
        <w:trPr/>
        <w:tc>
          <w:tcPr>
            <w:tcW w:w="6900" w:type="dxa"/>
            <w:tcBorders>
              <w:bottom w:val="single" w:sz="12" w:space="0" w:color="000000"/>
            </w:tcBorders>
            <w:shd w:fill="auto" w:val="clear"/>
            <w:vAlign w:val="bottom"/>
          </w:tcPr>
          <w:p>
            <w:pPr>
              <w:pStyle w:val="TableContents"/>
              <w:spacing w:before="0" w:after="0"/>
              <w:ind w:left="0" w:right="0" w:hanging="0"/>
              <w:rPr>
                <w:rFonts w:ascii="times new roman" w:hAnsi="times new roman"/>
                <w:b/>
                <w:sz w:val="16"/>
              </w:rPr>
            </w:pPr>
            <w:r>
              <w:rPr>
                <w:rFonts w:ascii="times new roman" w:hAnsi="times new roman"/>
                <w:b/>
                <w:sz w:val="16"/>
              </w:rPr>
              <w:t>Name and Position</w:t>
            </w:r>
          </w:p>
        </w:tc>
        <w:tc>
          <w:tcPr>
            <w:tcW w:w="148" w:type="dxa"/>
            <w:tcBorders/>
            <w:shd w:fill="auto" w:val="clear"/>
            <w:tcMar>
              <w:bottom w:w="0" w:type="dxa"/>
            </w:tcMar>
            <w:vAlign w:val="bottom"/>
          </w:tcPr>
          <w:p>
            <w:pPr>
              <w:pStyle w:val="TableContents"/>
              <w:spacing w:before="0" w:after="0"/>
              <w:ind w:left="0" w:right="0" w:hanging="0"/>
              <w:jc w:val="left"/>
              <w:rPr/>
            </w:pPr>
            <w:r>
              <w:rPr/>
              <w:t>  </w:t>
            </w:r>
          </w:p>
        </w:tc>
        <w:tc>
          <w:tcPr>
            <w:tcW w:w="145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Dollar Value of</w:t>
            </w:r>
          </w:p>
          <w:p>
            <w:pPr>
              <w:pStyle w:val="TableContents"/>
              <w:spacing w:before="0" w:after="0"/>
              <w:ind w:left="0" w:right="0" w:hanging="0"/>
              <w:jc w:val="center"/>
              <w:rPr>
                <w:rFonts w:ascii="times new roman" w:hAnsi="times new roman"/>
                <w:b/>
                <w:sz w:val="16"/>
              </w:rPr>
            </w:pPr>
            <w:r>
              <w:rPr>
                <w:rFonts w:ascii="times new roman" w:hAnsi="times new roman"/>
                <w:b/>
                <w:sz w:val="16"/>
              </w:rPr>
              <w:t>RSUs (2)</w:t>
            </w:r>
          </w:p>
        </w:tc>
        <w:tc>
          <w:tcPr>
            <w:tcW w:w="148"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27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p>
            <w:pPr>
              <w:pStyle w:val="TableContents"/>
              <w:spacing w:before="0" w:after="0"/>
              <w:ind w:left="0" w:right="0" w:hanging="0"/>
              <w:jc w:val="center"/>
              <w:rPr>
                <w:rFonts w:ascii="times new roman" w:hAnsi="times new roman"/>
                <w:b/>
                <w:sz w:val="16"/>
              </w:rPr>
            </w:pPr>
            <w:r>
              <w:rPr>
                <w:rFonts w:ascii="times new roman" w:hAnsi="times new roman"/>
                <w:b/>
                <w:sz w:val="16"/>
              </w:rPr>
              <w:t>RSUs</w:t>
            </w:r>
          </w:p>
        </w:tc>
        <w:tc>
          <w:tcPr>
            <w:tcW w:w="162" w:type="dxa"/>
            <w:tcBorders/>
            <w:shd w:fill="auto" w:val="clear"/>
            <w:tcMar>
              <w:bottom w:w="0" w:type="dxa"/>
            </w:tcMar>
            <w:vAlign w:val="bottom"/>
          </w:tcPr>
          <w:p>
            <w:pPr>
              <w:pStyle w:val="TableContents"/>
              <w:spacing w:before="0" w:after="283"/>
              <w:jc w:val="left"/>
              <w:rPr/>
            </w:pPr>
            <w:r>
              <w:rPr/>
              <w:t xml:space="preserve">  </w:t>
            </w:r>
          </w:p>
        </w:tc>
      </w:tr>
      <w:tr>
        <w:trPr/>
        <w:tc>
          <w:tcPr>
            <w:tcW w:w="6900"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Mark L. Baum, Chief Executive Officer(1)</w:t>
            </w:r>
          </w:p>
        </w:tc>
        <w:tc>
          <w:tcPr>
            <w:tcW w:w="148" w:type="dxa"/>
            <w:tcBorders/>
            <w:shd w:fill="CCEEFF" w:val="clear"/>
            <w:tcMar>
              <w:bottom w:w="0" w:type="dxa"/>
            </w:tcMar>
            <w:vAlign w:val="bottom"/>
          </w:tcPr>
          <w:p>
            <w:pPr>
              <w:pStyle w:val="TableContents"/>
              <w:spacing w:before="0" w:after="0"/>
              <w:ind w:left="0" w:right="0" w:hanging="0"/>
              <w:jc w:val="left"/>
              <w:rPr/>
            </w:pPr>
            <w:r>
              <w:rPr/>
              <w:t>  </w:t>
            </w:r>
          </w:p>
        </w:tc>
        <w:tc>
          <w:tcPr>
            <w:tcW w:w="17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939,000</w:t>
            </w:r>
          </w:p>
        </w:tc>
        <w:tc>
          <w:tcPr>
            <w:tcW w:w="148"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jc w:val="left"/>
              <w:rPr/>
            </w:pPr>
            <w:r>
              <w:rPr/>
              <w:t xml:space="preserve">  </w:t>
            </w:r>
          </w:p>
        </w:tc>
        <w:tc>
          <w:tcPr>
            <w:tcW w:w="140" w:type="dxa"/>
            <w:tcBorders/>
            <w:shd w:fill="CCEEFF" w:val="clear"/>
            <w:tcMar>
              <w:bottom w:w="0" w:type="dxa"/>
            </w:tcMar>
            <w:vAlign w:val="bottom"/>
          </w:tcPr>
          <w:p>
            <w:pPr>
              <w:pStyle w:val="TableContents"/>
              <w:spacing w:before="0" w:after="283"/>
              <w:jc w:val="left"/>
              <w:rPr/>
            </w:pPr>
            <w:r>
              <w:rPr/>
              <w:t xml:space="preserve">  </w:t>
            </w:r>
          </w:p>
        </w:tc>
        <w:tc>
          <w:tcPr>
            <w:tcW w:w="1133"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450,000</w:t>
            </w:r>
          </w:p>
        </w:tc>
        <w:tc>
          <w:tcPr>
            <w:tcW w:w="162" w:type="dxa"/>
            <w:tcBorders/>
            <w:shd w:fill="CCEEFF" w:val="clear"/>
            <w:tcMar>
              <w:bottom w:w="0" w:type="dxa"/>
            </w:tcMar>
            <w:vAlign w:val="bottom"/>
          </w:tcPr>
          <w:p>
            <w:pPr>
              <w:pStyle w:val="TableContents"/>
              <w:spacing w:before="0" w:after="0"/>
              <w:ind w:left="0" w:right="0" w:hanging="0"/>
              <w:jc w:val="left"/>
              <w:rPr/>
            </w:pPr>
            <w:r>
              <w:rPr/>
              <w:t>  </w:t>
            </w:r>
          </w:p>
        </w:tc>
      </w:tr>
      <w:tr>
        <w:trPr/>
        <w:tc>
          <w:tcPr>
            <w:tcW w:w="6900" w:type="dxa"/>
            <w:tcBorders/>
            <w:shd w:fill="FFFF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Executive Group(1)</w:t>
            </w:r>
          </w:p>
        </w:tc>
        <w:tc>
          <w:tcPr>
            <w:tcW w:w="148" w:type="dxa"/>
            <w:tcBorders/>
            <w:shd w:fill="FFFFFF" w:val="clear"/>
            <w:tcMar>
              <w:bottom w:w="0" w:type="dxa"/>
            </w:tcMar>
            <w:vAlign w:val="bottom"/>
          </w:tcPr>
          <w:p>
            <w:pPr>
              <w:pStyle w:val="TableContents"/>
              <w:spacing w:before="0" w:after="0"/>
              <w:ind w:left="0" w:right="0" w:hanging="0"/>
              <w:jc w:val="left"/>
              <w:rPr/>
            </w:pPr>
            <w:r>
              <w:rPr/>
              <w:t>  </w:t>
            </w:r>
          </w:p>
        </w:tc>
        <w:tc>
          <w:tcPr>
            <w:tcW w:w="17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8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939,000</w:t>
            </w:r>
          </w:p>
        </w:tc>
        <w:tc>
          <w:tcPr>
            <w:tcW w:w="148"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jc w:val="left"/>
              <w:rPr/>
            </w:pPr>
            <w:r>
              <w:rPr/>
              <w:t xml:space="preserve">  </w:t>
            </w:r>
          </w:p>
        </w:tc>
        <w:tc>
          <w:tcPr>
            <w:tcW w:w="140" w:type="dxa"/>
            <w:tcBorders/>
            <w:shd w:fill="FFFFFF" w:val="clear"/>
            <w:tcMar>
              <w:bottom w:w="0" w:type="dxa"/>
            </w:tcMar>
            <w:vAlign w:val="bottom"/>
          </w:tcPr>
          <w:p>
            <w:pPr>
              <w:pStyle w:val="TableContents"/>
              <w:spacing w:before="0" w:after="283"/>
              <w:jc w:val="left"/>
              <w:rPr/>
            </w:pPr>
            <w:r>
              <w:rPr/>
              <w:t xml:space="preserve">  </w:t>
            </w:r>
          </w:p>
        </w:tc>
        <w:tc>
          <w:tcPr>
            <w:tcW w:w="1133"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450,000</w:t>
            </w:r>
          </w:p>
        </w:tc>
        <w:tc>
          <w:tcPr>
            <w:tcW w:w="162" w:type="dxa"/>
            <w:tcBorders/>
            <w:shd w:fill="FFFFFF" w:val="clear"/>
            <w:tcMar>
              <w:bottom w:w="0" w:type="dxa"/>
            </w:tcMar>
            <w:vAlign w:val="bottom"/>
          </w:tcPr>
          <w:p>
            <w:pPr>
              <w:pStyle w:val="TableContents"/>
              <w:spacing w:before="0" w:after="0"/>
              <w:ind w:left="0" w:right="0" w:hanging="0"/>
              <w:jc w:val="left"/>
              <w:rPr/>
            </w:pPr>
            <w:r>
              <w:rPr/>
              <w:t>  </w:t>
            </w:r>
          </w:p>
        </w:tc>
      </w:tr>
      <w:tr>
        <w:trPr/>
        <w:tc>
          <w:tcPr>
            <w:tcW w:w="6900" w:type="dxa"/>
            <w:tcBorders/>
            <w:shd w:fill="CCEE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Non-Employee Director Group</w:t>
            </w:r>
          </w:p>
        </w:tc>
        <w:tc>
          <w:tcPr>
            <w:tcW w:w="148" w:type="dxa"/>
            <w:tcBorders/>
            <w:shd w:fill="CCEEFF" w:val="clear"/>
            <w:tcMar>
              <w:bottom w:w="0" w:type="dxa"/>
            </w:tcMar>
            <w:vAlign w:val="bottom"/>
          </w:tcPr>
          <w:p>
            <w:pPr>
              <w:pStyle w:val="TableContents"/>
              <w:spacing w:before="0" w:after="0"/>
              <w:ind w:left="0" w:right="0" w:hanging="0"/>
              <w:jc w:val="left"/>
              <w:rPr/>
            </w:pPr>
            <w:r>
              <w:rPr/>
              <w:t>  </w:t>
            </w:r>
          </w:p>
        </w:tc>
        <w:tc>
          <w:tcPr>
            <w:tcW w:w="177" w:type="dxa"/>
            <w:tcBorders/>
            <w:shd w:fill="CCEEFF" w:val="clear"/>
            <w:tcMar>
              <w:bottom w:w="0" w:type="dxa"/>
            </w:tcMar>
            <w:vAlign w:val="bottom"/>
          </w:tcPr>
          <w:p>
            <w:pPr>
              <w:pStyle w:val="TableContents"/>
              <w:spacing w:before="0" w:after="283"/>
              <w:jc w:val="left"/>
              <w:rPr/>
            </w:pPr>
            <w:r>
              <w:rPr/>
              <w:t xml:space="preserve">  </w:t>
            </w:r>
          </w:p>
        </w:tc>
        <w:tc>
          <w:tcPr>
            <w:tcW w:w="128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148" w:type="dxa"/>
            <w:tcBorders/>
            <w:shd w:fill="CCEEFF" w:val="clear"/>
            <w:tcMar>
              <w:bottom w:w="0" w:type="dxa"/>
            </w:tcMar>
            <w:vAlign w:val="bottom"/>
          </w:tcPr>
          <w:p>
            <w:pPr>
              <w:pStyle w:val="TableContents"/>
              <w:spacing w:before="0" w:after="283"/>
              <w:jc w:val="left"/>
              <w:rPr/>
            </w:pPr>
            <w:r>
              <w:rPr/>
              <w:t xml:space="preserve">  </w:t>
            </w:r>
          </w:p>
        </w:tc>
        <w:tc>
          <w:tcPr>
            <w:tcW w:w="116" w:type="dxa"/>
            <w:tcBorders/>
            <w:shd w:fill="CCEEFF" w:val="clear"/>
            <w:tcMar>
              <w:bottom w:w="0" w:type="dxa"/>
            </w:tcMar>
            <w:vAlign w:val="bottom"/>
          </w:tcPr>
          <w:p>
            <w:pPr>
              <w:pStyle w:val="TableContents"/>
              <w:spacing w:before="0" w:after="283"/>
              <w:jc w:val="left"/>
              <w:rPr/>
            </w:pPr>
            <w:r>
              <w:rPr/>
              <w:t xml:space="preserve">  </w:t>
            </w:r>
          </w:p>
        </w:tc>
        <w:tc>
          <w:tcPr>
            <w:tcW w:w="140" w:type="dxa"/>
            <w:tcBorders/>
            <w:shd w:fill="CCEEFF" w:val="clear"/>
            <w:tcMar>
              <w:bottom w:w="0" w:type="dxa"/>
            </w:tcMar>
            <w:vAlign w:val="bottom"/>
          </w:tcPr>
          <w:p>
            <w:pPr>
              <w:pStyle w:val="TableContents"/>
              <w:spacing w:before="0" w:after="283"/>
              <w:jc w:val="left"/>
              <w:rPr/>
            </w:pPr>
            <w:r>
              <w:rPr/>
              <w:t xml:space="preserve">  </w:t>
            </w:r>
          </w:p>
        </w:tc>
        <w:tc>
          <w:tcPr>
            <w:tcW w:w="1133"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162" w:type="dxa"/>
            <w:tcBorders/>
            <w:shd w:fill="CCEEFF" w:val="clear"/>
            <w:tcMar>
              <w:bottom w:w="0" w:type="dxa"/>
            </w:tcMar>
            <w:vAlign w:val="bottom"/>
          </w:tcPr>
          <w:p>
            <w:pPr>
              <w:pStyle w:val="TableContents"/>
              <w:spacing w:before="0" w:after="283"/>
              <w:jc w:val="left"/>
              <w:rPr/>
            </w:pPr>
            <w:r>
              <w:rPr/>
              <w:t xml:space="preserve">  </w:t>
            </w:r>
          </w:p>
        </w:tc>
      </w:tr>
      <w:tr>
        <w:trPr/>
        <w:tc>
          <w:tcPr>
            <w:tcW w:w="6900" w:type="dxa"/>
            <w:tcBorders/>
            <w:shd w:fill="FFFFFF" w:val="clear"/>
            <w:tcMar>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Non-Executive Officer Employee Group</w:t>
            </w:r>
          </w:p>
        </w:tc>
        <w:tc>
          <w:tcPr>
            <w:tcW w:w="148" w:type="dxa"/>
            <w:tcBorders/>
            <w:shd w:fill="FFFFFF" w:val="clear"/>
            <w:tcMar>
              <w:bottom w:w="0" w:type="dxa"/>
            </w:tcMar>
            <w:vAlign w:val="bottom"/>
          </w:tcPr>
          <w:p>
            <w:pPr>
              <w:pStyle w:val="TableContents"/>
              <w:spacing w:before="0" w:after="0"/>
              <w:ind w:left="0" w:right="0" w:hanging="0"/>
              <w:jc w:val="left"/>
              <w:rPr/>
            </w:pPr>
            <w:r>
              <w:rPr/>
              <w:t>  </w:t>
            </w:r>
          </w:p>
        </w:tc>
        <w:tc>
          <w:tcPr>
            <w:tcW w:w="177" w:type="dxa"/>
            <w:tcBorders/>
            <w:shd w:fill="FFFFFF" w:val="clear"/>
            <w:tcMar>
              <w:bottom w:w="0" w:type="dxa"/>
            </w:tcMar>
            <w:vAlign w:val="bottom"/>
          </w:tcPr>
          <w:p>
            <w:pPr>
              <w:pStyle w:val="TableContents"/>
              <w:spacing w:before="0" w:after="283"/>
              <w:jc w:val="left"/>
              <w:rPr/>
            </w:pPr>
            <w:r>
              <w:rPr/>
              <w:t xml:space="preserve">  </w:t>
            </w:r>
          </w:p>
        </w:tc>
        <w:tc>
          <w:tcPr>
            <w:tcW w:w="1281"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148" w:type="dxa"/>
            <w:tcBorders/>
            <w:shd w:fill="FFFFFF" w:val="clear"/>
            <w:tcMar>
              <w:bottom w:w="0" w:type="dxa"/>
            </w:tcMar>
            <w:vAlign w:val="bottom"/>
          </w:tcPr>
          <w:p>
            <w:pPr>
              <w:pStyle w:val="TableContents"/>
              <w:spacing w:before="0" w:after="0"/>
              <w:ind w:left="0" w:right="0" w:hanging="0"/>
              <w:jc w:val="left"/>
              <w:rPr/>
            </w:pPr>
            <w:r>
              <w:rPr/>
              <w:t>  </w:t>
            </w:r>
          </w:p>
        </w:tc>
        <w:tc>
          <w:tcPr>
            <w:tcW w:w="116" w:type="dxa"/>
            <w:tcBorders/>
            <w:shd w:fill="FFFFFF" w:val="clear"/>
            <w:tcMar>
              <w:bottom w:w="0" w:type="dxa"/>
            </w:tcMar>
            <w:vAlign w:val="bottom"/>
          </w:tcPr>
          <w:p>
            <w:pPr>
              <w:pStyle w:val="TableContents"/>
              <w:spacing w:before="0" w:after="283"/>
              <w:jc w:val="left"/>
              <w:rPr/>
            </w:pPr>
            <w:r>
              <w:rPr/>
              <w:t xml:space="preserve">  </w:t>
            </w:r>
          </w:p>
        </w:tc>
        <w:tc>
          <w:tcPr>
            <w:tcW w:w="140" w:type="dxa"/>
            <w:tcBorders/>
            <w:shd w:fill="FFFFFF" w:val="clear"/>
            <w:tcMar>
              <w:bottom w:w="0" w:type="dxa"/>
            </w:tcMar>
            <w:vAlign w:val="bottom"/>
          </w:tcPr>
          <w:p>
            <w:pPr>
              <w:pStyle w:val="TableContents"/>
              <w:spacing w:before="0" w:after="283"/>
              <w:jc w:val="left"/>
              <w:rPr/>
            </w:pPr>
            <w:r>
              <w:rPr/>
              <w:t xml:space="preserve">  </w:t>
            </w:r>
          </w:p>
        </w:tc>
        <w:tc>
          <w:tcPr>
            <w:tcW w:w="1133"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162" w:type="dxa"/>
            <w:tcBorders/>
            <w:shd w:fill="FFFFFF" w:val="clear"/>
            <w:tcMar>
              <w:bottom w:w="0" w:type="dxa"/>
            </w:tcMar>
            <w:vAlign w:val="bottom"/>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450,000 performance-based restricted stock units granted to Mr. Baum that will be ratified if the Plan Amendment is approved by stockholders. If the Plan Amendment is not approved by stockholders, the initial grant of the 450,000 performance-based restricted stock units that are in excess of the current annual per person limit and/or the Plan share reserve in the current Plan will be deemed void and the 450,000 RSUs will instead likely be granted to Mr. Baum in a subsequent fiscal year or years as shares become available for grant under the Plan.</w:t>
            </w:r>
          </w:p>
        </w:tc>
      </w:tr>
      <w:tr>
        <w:trPr/>
        <w:tc>
          <w:tcPr>
            <w:tcW w:w="3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According to accounting principles generally accepted in the United States, equity based awards offered under a stock plan that is subject to stockholder approval are not considered granted until the approval is obtained.  As such, the unaudited valuation of this equity award is management’s estimate of its current value and provided without audit; the actual value of the equity award is subject to change following stockholder approval and determination of the actual grant date.</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6" w:name="PGBRK29"/>
      <w:bookmarkStart w:id="317" w:name="PGBRK29"/>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 w:name="FTR29"/>
      <w:bookmarkStart w:id="319" w:name="FTR29"/>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0" w:name="GLFTR29"/>
      <w:bookmarkEnd w:id="3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1" w:name="PN29"/>
      <w:bookmarkEnd w:id="321"/>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 w:name="HDR29"/>
      <w:bookmarkStart w:id="323" w:name="HDR29"/>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4" w:name="GLHDR29"/>
      <w:bookmarkEnd w:id="3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What happens if the amendment to the 2011 Plan does not receive stockholder approval?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do not obtain requisite stockholder approval of the Plan Amendment as described above, the current Plan will remain in effect. In addition, the award of 1,050,000 performance-based restricted stock units granted to Mr. Baum on May 2, 2013 would be reduced to 600,000 performance stock units, the current annual per person award limit contained in the Plan.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Certain Federal Tax Consequences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summary of the federal income tax consequences of the Plan transactions is based upon federal income tax laws in effect on the date of this Information Statement. This summary does not purport to be complete, and does not discuss state, local or non-U.S. tax consequences.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Nonqualified Options</w:t>
      </w:r>
      <w:r>
        <w:rPr>
          <w:rFonts w:ascii="Times New Roman" w:hAnsi="Times New Roman"/>
          <w:sz w:val="20"/>
        </w:rPr>
        <w:t>. The grant of a Nonqualified Option under the Plan will not result in any federal income tax consequences to the Participant or to the Company. Upon exercise of a Nonqualified Option, the Participant is subject to income taxes at the rate applicable to ordinary compensation income on the difference between the option exercise price and the Fair Market Value of the shares of Common Stock at the time of exercise. This income is subject to withholding for federal income and employment tax purposes. The Company is entitled to an income tax deduction in the amount of the income recognized by the Participant, subject to possible limitations imposed by Section 162(m) of the Code and so long as the Company withholds the appropriate taxes with respect to such income (if required) and the Participant’s total compensation is deemed reasonable in amount. Any gain or loss on the Participant’s subsequent disposition of the shares will receive long or short-term capital gain or loss treatment, depending on whether the shares are held for more than one year following exercise. The Company does not receive a tax deduction for any such gain.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i/>
          <w:sz w:val="20"/>
        </w:rPr>
        <w:t>Incentive Options</w:t>
      </w:r>
      <w:r>
        <w:rPr>
          <w:rFonts w:ascii="Times New Roman" w:hAnsi="Times New Roman"/>
          <w:sz w:val="20"/>
        </w:rPr>
        <w:t>. The grant of an Incentive Option under the Plan will not result in any federal income tax consequences to the Participant or to the Company. A Participant recognizes no federal taxable income upon exercising an Incentive Option (subject to the alternative minimum tax rules discussed below), and the Company receives no deduction at the time of exercise. In the event of a disposition of stock acquired upon exercise of an Incentive Option, the tax consequences depend upon how long the Participant has held the shares. If the Participant does not dispose of the shares within two years after the Incentive Option was granted, nor within one year after the Incentive Option was exercised, the Participant will recognize a long-term capital gain (or loss) equal to the difference between the sale price of the shares and the exercise price. The Company is not entitled to any deduction under these circumstances.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If the Participant fails to satisfy either of the foregoing holding periods (referred to as a “disqualifying disposition”), he or she must recognize ordinary income in the year of the disposition. The amount of ordinary income generally is the lesser of (i) the difference between the amount realized on the disposition and the exercise price or (ii) the difference between the Fair Market Value of the stock at the time of exercise and the exercise price. Any gain in excess of the amount taxed as ordinary income will be treated as a long or short-term capital gain, depending on whether the stock was held for more than one year. The Company, in the year of the disqualifying disposition, is entitled to a deduction equal to the amount of ordinary income recognized by the Participant, subject to possible limitations imposed by Section 162(m) of the Code and so long as the Participant’s total compensation is deemed reasonable in amount.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“spread” under an Incentive Option—i.e., the difference between the Fair Market Value of the shares at exercise and the exercise price—is classified as an item of adjustment in the year of exercise for purposes of the alternative minimum tax. If a Participant’s alternative minimum tax liability exceeds such Participant’s regular income tax liability, the Participant will owe the larger amount of taxes. In order to avoid the application of alternative minimum tax with respect to Incentive Options, the Participant must sell the shares within the calendar year in which the Incentive Options are exercised. However, such a sale of shares within the year of exercise will constitute a disqualifying disposition, as described above.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Restricted Stock</w:t>
      </w:r>
      <w:r>
        <w:rPr>
          <w:rFonts w:ascii="Times New Roman" w:hAnsi="Times New Roman"/>
          <w:sz w:val="20"/>
        </w:rPr>
        <w:t>. The grant of Restricted Stock will subject the recipient to ordinary compensation income on the difference between the amount paid for such stock and the Fair Market Value of the shares on the date that the restrictions lapse. This income is subject to withholding for federal income and employment tax purposes. The Company is entitled to an income tax deduction in the amount of the ordinary income recognized by the recipient, subject to possible limitations imposed by Section 162(m) of the Code and so long as the Company withholds the appropriate taxes with respect to such income (if required) and the Participant’s total compensation is deemed reasonable in amount. Any gain or loss on the recipient’s subsequent disposition of the shares will receive long or short-term capital gain or loss treatment depending on how long the stock has been held since the restrictions lapsed. The Company does not receive a tax deduction for any such gain.</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 w:name="PGBRK30"/>
      <w:bookmarkStart w:id="326" w:name="PGBRK30"/>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FTR30"/>
      <w:bookmarkStart w:id="328" w:name="FTR30"/>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9" w:name="GLFTR30"/>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0" w:name="PN30"/>
      <w:bookmarkEnd w:id="330"/>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30"/>
      <w:bookmarkStart w:id="332" w:name="HDR30"/>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3" w:name="GLHDR30"/>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Recipients of Restricted Stock may make an election under Section 83(b) of the Code (“Section 83(b) Election”) to recognize as ordinary compensation income in the year that such Restricted Stock is granted, the amount equal to the spread between the amount paid for such stock and the Fair Market Value on the date of the issuance of the stock. If such an election is made, the recipient recognizes no further amounts of compensation income upon the lapse of any restrictions and any gain or loss on subsequent disposition will be long or short-term capital gain to the recipient. The Section 83(b) Election must be made within thirty days from the time the Restricted Stock is issued.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i/>
          <w:sz w:val="20"/>
        </w:rPr>
        <w:t>Restricted Stock Units</w:t>
      </w:r>
      <w:r>
        <w:rPr>
          <w:rFonts w:ascii="Times New Roman" w:hAnsi="Times New Roman"/>
          <w:i/>
          <w:sz w:val="20"/>
        </w:rPr>
        <w:t>.</w:t>
      </w:r>
      <w:r>
        <w:rPr>
          <w:rFonts w:ascii="Times New Roman" w:hAnsi="Times New Roman"/>
          <w:sz w:val="20"/>
        </w:rPr>
        <w:t>    With respect to awards of restricted stock units, no taxable income is reportable when the restricted stock units are granted to a participant or upon vesting of the restricted stock units. Upon settlement, the recipient will recognize ordinary income in an amount equal to the value of the payment received pursuant to the restricted stock units. The ordinary income recognized by a recipient that is an employee or former employee will be subject to tax withholding by the Company.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Restricted stock units also can be considered non-qualified deferred compensation and subject to Section 409A of the Code. A grant of restricted stock units that does not meet the requirements of Code Section 409A will result in an additional 20% tax obligation, plus penalties and interest to such recipient.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Vote Required and Recommendation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affirmative vote of a majority of the voting power present at the Annual Meeting will be required for approval of this proposal.  Broker non-votes and abstentions will have the effect of a vote against this proposal.</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THE BOARD OF DIRECTORS RECOMMENDS THAT STOCKHOLDERS VOTE “FOR” THE APPROVAL OF THE AMENDMENT TO THE PLAN FOR THE STOCKHOLDER AS DESCRIBED IN PROPOSAL NO. 5.</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4" w:name="PGBRK31"/>
      <w:bookmarkStart w:id="335" w:name="PGBRK31"/>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6" w:name="FTR31"/>
      <w:bookmarkStart w:id="337" w:name="FTR31"/>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8" w:name="GLFTR31"/>
      <w:bookmarkEnd w:id="3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9" w:name="PN31"/>
      <w:bookmarkEnd w:id="339"/>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HDR31"/>
      <w:bookmarkStart w:id="341" w:name="HDR31"/>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2" w:name="GLHDR31"/>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PROPOSAL NO. 6</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APPROVAL OF AN AMENDMENT TO OUR CERTIFICATE OF INCORPORATION TO DECREASE THE NUMBER OF SHARES OF COMMON STOCK AVAILABLE FOR ISSUANCE</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b/>
          <w:sz w:val="20"/>
        </w:rPr>
        <w:t>General</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After due consideration, our Board has determined that it is in the best interests of the Company and its stockholders to amend the Company’s Amended and Restated Certificate of Incorporation to decrease the authorized number of shares of common stock from 395,000,000 shares to 90,000,000 shares and to make certain non-substantive changes to Article 4.B. (collectively, the “Article 4 Amendment”), and is submitting the Article 4 Amendment to the Company’s stockholders.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Purpose of the Amendment</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We are currently authorized to issue 395,000,000 shares of common stock and 5,000,000 shares of preferred stock (which are designated as “blank check” preferred stock).  During 2012 and 2013, following approval by our stockholders in actions by written consent, we effected two reverse splits of our common stock: a one-for-eight reverse split in February 2012 and a subsequent one-for-five reverse split in February 2013.  These reverse splits left the number of authorized shares of common stock the same (at 395,000,000).  As a result, there are a significant number of authorized but unissued shares of our common stock available for issuance relative to the number of shares outstanding (8,961,583 shares as of July 2, 2013).  Because the Board is mindful about the potential dilutive effect on existing stockholders, and because the current 395,000,000 authorized shares provides significantly more available shares than the Board believes are necessary for reasonably foreseeable future needs, the Board of Directors has approved and recommended to the stockholders an amendment to our Certificate of Incorporation to decrease the authorized number of shares of our common stock from 395,000,000 to 90,000,000. Our Board of Directors believes this number of authorized shares of common stock will provide us with sufficient shares of authorized capital available to be issued for any proper corporate purpose without further stockholder action. In addition, this reduction in authorized common shares will have the short-term effect of significantly reducing our Delaware franchise tax obligations.  We estimate that it could reduce our Delaware franchise tax obligation by as much as over $100,000 annually.</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is not aware of any attempt, or contemplated attempt, to acquire control of the Company, and this proposal is not being presented with the intent that it be used to prevent or discourage any acquisition attempt.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Board does not propose to make any adjustments to the number of authorized shares of “blank check” preferred stock. As of the date of this proxy statement, 10 shares of preferred stock have been designated as Series A, none of which are issued and outstanding.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reduction in the number of authorized shares of common stock, the Board also recommends the Article 4 Amendment would also amend Article 4.B. to more explicitly identify the rights, preferences and limitations of the “blank check” preferred stock.  This component of the Article 4 Amendment does not materially modify the rights of the stockholders.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Procedure for Effecting the Article 4 Amendment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 stockholders approve the Article 4 Amendment, we will file with the Secretary of State of the State of Delaware a restatement of our Certificate of Incorporation incorporating prior amendments to the Certificate of Incorporation as well as the proposed amendment to the Certificate of Incorporation presented in Proposal 7 (if approved by our stockholders). The Article 4 Amendment will become effective at the time and on the date of the filing of, or at such later time as is specified in the applicable certificate of amendment.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Vote Required for Approval of the Article 4 Amendment</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The affirmative vote of the holders of a majority of our shares of common stock outstanding, provided that affirmative vote also represents at least a majority of the voting power required to constitute a quorum at the Annual Meeting, is required for approval of the amendment to the Certificate of Incorporation.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Annex Relating to the Article 4 Amendment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general description of the proposed amendments to our Certificate of Incorporation provided above is qualified in its entirely by reference to the text of the proposed amended and restated certificate of incorporation, which is attached as Annex A to this proxy statement (the “Restated Certificate”).  Proposed additions are double-underlined and proposed deletions are stricken through.  The Restated Certificate also includes certain amendments to the Certificate of Incorporation described in Proposal No. 7.</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b/>
          <w:sz w:val="20"/>
        </w:rPr>
        <w:t>Vote Required and Recommendation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affirmative vote of a majority of the outstanding shares of common stock will be required for approval of this proposal.  Broker non-votes and abstentions will have the effect of a vote against this proposal.</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THE BOARD OF DIRECTORS RECOMMENDS THAT STOCKHOLDERS VOTE “FOR” THE APPROVAL OF THE AMENDMENT TO OUR CERTIFICATE OF INCORPORATION TO DECREASE THE NUMBER OF SHARES OF COMMON STOCK AVAILABLE FOR ISSUANCE AS DESCRIBED IN PROPOSAL NO. 6.</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 w:name="PGBRK32"/>
      <w:bookmarkStart w:id="344" w:name="PGBRK32"/>
      <w:bookmarkEnd w:id="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FTR32"/>
      <w:bookmarkStart w:id="346" w:name="FTR32"/>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7" w:name="GLFTR32"/>
      <w:bookmarkEnd w:id="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8" w:name="PN32"/>
      <w:bookmarkEnd w:id="348"/>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 w:name="HDR32"/>
      <w:bookmarkStart w:id="350" w:name="HDR32"/>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1" w:name="GLHDR32"/>
      <w:bookmarkEnd w:id="3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PROPOSAL NO. 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AMENDMENT TO THE COMPANY’S CERTIFICATE OF INCORPORATION TO ELIMINATE THE ABILITY OF STOCKHOLDERS TO ACT BY WRITTEN CONSENT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General</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After due consideration, our Board has determined that it is in the best interests of the Company and its stockholders to amend the Company’s Certificate of Incorporation to add a new Article 9 to the Certificate of Incorporation (the “Article 9 Amendment”) and is submitting the Article 9  Amendment to the Company’s stockholders for approval.  The Article 9 Amendment would eliminate the ability of the stockholders to act by written consent and provide that the elections of directors need not be by written ballot unless the Company’s Bylaws so provide.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Purpose of the Amendment</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The Company’s current Certificate of Incorporation provides stockholders with the ability to act by written consent.  This ability, coupled with our highly concentrated stock ownership through much of our history, provided the Company with a great degree of flexibility.  In fact, most stockholder actions throughout the Company’s history have been taken by written consent, and the Company’s only stockholder meeting was held in 2008. However, our Board of Directors now believes that maintaining the ability of the stockholders to act by written consent is not appropriate or in the best interests of the Company or its stockholders at the Company’s current stage of development.  In particular, the Company now expects (and is required under the rules of the Nasdaq Capital Markets) to hold regular annual meetings of stockholders.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Board believes that important matters should be the subject of stockholder meetings, which provide the opportunity for discussion and interaction among the Company’s stockholders so that all points of view may be considered prior to a vote. Although the ability of stockholders to act by written consent provided the Company with significant flexibility to undertake actions in the past few years, the written consent process also increases the potential for holders of a majority of shares outstanding to take action without notifying or receiving the input of the Board or minority stockholders. Because stockholder action by written consent does not require advance notice or communication to all stockholders, it deprives stockholders of the opportunity to discuss, deliberate and vote on pending stockholder actions, thereby causing the disenfranchisement of potentially significant numbers of stockholders, and may prevent stockholders from receiving accurate and complete information on important pending actions. The ability of the stockholders to act, without prior notice at any time, to replace the existing Board in the midst of a contest for control of the corporation could seriously affect the ability of the Board of Directors to achieve the best result for the stockholders. Even worse, the uncertain timetable created by the written consent procedure – the action is effective as soon as consents representing the requisite number of votes are received – could deter any potential higher bids, as potential bidders would not want to engage in the cost and effort of due diligence and negotiations given the possibility that at any time, without notice, our Board might be replaced. The possibility of unannounced action through the written consent process upsets the ability of management and the Board of Directors to ensure the orderly conduct of the Company’s affairs. Without the full benefit of the knowledge, advice and participation of management and the Board of Directors, stockholders may engage in untimely and ill-advised action.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With limited exceptions, the Board believes that the annual meeting of stockholders is sufficient to handle all business on which stockholders must act. Where action is required outside of an annual meeting, the company may call a special meeting. This provides stockholders with a powerful means to consider and approve stockholder-sponsored action and timely effect changes, while retaining the processes that ensure that stockholders act in a deliberate and fully informed manner.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Delaware General Corporation Law recognizes these compelling concerns and expressly permits companies to eliminate or restrict stockholder action by written consent in order to ensure that all stockholders have an opportunity to consider in advance any proposed stockholder action. This explains in part why the vast majority of public companies do not allow stockholder action by written consent. The flexibility of Delaware law allows the Company to tailor its Certificate of Incorporation and Bylaws to promote the Company’s best interests and ensure that stockholders have an opportunity to be heard on matters impacting their rights.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its review of the Certificate of Incorporation, the Board also recommends the inclusion of a provision in the proposed Article 9 to provide that elections of directors need not be by written ballot.  This provides the Company with the flexibility to utilize a voice vote at meetings of stockholders.  This component of the Article 9 Amendment does not materially modify the rights of the stockholders.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Procedure for Effecting the Article 9 Amendment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 stockholders approve the Article 9 Amendment, we will file with the Secretary of State of the State of Delaware a restatement of our Certificate of Incorporation incorporating prior amendments to the Certificate of Incorporation as well as the proposed amendment to the Certificate of Incorporation presented in Proposal 6 (if approved by our stockholders). The Article 9 Amendment will become effective at the time and on the date of the filing of, or at such later time as is specified in the applicable certificate of amendment.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2" w:name="PGBRK33"/>
      <w:bookmarkStart w:id="353" w:name="PGBRK33"/>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 w:name="FTR33"/>
      <w:bookmarkStart w:id="355" w:name="FTR33"/>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6" w:name="GLFTR33"/>
      <w:bookmarkEnd w:id="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7" w:name="PN33"/>
      <w:bookmarkEnd w:id="357"/>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 w:name="HDR33"/>
      <w:bookmarkStart w:id="359" w:name="HDR33"/>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0" w:name="GLHDR33"/>
      <w:bookmarkEnd w:id="3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b/>
          <w:sz w:val="20"/>
        </w:rPr>
      </w:pPr>
      <w:r>
        <w:rPr>
          <w:rFonts w:ascii="Times New Roman" w:hAnsi="Times New Roman"/>
          <w:b/>
          <w:sz w:val="20"/>
        </w:rPr>
        <w:t>Vote Required for Approval of the Article 9 Amendment</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The affirmative vote of the holders of a majority of our shares of common stock outstanding, provided that affirmative vote also represents at least a majority of the voting power required to constitute a quorum at the Annual Meeting, is required for approval of the amendment to the Certificate of Incorporation.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Annex Relating to the Article 9 Amendment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general description of the proposed amendments to our Certificate of Incorporation provided above is qualified in its entirely by reference to the text of the proposed amended and restated certificate of incorporation, which is attached as Annex B to this proxy statement (the “Restated Certificate”).  Proposed additions are double-underlined and proposed deletions are stricken through.  The Restated Certificate also includes certain amendments to the Certificate of Incorporation described in Proposal No. 6.</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b/>
          <w:sz w:val="20"/>
        </w:rPr>
        <w:t>Vote Required and Recommendation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affirmative vote of a majority of the outstanding shares of common stock will be required for approval of this proposal.  Broker non-votes and abstentions will have the effect of a vote against this proposal.</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THE BOARD OF DIRECTORS RECOMMENDS THAT STOCKHOLDERS VOTE “FOR” THE APPROVAL OF THE ARTICLE 9 AMENDMENT TO OUR CERTIFICATE OF INCORPORATION AS DESCRIBED IN PROPOSAL NO. 7.</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1" w:name="PGBRK34"/>
      <w:bookmarkStart w:id="362" w:name="PGBRK34"/>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FTR34"/>
      <w:bookmarkStart w:id="364" w:name="FTR34"/>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5" w:name="GLFTR34"/>
      <w:bookmarkEnd w:id="3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6" w:name="PN34"/>
      <w:bookmarkEnd w:id="366"/>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 w:name="HDR34"/>
      <w:bookmarkStart w:id="368" w:name="HDR34"/>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9" w:name="GLHDR34"/>
      <w:bookmarkEnd w:id="3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SECURITY OWNERSHIP OF CERTAIN BENEFICIAL OWNERS AND MANAGEMENT AND RELATED STOCKHOLDER MATTERS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July 3, 2013.  Unless otherwise indicated in the footnotes to the following table, each person named in the table has sole voting and investment power with respect to shares of common stock and the address is c/o Imprimis Pharmaceuticals, Inc. 12626 High Bluff Drive, Suite 150, San Diego, CA 92130.  All information regarding share amounts reflects our one-for-five reverse stock split effected on February 7, 2013.</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957"/>
        <w:gridCol w:w="118"/>
        <w:gridCol w:w="118"/>
        <w:gridCol w:w="1249"/>
        <w:gridCol w:w="118"/>
        <w:gridCol w:w="118"/>
        <w:gridCol w:w="156"/>
        <w:gridCol w:w="1164"/>
        <w:gridCol w:w="207"/>
      </w:tblGrid>
      <w:tr>
        <w:trPr/>
        <w:tc>
          <w:tcPr>
            <w:tcW w:w="695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Beneficial Owner</w:t>
            </w:r>
          </w:p>
        </w:tc>
        <w:tc>
          <w:tcPr>
            <w:tcW w:w="118" w:type="dxa"/>
            <w:tcBorders/>
            <w:shd w:fill="auto" w:val="clear"/>
            <w:tcMar>
              <w:bottom w:w="0" w:type="dxa"/>
            </w:tcMar>
            <w:vAlign w:val="bottom"/>
          </w:tcPr>
          <w:p>
            <w:pPr>
              <w:pStyle w:val="TableContents"/>
              <w:spacing w:before="0" w:after="283"/>
              <w:rPr/>
            </w:pPr>
            <w:r>
              <w:rPr/>
              <w:t> </w:t>
            </w:r>
          </w:p>
        </w:tc>
        <w:tc>
          <w:tcPr>
            <w:tcW w:w="2923" w:type="dxa"/>
            <w:gridSpan w:val="6"/>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Amount and Nature of Beneficial Ownership</w:t>
            </w:r>
          </w:p>
        </w:tc>
        <w:tc>
          <w:tcPr>
            <w:tcW w:w="207" w:type="dxa"/>
            <w:tcBorders/>
            <w:shd w:fill="auto" w:val="clear"/>
            <w:tcMar>
              <w:bottom w:w="0" w:type="dxa"/>
            </w:tcMar>
            <w:vAlign w:val="bottom"/>
          </w:tcPr>
          <w:p>
            <w:pPr>
              <w:pStyle w:val="TableContents"/>
              <w:spacing w:before="0" w:after="283"/>
              <w:jc w:val="left"/>
              <w:rPr/>
            </w:pPr>
            <w:r>
              <w:rPr/>
              <w:t> </w:t>
            </w:r>
          </w:p>
        </w:tc>
      </w:tr>
      <w:tr>
        <w:trPr/>
        <w:tc>
          <w:tcPr>
            <w:tcW w:w="6957" w:type="dxa"/>
            <w:tcBorders/>
            <w:shd w:fill="auto" w:val="clear"/>
            <w:tcMar>
              <w:bottom w:w="0" w:type="dxa"/>
            </w:tcMar>
            <w:vAlign w:val="bottom"/>
          </w:tcPr>
          <w:p>
            <w:pPr>
              <w:pStyle w:val="TableContents"/>
              <w:spacing w:before="0" w:after="283"/>
              <w:rPr/>
            </w:pPr>
            <w:r>
              <w:rPr/>
              <w:t xml:space="preserve">  </w:t>
            </w:r>
          </w:p>
        </w:tc>
        <w:tc>
          <w:tcPr>
            <w:tcW w:w="118" w:type="dxa"/>
            <w:tcBorders/>
            <w:shd w:fill="auto" w:val="clear"/>
            <w:tcMar>
              <w:bottom w:w="0" w:type="dxa"/>
            </w:tcMar>
            <w:vAlign w:val="bottom"/>
          </w:tcPr>
          <w:p>
            <w:pPr>
              <w:pStyle w:val="TableContents"/>
              <w:spacing w:before="0" w:after="283"/>
              <w:rPr/>
            </w:pPr>
            <w:r>
              <w:rPr/>
              <w:t> </w:t>
            </w:r>
          </w:p>
        </w:tc>
        <w:tc>
          <w:tcPr>
            <w:tcW w:w="1367"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tc>
        <w:tc>
          <w:tcPr>
            <w:tcW w:w="118" w:type="dxa"/>
            <w:tcBorders/>
            <w:shd w:fill="auto" w:val="clear"/>
            <w:tcMar>
              <w:bottom w:w="0" w:type="dxa"/>
            </w:tcMar>
            <w:vAlign w:val="bottom"/>
          </w:tcPr>
          <w:p>
            <w:pPr>
              <w:pStyle w:val="TableContents"/>
              <w:spacing w:before="0" w:after="283"/>
              <w:jc w:val="left"/>
              <w:rPr/>
            </w:pPr>
            <w:r>
              <w:rPr/>
              <w:t> </w:t>
            </w:r>
          </w:p>
        </w:tc>
        <w:tc>
          <w:tcPr>
            <w:tcW w:w="118" w:type="dxa"/>
            <w:tcBorders/>
            <w:shd w:fill="auto" w:val="clear"/>
            <w:tcMar>
              <w:bottom w:w="0" w:type="dxa"/>
            </w:tcMar>
            <w:vAlign w:val="bottom"/>
          </w:tcPr>
          <w:p>
            <w:pPr>
              <w:pStyle w:val="TableContents"/>
              <w:spacing w:before="0" w:after="283"/>
              <w:rPr/>
            </w:pPr>
            <w:r>
              <w:rPr/>
              <w:t> </w:t>
            </w:r>
          </w:p>
        </w:tc>
        <w:tc>
          <w:tcPr>
            <w:tcW w:w="1320"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Percentage (1)</w:t>
            </w:r>
          </w:p>
        </w:tc>
        <w:tc>
          <w:tcPr>
            <w:tcW w:w="207" w:type="dxa"/>
            <w:tcBorders/>
            <w:shd w:fill="auto" w:val="clear"/>
            <w:tcMar>
              <w:bottom w:w="0" w:type="dxa"/>
            </w:tcMar>
            <w:vAlign w:val="bottom"/>
          </w:tcPr>
          <w:p>
            <w:pPr>
              <w:pStyle w:val="TableContents"/>
              <w:spacing w:before="0" w:after="283"/>
              <w:jc w:val="left"/>
              <w:rPr/>
            </w:pPr>
            <w:r>
              <w:rPr/>
              <w:t> </w:t>
            </w:r>
          </w:p>
        </w:tc>
      </w:tr>
      <w:tr>
        <w:trPr/>
        <w:tc>
          <w:tcPr>
            <w:tcW w:w="6957" w:type="dxa"/>
            <w:tcBorders/>
            <w:shd w:fill="CCEEFF" w:val="clear"/>
            <w:tcMar>
              <w:bottom w:w="0" w:type="dxa"/>
            </w:tcMar>
            <w:vAlign w:val="bottom"/>
          </w:tcPr>
          <w:p>
            <w:pPr>
              <w:pStyle w:val="TableContents"/>
              <w:spacing w:before="0" w:after="0"/>
              <w:ind w:left="0" w:right="0" w:hanging="0"/>
              <w:jc w:val="left"/>
              <w:rPr>
                <w:rFonts w:ascii="times new roman" w:hAnsi="times new roman"/>
                <w:i/>
                <w:sz w:val="20"/>
                <w:u w:val="single"/>
              </w:rPr>
            </w:pPr>
            <w:r>
              <w:rPr>
                <w:rFonts w:ascii="times new roman" w:hAnsi="times new roman"/>
                <w:i/>
                <w:sz w:val="20"/>
                <w:u w:val="single"/>
              </w:rPr>
              <w:t>5% + Stockholders</w:t>
            </w:r>
          </w:p>
        </w:tc>
        <w:tc>
          <w:tcPr>
            <w:tcW w:w="118" w:type="dxa"/>
            <w:tcBorders/>
            <w:shd w:fill="CCEEFF" w:val="clear"/>
            <w:tcMar>
              <w:bottom w:w="0" w:type="dxa"/>
            </w:tcMar>
            <w:vAlign w:val="bottom"/>
          </w:tcPr>
          <w:p>
            <w:pPr>
              <w:pStyle w:val="TableContents"/>
              <w:spacing w:before="0" w:after="283"/>
              <w:rPr/>
            </w:pPr>
            <w:r>
              <w:rPr/>
              <w:t> </w:t>
            </w:r>
          </w:p>
        </w:tc>
        <w:tc>
          <w:tcPr>
            <w:tcW w:w="1367" w:type="dxa"/>
            <w:gridSpan w:val="2"/>
            <w:tcBorders/>
            <w:shd w:fill="CCEEFF" w:val="clear"/>
            <w:tcMar>
              <w:bottom w:w="0" w:type="dxa"/>
            </w:tcMar>
            <w:vAlign w:val="bottom"/>
          </w:tcPr>
          <w:p>
            <w:pPr>
              <w:pStyle w:val="TableContents"/>
              <w:spacing w:before="0" w:after="283"/>
              <w:rPr/>
            </w:pPr>
            <w:r>
              <w:rPr/>
              <w:t> </w:t>
            </w:r>
          </w:p>
        </w:tc>
        <w:tc>
          <w:tcPr>
            <w:tcW w:w="118"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rPr/>
            </w:pPr>
            <w:r>
              <w:rPr/>
              <w:t> </w:t>
            </w:r>
          </w:p>
        </w:tc>
        <w:tc>
          <w:tcPr>
            <w:tcW w:w="1320" w:type="dxa"/>
            <w:gridSpan w:val="2"/>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r>
      <w:tr>
        <w:trPr/>
        <w:tc>
          <w:tcPr>
            <w:tcW w:w="695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W. Fish, Jr. (2)</w:t>
            </w:r>
          </w:p>
        </w:tc>
        <w:tc>
          <w:tcPr>
            <w:tcW w:w="118" w:type="dxa"/>
            <w:tcBorders/>
            <w:shd w:fill="FFFFFF" w:val="clear"/>
            <w:tcMar>
              <w:bottom w:w="0" w:type="dxa"/>
            </w:tcMar>
            <w:vAlign w:val="bottom"/>
          </w:tcPr>
          <w:p>
            <w:pPr>
              <w:pStyle w:val="TableContents"/>
              <w:spacing w:before="0" w:after="283"/>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2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603,170</w:t>
            </w:r>
          </w:p>
        </w:tc>
        <w:tc>
          <w:tcPr>
            <w:tcW w:w="118"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6.72</w:t>
            </w:r>
          </w:p>
        </w:tc>
        <w:tc>
          <w:tcPr>
            <w:tcW w:w="20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Don Miloni (3)</w:t>
            </w:r>
          </w:p>
        </w:tc>
        <w:tc>
          <w:tcPr>
            <w:tcW w:w="118" w:type="dxa"/>
            <w:tcBorders/>
            <w:shd w:fill="CCEEFF" w:val="clear"/>
            <w:tcMar>
              <w:bottom w:w="0" w:type="dxa"/>
            </w:tcMar>
            <w:vAlign w:val="bottom"/>
          </w:tcPr>
          <w:p>
            <w:pPr>
              <w:pStyle w:val="TableContents"/>
              <w:spacing w:before="0" w:after="283"/>
              <w:rPr/>
            </w:pPr>
            <w:r>
              <w:rPr/>
              <w:t> </w:t>
            </w:r>
          </w:p>
        </w:tc>
        <w:tc>
          <w:tcPr>
            <w:tcW w:w="118" w:type="dxa"/>
            <w:tcBorders/>
            <w:shd w:fill="CCEEFF" w:val="clear"/>
            <w:tcMar>
              <w:bottom w:w="0" w:type="dxa"/>
            </w:tcMar>
            <w:vAlign w:val="bottom"/>
          </w:tcPr>
          <w:p>
            <w:pPr>
              <w:pStyle w:val="TableContents"/>
              <w:spacing w:before="0" w:after="283"/>
              <w:jc w:val="left"/>
              <w:rPr/>
            </w:pPr>
            <w:r>
              <w:rPr/>
              <w:t> </w:t>
            </w:r>
          </w:p>
        </w:tc>
        <w:tc>
          <w:tcPr>
            <w:tcW w:w="12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1,243,513</w:t>
            </w:r>
          </w:p>
        </w:tc>
        <w:tc>
          <w:tcPr>
            <w:tcW w:w="118"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rPr/>
            </w:pPr>
            <w:r>
              <w:rPr/>
              <w:t> </w:t>
            </w:r>
          </w:p>
        </w:tc>
        <w:tc>
          <w:tcPr>
            <w:tcW w:w="15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13.75</w:t>
            </w:r>
          </w:p>
        </w:tc>
        <w:tc>
          <w:tcPr>
            <w:tcW w:w="20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Compounding Centers of America, Inc. (4)</w:t>
            </w:r>
          </w:p>
        </w:tc>
        <w:tc>
          <w:tcPr>
            <w:tcW w:w="118" w:type="dxa"/>
            <w:tcBorders/>
            <w:shd w:fill="FFFFFF" w:val="clear"/>
            <w:tcMar>
              <w:bottom w:w="0" w:type="dxa"/>
            </w:tcMar>
            <w:vAlign w:val="bottom"/>
          </w:tcPr>
          <w:p>
            <w:pPr>
              <w:pStyle w:val="TableContents"/>
              <w:spacing w:before="0" w:after="283"/>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2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832,682</w:t>
            </w:r>
          </w:p>
        </w:tc>
        <w:tc>
          <w:tcPr>
            <w:tcW w:w="118"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9.29</w:t>
            </w:r>
          </w:p>
        </w:tc>
        <w:tc>
          <w:tcPr>
            <w:tcW w:w="20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tcMar>
              <w:bottom w:w="0" w:type="dxa"/>
            </w:tcMar>
            <w:vAlign w:val="bottom"/>
          </w:tcPr>
          <w:p>
            <w:pPr>
              <w:pStyle w:val="TableContents"/>
              <w:spacing w:before="0" w:after="283"/>
              <w:rPr/>
            </w:pPr>
            <w:r>
              <w:rPr/>
              <w:t xml:space="preserve">  </w:t>
            </w:r>
          </w:p>
        </w:tc>
        <w:tc>
          <w:tcPr>
            <w:tcW w:w="118" w:type="dxa"/>
            <w:tcBorders/>
            <w:shd w:fill="CCEEFF" w:val="clear"/>
            <w:tcMar>
              <w:bottom w:w="0" w:type="dxa"/>
            </w:tcMar>
            <w:vAlign w:val="bottom"/>
          </w:tcPr>
          <w:p>
            <w:pPr>
              <w:pStyle w:val="TableContents"/>
              <w:spacing w:before="0" w:after="283"/>
              <w:rPr/>
            </w:pPr>
            <w:r>
              <w:rPr/>
              <w:t> </w:t>
            </w:r>
          </w:p>
        </w:tc>
        <w:tc>
          <w:tcPr>
            <w:tcW w:w="118" w:type="dxa"/>
            <w:tcBorders/>
            <w:shd w:fill="CCEEFF" w:val="clear"/>
            <w:tcMar>
              <w:bottom w:w="0" w:type="dxa"/>
            </w:tcMar>
            <w:vAlign w:val="bottom"/>
          </w:tcPr>
          <w:p>
            <w:pPr>
              <w:pStyle w:val="TableContents"/>
              <w:spacing w:before="0" w:after="283"/>
              <w:jc w:val="left"/>
              <w:rPr/>
            </w:pPr>
            <w:r>
              <w:rPr/>
              <w:t> </w:t>
            </w:r>
          </w:p>
        </w:tc>
        <w:tc>
          <w:tcPr>
            <w:tcW w:w="1249" w:type="dxa"/>
            <w:tcBorders/>
            <w:shd w:fill="CCEEFF" w:val="clear"/>
            <w:tcMar>
              <w:bottom w:w="0" w:type="dxa"/>
            </w:tcMar>
            <w:vAlign w:val="bottom"/>
          </w:tcPr>
          <w:p>
            <w:pPr>
              <w:pStyle w:val="TableContents"/>
              <w:spacing w:before="0" w:after="283"/>
              <w:jc w:val="right"/>
              <w:rPr/>
            </w:pPr>
            <w:r>
              <w:rPr/>
              <w:t> </w:t>
            </w:r>
          </w:p>
        </w:tc>
        <w:tc>
          <w:tcPr>
            <w:tcW w:w="118"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rPr/>
            </w:pPr>
            <w:r>
              <w:rPr/>
              <w:t> </w:t>
            </w:r>
          </w:p>
        </w:tc>
        <w:tc>
          <w:tcPr>
            <w:tcW w:w="15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pPr>
            <w:r>
              <w:rPr/>
              <w:t> </w:t>
            </w:r>
          </w:p>
        </w:tc>
        <w:tc>
          <w:tcPr>
            <w:tcW w:w="207" w:type="dxa"/>
            <w:tcBorders/>
            <w:shd w:fill="CCEEFF" w:val="clear"/>
            <w:tcMar>
              <w:bottom w:w="0" w:type="dxa"/>
            </w:tcMar>
            <w:vAlign w:val="bottom"/>
          </w:tcPr>
          <w:p>
            <w:pPr>
              <w:pStyle w:val="TableContents"/>
              <w:spacing w:before="0" w:after="283"/>
              <w:jc w:val="left"/>
              <w:rPr/>
            </w:pPr>
            <w:r>
              <w:rPr/>
              <w:t> </w:t>
            </w:r>
          </w:p>
        </w:tc>
      </w:tr>
      <w:tr>
        <w:trPr/>
        <w:tc>
          <w:tcPr>
            <w:tcW w:w="6957" w:type="dxa"/>
            <w:tcBorders/>
            <w:shd w:fill="FFFFFF" w:val="clear"/>
            <w:tcMar>
              <w:bottom w:w="0" w:type="dxa"/>
            </w:tcMar>
            <w:vAlign w:val="bottom"/>
          </w:tcPr>
          <w:p>
            <w:pPr>
              <w:pStyle w:val="TableContents"/>
              <w:spacing w:before="0" w:after="0"/>
              <w:ind w:left="0" w:right="0" w:hanging="0"/>
              <w:jc w:val="left"/>
              <w:rPr>
                <w:rFonts w:ascii="times new roman" w:hAnsi="times new roman"/>
                <w:i/>
                <w:sz w:val="20"/>
                <w:u w:val="single"/>
              </w:rPr>
            </w:pPr>
            <w:r>
              <w:rPr>
                <w:rFonts w:ascii="times new roman" w:hAnsi="times new roman"/>
                <w:i/>
                <w:sz w:val="20"/>
                <w:u w:val="single"/>
              </w:rPr>
              <w:t>Directors and Officers</w:t>
            </w:r>
          </w:p>
        </w:tc>
        <w:tc>
          <w:tcPr>
            <w:tcW w:w="118" w:type="dxa"/>
            <w:tcBorders/>
            <w:shd w:fill="FFFFFF" w:val="clear"/>
            <w:tcMar>
              <w:bottom w:w="0" w:type="dxa"/>
            </w:tcMar>
            <w:vAlign w:val="bottom"/>
          </w:tcPr>
          <w:p>
            <w:pPr>
              <w:pStyle w:val="TableContents"/>
              <w:spacing w:before="0" w:after="283"/>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249"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r>
      <w:tr>
        <w:trPr/>
        <w:tc>
          <w:tcPr>
            <w:tcW w:w="695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 (5)</w:t>
            </w:r>
          </w:p>
        </w:tc>
        <w:tc>
          <w:tcPr>
            <w:tcW w:w="118" w:type="dxa"/>
            <w:tcBorders/>
            <w:shd w:fill="CCEEFF" w:val="clear"/>
            <w:tcMar>
              <w:bottom w:w="0" w:type="dxa"/>
            </w:tcMar>
            <w:vAlign w:val="bottom"/>
          </w:tcPr>
          <w:p>
            <w:pPr>
              <w:pStyle w:val="TableContents"/>
              <w:spacing w:before="0" w:after="283"/>
              <w:rPr/>
            </w:pPr>
            <w:r>
              <w:rPr/>
              <w:t> </w:t>
            </w:r>
          </w:p>
        </w:tc>
        <w:tc>
          <w:tcPr>
            <w:tcW w:w="118" w:type="dxa"/>
            <w:tcBorders/>
            <w:shd w:fill="CCEEFF" w:val="clear"/>
            <w:tcMar>
              <w:bottom w:w="0" w:type="dxa"/>
            </w:tcMar>
            <w:vAlign w:val="bottom"/>
          </w:tcPr>
          <w:p>
            <w:pPr>
              <w:pStyle w:val="TableContents"/>
              <w:spacing w:before="0" w:after="283"/>
              <w:jc w:val="left"/>
              <w:rPr/>
            </w:pPr>
            <w:r>
              <w:rPr/>
              <w:t> </w:t>
            </w:r>
          </w:p>
        </w:tc>
        <w:tc>
          <w:tcPr>
            <w:tcW w:w="12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126,213</w:t>
            </w:r>
          </w:p>
        </w:tc>
        <w:tc>
          <w:tcPr>
            <w:tcW w:w="118"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rPr/>
            </w:pPr>
            <w:r>
              <w:rPr/>
              <w:t> </w:t>
            </w:r>
          </w:p>
        </w:tc>
        <w:tc>
          <w:tcPr>
            <w:tcW w:w="15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20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J.D. (6)</w:t>
            </w:r>
          </w:p>
        </w:tc>
        <w:tc>
          <w:tcPr>
            <w:tcW w:w="118" w:type="dxa"/>
            <w:tcBorders/>
            <w:shd w:fill="FFFFFF" w:val="clear"/>
            <w:tcMar>
              <w:bottom w:w="0" w:type="dxa"/>
            </w:tcMar>
            <w:vAlign w:val="bottom"/>
          </w:tcPr>
          <w:p>
            <w:pPr>
              <w:pStyle w:val="TableContents"/>
              <w:spacing w:before="0" w:after="283"/>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2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423,673</w:t>
            </w:r>
          </w:p>
        </w:tc>
        <w:tc>
          <w:tcPr>
            <w:tcW w:w="118"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w:t>
            </w:r>
          </w:p>
        </w:tc>
        <w:tc>
          <w:tcPr>
            <w:tcW w:w="20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Andrew R. Boll (7)</w:t>
            </w:r>
          </w:p>
        </w:tc>
        <w:tc>
          <w:tcPr>
            <w:tcW w:w="118" w:type="dxa"/>
            <w:tcBorders/>
            <w:shd w:fill="CCEEFF" w:val="clear"/>
            <w:tcMar>
              <w:bottom w:w="0" w:type="dxa"/>
            </w:tcMar>
            <w:vAlign w:val="bottom"/>
          </w:tcPr>
          <w:p>
            <w:pPr>
              <w:pStyle w:val="TableContents"/>
              <w:spacing w:before="0" w:after="283"/>
              <w:rPr/>
            </w:pPr>
            <w:r>
              <w:rPr/>
              <w:t> </w:t>
            </w:r>
          </w:p>
        </w:tc>
        <w:tc>
          <w:tcPr>
            <w:tcW w:w="118" w:type="dxa"/>
            <w:tcBorders/>
            <w:shd w:fill="CCEEFF" w:val="clear"/>
            <w:tcMar>
              <w:bottom w:w="0" w:type="dxa"/>
            </w:tcMar>
            <w:vAlign w:val="bottom"/>
          </w:tcPr>
          <w:p>
            <w:pPr>
              <w:pStyle w:val="TableContents"/>
              <w:spacing w:before="0" w:after="283"/>
              <w:jc w:val="left"/>
              <w:rPr/>
            </w:pPr>
            <w:r>
              <w:rPr/>
              <w:t> </w:t>
            </w:r>
          </w:p>
        </w:tc>
        <w:tc>
          <w:tcPr>
            <w:tcW w:w="12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15,417</w:t>
            </w:r>
          </w:p>
        </w:tc>
        <w:tc>
          <w:tcPr>
            <w:tcW w:w="118"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rPr/>
            </w:pPr>
            <w:r>
              <w:rPr/>
              <w:t> </w:t>
            </w:r>
          </w:p>
        </w:tc>
        <w:tc>
          <w:tcPr>
            <w:tcW w:w="15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tcMar>
              <w:bottom w:w="0" w:type="dxa"/>
            </w:tcMar>
            <w:vAlign w:val="bottom"/>
          </w:tcPr>
          <w:p>
            <w:pPr>
              <w:pStyle w:val="TableContents"/>
              <w:spacing w:before="0" w:after="283"/>
              <w:jc w:val="left"/>
              <w:rPr/>
            </w:pPr>
            <w:r>
              <w:rPr/>
              <w:t> </w:t>
            </w:r>
          </w:p>
        </w:tc>
      </w:tr>
      <w:tr>
        <w:trPr/>
        <w:tc>
          <w:tcPr>
            <w:tcW w:w="695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Balbir Brar, D.V.M., Ph.D. (8)</w:t>
            </w:r>
          </w:p>
        </w:tc>
        <w:tc>
          <w:tcPr>
            <w:tcW w:w="118" w:type="dxa"/>
            <w:tcBorders/>
            <w:shd w:fill="FFFFFF" w:val="clear"/>
            <w:tcMar>
              <w:bottom w:w="0" w:type="dxa"/>
            </w:tcMar>
            <w:vAlign w:val="bottom"/>
          </w:tcPr>
          <w:p>
            <w:pPr>
              <w:pStyle w:val="TableContents"/>
              <w:spacing w:before="0" w:after="283"/>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2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138,204</w:t>
            </w:r>
          </w:p>
        </w:tc>
        <w:tc>
          <w:tcPr>
            <w:tcW w:w="118"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20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  (9)</w:t>
            </w:r>
          </w:p>
        </w:tc>
        <w:tc>
          <w:tcPr>
            <w:tcW w:w="118" w:type="dxa"/>
            <w:tcBorders/>
            <w:shd w:fill="CCEEFF" w:val="clear"/>
            <w:tcMar>
              <w:bottom w:w="0" w:type="dxa"/>
            </w:tcMar>
            <w:vAlign w:val="bottom"/>
          </w:tcPr>
          <w:p>
            <w:pPr>
              <w:pStyle w:val="TableContents"/>
              <w:spacing w:before="0" w:after="283"/>
              <w:rPr/>
            </w:pPr>
            <w:r>
              <w:rPr/>
              <w:t> </w:t>
            </w:r>
          </w:p>
        </w:tc>
        <w:tc>
          <w:tcPr>
            <w:tcW w:w="118" w:type="dxa"/>
            <w:tcBorders/>
            <w:shd w:fill="CCEEFF" w:val="clear"/>
            <w:tcMar>
              <w:bottom w:w="0" w:type="dxa"/>
            </w:tcMar>
            <w:vAlign w:val="bottom"/>
          </w:tcPr>
          <w:p>
            <w:pPr>
              <w:pStyle w:val="TableContents"/>
              <w:spacing w:before="0" w:after="283"/>
              <w:jc w:val="left"/>
              <w:rPr/>
            </w:pPr>
            <w:r>
              <w:rPr/>
              <w:t> </w:t>
            </w:r>
          </w:p>
        </w:tc>
        <w:tc>
          <w:tcPr>
            <w:tcW w:w="12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c>
          <w:tcPr>
            <w:tcW w:w="118"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rPr/>
            </w:pPr>
            <w:r>
              <w:rPr/>
              <w:t> </w:t>
            </w:r>
          </w:p>
        </w:tc>
        <w:tc>
          <w:tcPr>
            <w:tcW w:w="15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20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  (10)</w:t>
            </w:r>
          </w:p>
        </w:tc>
        <w:tc>
          <w:tcPr>
            <w:tcW w:w="118" w:type="dxa"/>
            <w:tcBorders/>
            <w:shd w:fill="FFFFFF" w:val="clear"/>
            <w:tcMar>
              <w:bottom w:w="0" w:type="dxa"/>
            </w:tcMar>
            <w:vAlign w:val="bottom"/>
          </w:tcPr>
          <w:p>
            <w:pPr>
              <w:pStyle w:val="TableContents"/>
              <w:spacing w:before="0" w:after="283"/>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2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1,011,981</w:t>
            </w:r>
          </w:p>
        </w:tc>
        <w:tc>
          <w:tcPr>
            <w:tcW w:w="118"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11.18</w:t>
            </w:r>
          </w:p>
        </w:tc>
        <w:tc>
          <w:tcPr>
            <w:tcW w:w="20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G. Austin, CPA (11)</w:t>
            </w:r>
          </w:p>
        </w:tc>
        <w:tc>
          <w:tcPr>
            <w:tcW w:w="118" w:type="dxa"/>
            <w:tcBorders/>
            <w:shd w:fill="CCEEFF" w:val="clear"/>
            <w:tcMar>
              <w:bottom w:w="0" w:type="dxa"/>
            </w:tcMar>
            <w:vAlign w:val="bottom"/>
          </w:tcPr>
          <w:p>
            <w:pPr>
              <w:pStyle w:val="TableContents"/>
              <w:spacing w:before="0" w:after="283"/>
              <w:rPr/>
            </w:pPr>
            <w:r>
              <w:rPr/>
              <w:t> </w:t>
            </w:r>
          </w:p>
        </w:tc>
        <w:tc>
          <w:tcPr>
            <w:tcW w:w="118" w:type="dxa"/>
            <w:tcBorders/>
            <w:shd w:fill="CCEEFF" w:val="clear"/>
            <w:tcMar>
              <w:bottom w:w="0" w:type="dxa"/>
            </w:tcMar>
            <w:vAlign w:val="bottom"/>
          </w:tcPr>
          <w:p>
            <w:pPr>
              <w:pStyle w:val="TableContents"/>
              <w:spacing w:before="0" w:after="283"/>
              <w:jc w:val="left"/>
              <w:rPr/>
            </w:pPr>
            <w:r>
              <w:rPr/>
              <w:t> </w:t>
            </w:r>
          </w:p>
        </w:tc>
        <w:tc>
          <w:tcPr>
            <w:tcW w:w="12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12,842</w:t>
            </w:r>
          </w:p>
        </w:tc>
        <w:tc>
          <w:tcPr>
            <w:tcW w:w="118"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rPr/>
            </w:pPr>
            <w:r>
              <w:rPr/>
              <w:t> </w:t>
            </w:r>
          </w:p>
        </w:tc>
        <w:tc>
          <w:tcPr>
            <w:tcW w:w="15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tcMar>
              <w:bottom w:w="0" w:type="dxa"/>
            </w:tcMar>
            <w:vAlign w:val="bottom"/>
          </w:tcPr>
          <w:p>
            <w:pPr>
              <w:pStyle w:val="TableContents"/>
              <w:spacing w:before="0" w:after="283"/>
              <w:jc w:val="left"/>
              <w:rPr/>
            </w:pPr>
            <w:r>
              <w:rPr/>
              <w:t> </w:t>
            </w:r>
          </w:p>
        </w:tc>
      </w:tr>
      <w:tr>
        <w:trPr/>
        <w:tc>
          <w:tcPr>
            <w:tcW w:w="695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S. Bassani, Pharm.D. (12)</w:t>
            </w:r>
          </w:p>
        </w:tc>
        <w:tc>
          <w:tcPr>
            <w:tcW w:w="118" w:type="dxa"/>
            <w:tcBorders/>
            <w:shd w:fill="FFFFFF" w:val="clear"/>
            <w:tcMar>
              <w:bottom w:w="0" w:type="dxa"/>
            </w:tcMar>
            <w:vAlign w:val="bottom"/>
          </w:tcPr>
          <w:p>
            <w:pPr>
              <w:pStyle w:val="TableContents"/>
              <w:spacing w:before="0" w:after="283"/>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2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5,702</w:t>
            </w:r>
          </w:p>
        </w:tc>
        <w:tc>
          <w:tcPr>
            <w:tcW w:w="118"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FFFFFF" w:val="clear"/>
            <w:tcMar>
              <w:bottom w:w="0" w:type="dxa"/>
            </w:tcMar>
            <w:vAlign w:val="bottom"/>
          </w:tcPr>
          <w:p>
            <w:pPr>
              <w:pStyle w:val="TableContents"/>
              <w:spacing w:before="0" w:after="283"/>
              <w:jc w:val="left"/>
              <w:rPr/>
            </w:pPr>
            <w:r>
              <w:rPr/>
              <w:t> </w:t>
            </w:r>
          </w:p>
        </w:tc>
      </w:tr>
      <w:tr>
        <w:trPr/>
        <w:tc>
          <w:tcPr>
            <w:tcW w:w="695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Joachim Schupp, M.D.  (13)</w:t>
            </w:r>
          </w:p>
        </w:tc>
        <w:tc>
          <w:tcPr>
            <w:tcW w:w="118" w:type="dxa"/>
            <w:tcBorders/>
            <w:shd w:fill="CCEEFF" w:val="clear"/>
            <w:tcMar>
              <w:bottom w:w="0" w:type="dxa"/>
            </w:tcMar>
            <w:vAlign w:val="bottom"/>
          </w:tcPr>
          <w:p>
            <w:pPr>
              <w:pStyle w:val="TableContents"/>
              <w:spacing w:before="0" w:after="283"/>
              <w:rPr/>
            </w:pPr>
            <w:r>
              <w:rPr/>
              <w:t> </w:t>
            </w:r>
          </w:p>
        </w:tc>
        <w:tc>
          <w:tcPr>
            <w:tcW w:w="118" w:type="dxa"/>
            <w:tcBorders>
              <w:bottom w:val="single" w:sz="12" w:space="0" w:color="000000"/>
            </w:tcBorders>
            <w:shd w:fill="CCEEFF" w:val="clear"/>
            <w:vAlign w:val="bottom"/>
          </w:tcPr>
          <w:p>
            <w:pPr>
              <w:pStyle w:val="TableContents"/>
              <w:spacing w:before="0" w:after="283"/>
              <w:jc w:val="left"/>
              <w:rPr/>
            </w:pPr>
            <w:r>
              <w:rPr/>
              <w:t> </w:t>
            </w:r>
          </w:p>
        </w:tc>
        <w:tc>
          <w:tcPr>
            <w:tcW w:w="1249"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40,076</w:t>
            </w:r>
          </w:p>
        </w:tc>
        <w:tc>
          <w:tcPr>
            <w:tcW w:w="118"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rPr/>
            </w:pPr>
            <w:r>
              <w:rPr/>
              <w:t> </w:t>
            </w:r>
          </w:p>
        </w:tc>
        <w:tc>
          <w:tcPr>
            <w:tcW w:w="156" w:type="dxa"/>
            <w:tcBorders>
              <w:bottom w:val="single" w:sz="12" w:space="0" w:color="000000"/>
            </w:tcBorders>
            <w:shd w:fill="CCEEFF" w:val="clear"/>
            <w:vAlign w:val="bottom"/>
          </w:tcPr>
          <w:p>
            <w:pPr>
              <w:pStyle w:val="TableContents"/>
              <w:spacing w:before="0" w:after="283"/>
              <w:jc w:val="left"/>
              <w:rPr/>
            </w:pPr>
            <w:r>
              <w:rPr/>
              <w:t> </w:t>
            </w:r>
          </w:p>
        </w:tc>
        <w:tc>
          <w:tcPr>
            <w:tcW w:w="116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tcMar>
              <w:bottom w:w="0" w:type="dxa"/>
            </w:tcMar>
            <w:vAlign w:val="bottom"/>
          </w:tcPr>
          <w:p>
            <w:pPr>
              <w:pStyle w:val="TableContents"/>
              <w:spacing w:before="0" w:after="283"/>
              <w:jc w:val="left"/>
              <w:rPr/>
            </w:pPr>
            <w:r>
              <w:rPr/>
              <w:t> </w:t>
            </w:r>
          </w:p>
        </w:tc>
      </w:tr>
      <w:tr>
        <w:trPr/>
        <w:tc>
          <w:tcPr>
            <w:tcW w:w="695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executives and directors as a group (8 persons)</w:t>
            </w:r>
          </w:p>
        </w:tc>
        <w:tc>
          <w:tcPr>
            <w:tcW w:w="118" w:type="dxa"/>
            <w:tcBorders/>
            <w:shd w:fill="FFFFFF" w:val="clear"/>
            <w:tcMar>
              <w:bottom w:w="0" w:type="dxa"/>
            </w:tcMar>
            <w:vAlign w:val="bottom"/>
          </w:tcPr>
          <w:p>
            <w:pPr>
              <w:pStyle w:val="TableContents"/>
              <w:spacing w:before="0" w:after="283"/>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2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1,760,904</w:t>
            </w:r>
          </w:p>
        </w:tc>
        <w:tc>
          <w:tcPr>
            <w:tcW w:w="118"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18.44</w:t>
            </w:r>
          </w:p>
        </w:tc>
        <w:tc>
          <w:tcPr>
            <w:tcW w:w="20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less than 1%.</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Applicable percentage ownership is based on 8,961,583 shares of our common stock outstanding as of July 3, 2013.  Shares of common stock subject to options or warrants and convertible notes subject to conversion into shares of our common stock currently exercisable or convertible, or exercisable or convertible within 60 days after July 3, 2013 are deemed outstanding for the purpose of computing the percentage ownership of the person holding such options, warrants or convertible notes, but are not deemed outstanding for computing the percentage ownership of any other person.</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10,190 shares of common stock issuable upon the exercise of warrants exercisable within 60 days of July 3, 2013.</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July 3, 2013 (of which Mr. Miloni holds warrants to acquire 15,282 shares, Mr. Miloni’s spouse holds warrants to acquire 6,329 shares, 1425 Greenwood Lane, LLC holds warrants to acquire 37,975 shares, and RCHER Financial, LLC holds warrants to acquire 25,370 shares).</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address for Professional Compounding Centers of America, Inc. is 9901 South Wilcrest Dr., Houston, TX 77099.</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Jeffrey J. Abrams, M.D., a director, is a trustee of the Abrams Family Trust, which owns 39,063 shares of our common stock. Dr. Abrams has sole voting and investment control with respect to the shares of common stock owned by the Abrams Family Trust.  Includes 87,150 shares of common stock issuable upon the exercise of stock options exercisable within 60 days of July 3, 2013.</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(6)</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211,875 shares of common stock issuable upon the exercise of stock options and 2,413 shares of common stock issuable upon the exercise of warrants exercisable within 60 days of July 3, 2013.</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15,417 shares of common stock issuable upon the exercise of stock options exercisable within 60 days of July 3, 2013.</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125,000 shares of common stock issuable upon the exercise of stock options exercisable within 60 days of July 3, 2013.  Effective May 2, 2013, Dr. Brar resigned as our President.</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(9)</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125,000 shares of common stock issuable upon the exercise of stock options exercisable within 60 days of July 3, 2013.</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w:t>
            </w:r>
          </w:p>
        </w:tc>
        <w:tc>
          <w:tcPr>
            <w:tcW w:w="98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71,875 shares of common stock issuable upon the exercise of stock options and 15,282 shares of common stock issuable upon the exercise of warrants exercisable within 60 days of July 3, 2013. </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w:t>
            </w:r>
          </w:p>
        </w:tc>
        <w:tc>
          <w:tcPr>
            <w:tcW w:w="9813" w:type="dxa"/>
            <w:tcBorders/>
            <w:shd w:fill="auto" w:val="clear"/>
          </w:tcPr>
          <w:p>
            <w:pPr>
              <w:pStyle w:val="TableContents"/>
              <w:spacing w:before="0" w:after="0"/>
              <w:ind w:left="0" w:right="0" w:hanging="0"/>
              <w:jc w:val="both"/>
              <w:rPr/>
            </w:pPr>
            <w:r>
              <w:rPr/>
              <w:t> </w:t>
            </w:r>
            <w:r>
              <w:rPr>
                <w:rFonts w:ascii="times new roman" w:hAnsi="times new roman"/>
                <w:sz w:val="20"/>
              </w:rPr>
              <w:t>Includes 12,842 shares of common stock issuable upon the exercise of stock options exercisable within 60 days of July 3, 2013.</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(12)</w:t>
            </w:r>
          </w:p>
        </w:tc>
        <w:tc>
          <w:tcPr>
            <w:tcW w:w="9813" w:type="dxa"/>
            <w:tcBorders/>
            <w:shd w:fill="auto" w:val="clear"/>
          </w:tcPr>
          <w:p>
            <w:pPr>
              <w:pStyle w:val="TableContents"/>
              <w:spacing w:before="0" w:after="0"/>
              <w:ind w:left="0" w:right="0" w:hanging="0"/>
              <w:jc w:val="both"/>
              <w:rPr/>
            </w:pPr>
            <w:r>
              <w:rPr/>
              <w:t> </w:t>
            </w:r>
            <w:r>
              <w:rPr>
                <w:rFonts w:ascii="times new roman" w:hAnsi="times new roman"/>
                <w:sz w:val="20"/>
              </w:rPr>
              <w:t>Includes 5,702 shares of common stock issuable upon the exercise of stock options exercisable within 60 days of July 3, 2013.</w:t>
            </w:r>
          </w:p>
        </w:tc>
      </w:tr>
      <w:tr>
        <w:trPr/>
        <w:tc>
          <w:tcPr>
            <w:tcW w:w="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w:t>
            </w:r>
          </w:p>
        </w:tc>
        <w:tc>
          <w:tcPr>
            <w:tcW w:w="9813" w:type="dxa"/>
            <w:tcBorders/>
            <w:shd w:fill="auto" w:val="clear"/>
          </w:tcPr>
          <w:p>
            <w:pPr>
              <w:pStyle w:val="TableContents"/>
              <w:spacing w:before="0" w:after="0"/>
              <w:ind w:left="0" w:right="0" w:hanging="0"/>
              <w:jc w:val="both"/>
              <w:rPr/>
            </w:pPr>
            <w:r>
              <w:rPr/>
              <w:t> </w:t>
            </w:r>
            <w:r>
              <w:rPr>
                <w:rFonts w:ascii="times new roman" w:hAnsi="times new roman"/>
                <w:sz w:val="20"/>
              </w:rPr>
              <w:t>Includes 40,076 shares of common stock issuable upon the exercise of stock options exercisable within 60 days of July 3, 2013.</w:t>
            </w:r>
          </w:p>
        </w:tc>
      </w:tr>
    </w:tbl>
    <w:p>
      <w:pPr>
        <w:pStyle w:val="TextBody"/>
        <w:spacing w:before="0" w:after="0"/>
        <w:ind w:left="0" w:right="0" w:hanging="0"/>
        <w:jc w:val="both"/>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0" w:name="PGBRK35"/>
      <w:bookmarkStart w:id="371" w:name="PGBRK35"/>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2" w:name="FTR35"/>
      <w:bookmarkStart w:id="373" w:name="FTR35"/>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4" w:name="GLFTR35"/>
      <w:bookmarkEnd w:id="3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5" w:name="PN35"/>
      <w:bookmarkEnd w:id="375"/>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HDR35"/>
      <w:bookmarkStart w:id="377" w:name="HDR35"/>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8" w:name="GLHDR35"/>
      <w:bookmarkEnd w:id="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REPORT OF THE AUDIT COMMITTEE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79" w:name="TAB17"/>
      <w:bookmarkEnd w:id="379"/>
      <w:r>
        <w:rPr>
          <w:rFonts w:ascii="Times New Roman" w:hAnsi="Times New Roman"/>
          <w:sz w:val="20"/>
        </w:rPr>
        <w:t xml:space="preserve">The Audit Committee evaluates auditor performance, manages relations with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w:t>
      </w:r>
      <w:r>
        <w:rPr>
          <w:rFonts w:ascii="Times New Roman" w:hAnsi="Times New Roman"/>
          <w:i/>
          <w:sz w:val="20"/>
        </w:rPr>
        <w:t>http://imprimis.investorroom.com/index.php</w:t>
      </w:r>
      <w:r>
        <w:rPr>
          <w:rFonts w:ascii="Times New Roman" w:hAnsi="Times New Roman"/>
          <w:sz w:val="20"/>
        </w:rPr>
        <w:t>. All members of the Audit Committee currently meet the independence and qualification standards for Audit Committee membership set forth in the listing standards provided by NASDAQ and the SEC.</w:t>
      </w:r>
    </w:p>
    <w:p>
      <w:pPr>
        <w:pStyle w:val="TextBody"/>
        <w:spacing w:before="0" w:after="0"/>
        <w:ind w:left="0" w:right="0" w:hanging="0"/>
        <w:jc w:val="both"/>
        <w:rPr/>
      </w:pPr>
      <w:r>
        <w:rPr/>
        <w:t> </w:t>
      </w:r>
    </w:p>
    <w:p>
      <w:pPr>
        <w:pStyle w:val="TextBody"/>
        <w:spacing w:before="0" w:after="0"/>
        <w:ind w:left="230" w:right="0" w:firstLine="540"/>
        <w:jc w:val="both"/>
        <w:rPr>
          <w:rFonts w:ascii="Times New Roman" w:hAnsi="Times New Roman"/>
          <w:sz w:val="20"/>
        </w:rPr>
      </w:pPr>
      <w:bookmarkStart w:id="380" w:name="TAB18"/>
      <w:bookmarkEnd w:id="380"/>
      <w:r>
        <w:rPr>
          <w:rFonts w:ascii="Times New Roman" w:hAnsi="Times New Roman"/>
          <w:sz w:val="20"/>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pStyle w:val="TextBody"/>
        <w:spacing w:before="0" w:after="0"/>
        <w:ind w:left="0" w:right="0" w:hanging="0"/>
        <w:jc w:val="both"/>
        <w:rPr/>
      </w:pPr>
      <w:r>
        <w:rPr/>
        <w:t> </w:t>
      </w:r>
    </w:p>
    <w:p>
      <w:pPr>
        <w:pStyle w:val="TextBody"/>
        <w:spacing w:before="0" w:after="0"/>
        <w:ind w:left="230" w:right="0" w:firstLine="540"/>
        <w:jc w:val="both"/>
        <w:rPr>
          <w:rFonts w:ascii="Times New Roman" w:hAnsi="Times New Roman"/>
          <w:sz w:val="20"/>
        </w:rPr>
      </w:pPr>
      <w:bookmarkStart w:id="381" w:name="TAB19"/>
      <w:bookmarkEnd w:id="381"/>
      <w:r>
        <w:rPr>
          <w:rFonts w:ascii="Times New Roman" w:hAnsi="Times New Roman"/>
          <w:sz w:val="20"/>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on Form 10-K for the fiscal year ended December 31, 2012.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its internal controls over financial reporting pursuant to Section 404 of the Sarbanes-Oxley Act of 2002.</w:t>
      </w:r>
    </w:p>
    <w:p>
      <w:pPr>
        <w:pStyle w:val="TextBody"/>
        <w:spacing w:before="0" w:after="0"/>
        <w:ind w:left="0" w:right="0" w:hanging="0"/>
        <w:jc w:val="both"/>
        <w:rPr/>
      </w:pPr>
      <w:r>
        <w:rPr/>
        <w:t> </w:t>
      </w:r>
    </w:p>
    <w:p>
      <w:pPr>
        <w:pStyle w:val="TextBody"/>
        <w:spacing w:before="0" w:after="0"/>
        <w:ind w:left="230" w:right="0" w:firstLine="540"/>
        <w:jc w:val="both"/>
        <w:rPr>
          <w:rFonts w:ascii="Times New Roman" w:hAnsi="Times New Roman"/>
          <w:sz w:val="20"/>
        </w:rPr>
      </w:pPr>
      <w:bookmarkStart w:id="382" w:name="TAB110"/>
      <w:bookmarkEnd w:id="382"/>
      <w:r>
        <w:rPr>
          <w:rFonts w:ascii="Times New Roman" w:hAnsi="Times New Roman"/>
          <w:sz w:val="20"/>
        </w:rPr>
        <w:t>The Audit Committee also reviewed with the Company’s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(United States) Auditing Standard AU Section 380,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their independence from management and the Company, including the matters required by the applicable rules of the Public Company Accounting Oversight Board.</w:t>
      </w:r>
    </w:p>
    <w:p>
      <w:pPr>
        <w:pStyle w:val="TextBody"/>
        <w:spacing w:before="0" w:after="0"/>
        <w:ind w:left="0" w:right="0" w:hanging="0"/>
        <w:jc w:val="both"/>
        <w:rPr/>
      </w:pPr>
      <w:r>
        <w:rPr/>
        <w:t> </w:t>
      </w:r>
    </w:p>
    <w:p>
      <w:pPr>
        <w:pStyle w:val="TextBody"/>
        <w:spacing w:before="0" w:after="0"/>
        <w:ind w:left="230" w:right="0" w:firstLine="540"/>
        <w:jc w:val="both"/>
        <w:rPr>
          <w:rFonts w:ascii="Times New Roman" w:hAnsi="Times New Roman"/>
          <w:sz w:val="20"/>
        </w:rPr>
      </w:pPr>
      <w:bookmarkStart w:id="383" w:name="TAB111"/>
      <w:bookmarkEnd w:id="383"/>
      <w:r>
        <w:rPr>
          <w:rFonts w:ascii="Times New Roman" w:hAnsi="Times New Roman"/>
          <w:sz w:val="20"/>
        </w:rPr>
        <w:t>In addition to the matters specified above, the Audit Committee discussed with the Company’s independent registered public accounting firm the overall scope, plans and estimated costs of their audit. The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pStyle w:val="TextBody"/>
        <w:spacing w:before="0" w:after="0"/>
        <w:ind w:left="0" w:right="0" w:hanging="0"/>
        <w:jc w:val="both"/>
        <w:rPr/>
      </w:pPr>
      <w:r>
        <w:rPr/>
        <w:t> </w:t>
      </w:r>
    </w:p>
    <w:p>
      <w:pPr>
        <w:pStyle w:val="TextBody"/>
        <w:spacing w:before="0" w:after="0"/>
        <w:ind w:left="230" w:right="0" w:firstLine="540"/>
        <w:jc w:val="both"/>
        <w:rPr>
          <w:rFonts w:ascii="Times New Roman" w:hAnsi="Times New Roman"/>
          <w:sz w:val="20"/>
        </w:rPr>
      </w:pPr>
      <w:bookmarkStart w:id="384" w:name="TAB112"/>
      <w:bookmarkEnd w:id="384"/>
      <w:r>
        <w:rPr>
          <w:rFonts w:ascii="Times New Roman" w:hAnsi="Times New Roman"/>
          <w:sz w:val="20"/>
        </w:rPr>
        <w:t>In reliance on the reviews and discussions referred to above, the Audit Committee recommended to the Board of Directors that the Company’s audited financial statements should be included in the Company’s Annual Report on Form 10-K for the fiscal year ended December 31, 2012.</w:t>
      </w:r>
    </w:p>
    <w:p>
      <w:pPr>
        <w:pStyle w:val="TextBody"/>
        <w:spacing w:before="0" w:after="0"/>
        <w:ind w:left="0" w:right="0" w:hanging="0"/>
        <w:jc w:val="both"/>
        <w:rPr/>
      </w:pPr>
      <w:r>
        <w:rPr/>
        <w:t> </w:t>
      </w:r>
    </w:p>
    <w:p>
      <w:pPr>
        <w:pStyle w:val="TextBody"/>
        <w:spacing w:before="0" w:after="0"/>
        <w:ind w:left="6480" w:right="0" w:hanging="0"/>
        <w:jc w:val="both"/>
        <w:rPr>
          <w:rFonts w:ascii="Times New Roman" w:hAnsi="Times New Roman"/>
          <w:sz w:val="20"/>
        </w:rPr>
      </w:pPr>
      <w:r>
        <w:rPr>
          <w:rFonts w:ascii="Times New Roman" w:hAnsi="Times New Roman"/>
          <w:sz w:val="20"/>
        </w:rPr>
        <w:t>Submitted by the Audit Committee of the Board of Directors</w:t>
      </w:r>
    </w:p>
    <w:p>
      <w:pPr>
        <w:pStyle w:val="TextBody"/>
        <w:spacing w:before="0" w:after="0"/>
        <w:ind w:left="0" w:right="0" w:hanging="0"/>
        <w:jc w:val="both"/>
        <w:rPr/>
      </w:pPr>
      <w:r>
        <w:rPr/>
        <w:t> </w:t>
      </w:r>
    </w:p>
    <w:p>
      <w:pPr>
        <w:pStyle w:val="TextBody"/>
        <w:spacing w:before="0" w:after="0"/>
        <w:ind w:left="6480" w:right="0" w:hanging="0"/>
        <w:jc w:val="both"/>
        <w:rPr>
          <w:rFonts w:ascii="Times New Roman" w:hAnsi="Times New Roman"/>
          <w:sz w:val="20"/>
        </w:rPr>
      </w:pPr>
      <w:r>
        <w:rPr>
          <w:rFonts w:ascii="Times New Roman" w:hAnsi="Times New Roman"/>
          <w:sz w:val="20"/>
        </w:rPr>
        <w:t>Stephen Austin, Chairperson</w:t>
      </w:r>
    </w:p>
    <w:p>
      <w:pPr>
        <w:pStyle w:val="TextBody"/>
        <w:spacing w:before="0" w:after="0"/>
        <w:ind w:left="6480" w:right="0" w:hanging="0"/>
        <w:jc w:val="both"/>
        <w:rPr>
          <w:rFonts w:ascii="Times New Roman" w:hAnsi="Times New Roman"/>
          <w:sz w:val="20"/>
        </w:rPr>
      </w:pPr>
      <w:r>
        <w:rPr>
          <w:rFonts w:ascii="Times New Roman" w:hAnsi="Times New Roman"/>
          <w:sz w:val="20"/>
        </w:rPr>
        <w:t>Jeffrey Abrams</w:t>
      </w:r>
    </w:p>
    <w:p>
      <w:pPr>
        <w:pStyle w:val="TextBody"/>
        <w:spacing w:before="0" w:after="0"/>
        <w:ind w:left="6480" w:right="0" w:hanging="0"/>
        <w:jc w:val="both"/>
        <w:rPr>
          <w:rFonts w:ascii="Times New Roman" w:hAnsi="Times New Roman"/>
          <w:sz w:val="20"/>
        </w:rPr>
      </w:pPr>
      <w:r>
        <w:rPr>
          <w:rFonts w:ascii="Times New Roman" w:hAnsi="Times New Roman"/>
          <w:sz w:val="20"/>
        </w:rPr>
        <w:t>Paul Finnegan</w:t>
      </w:r>
    </w:p>
    <w:p>
      <w:pPr>
        <w:pStyle w:val="TextBody"/>
        <w:spacing w:before="0" w:after="0"/>
        <w:ind w:left="6480" w:right="0" w:hanging="0"/>
        <w:jc w:val="both"/>
        <w:rPr/>
      </w:pPr>
      <w:r>
        <w:rPr/>
        <w:t> </w:t>
      </w:r>
    </w:p>
    <w:p>
      <w:pPr>
        <w:pStyle w:val="TextBody"/>
        <w:spacing w:before="0" w:after="0"/>
        <w:ind w:left="260" w:right="0" w:firstLine="540"/>
        <w:jc w:val="both"/>
        <w:rPr>
          <w:rFonts w:ascii="Times New Roman" w:hAnsi="Times New Roman"/>
          <w:sz w:val="20"/>
        </w:rPr>
      </w:pPr>
      <w:bookmarkStart w:id="385" w:name="TAB113"/>
      <w:bookmarkEnd w:id="385"/>
      <w:r>
        <w:rPr>
          <w:rFonts w:ascii="Times New Roman" w:hAnsi="Times New Roman"/>
          <w:sz w:val="20"/>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w:t>
      </w:r>
    </w:p>
    <w:p>
      <w:pPr>
        <w:pStyle w:val="TextBody"/>
        <w:spacing w:before="0" w:after="0"/>
        <w:ind w:left="0" w:right="0" w:hanging="0"/>
        <w:rPr/>
      </w:pPr>
      <w:r>
        <w:rPr/>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6" w:name="PGBRK36"/>
      <w:bookmarkStart w:id="387" w:name="PGBRK36"/>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FTR36"/>
      <w:bookmarkStart w:id="389" w:name="FTR36"/>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0" w:name="GLFTR36"/>
      <w:bookmarkEnd w:id="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1" w:name="PN36"/>
      <w:bookmarkEnd w:id="391"/>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 w:name="HDR36"/>
      <w:bookmarkStart w:id="393" w:name="HDR36"/>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4" w:name="GLHDR36"/>
      <w:bookmarkEnd w:id="3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HOUSEHOLDING OF PROXY MATERIALS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This year, a number of brokers with account holders who are the Company’s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direct your written request to Imprimis Pharmaceuticals, Inc., c/o Corporate Secretary, 12626 High Bluff Drive, Suite 150, San Diego, CA 92130 or call Investor Relations at (858) 704-4041. Stockholders who currently receive multiple copies of the proxy statement at their address and would like to request “householding” of their communications should contact their brokers.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STOCKHOLDER PROPOSALS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Pursuant to Rule 14a-8 under the Exchange Act, stockholders may present proper proposals for inclusion in our proxy statement and for consideration at our next annual meeting of stockholders. To be eligible for inclusion in our 2014 proxy statement, a stockholder’s proposal must be received by us no later than March 17, 2014, unless the date of our 2014 Annual Meeting of Stockholders is more than 30 days before or after the one-year anniversary date of the 2013 Annual Meeting of Stockholders, in which case in which case such proposals must be received by the Company a reasonable time before the Company begins to print and send applicable proxy materials. In addition, stockholder proposals must otherwise comply with Rule 14a-8 under the Exchange Act.</w:t>
      </w:r>
    </w:p>
    <w:p>
      <w:pPr>
        <w:pStyle w:val="TextBody"/>
        <w:spacing w:before="0" w:after="0"/>
        <w:ind w:left="0" w:right="0" w:firstLine="54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ANNUAL REPORT</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Our 2012 Annual Report on Form 10-K accompanies the proxy materials being provided to all stockholders. We will provide, without charge, additional copies of our 2012 Annual Report on Form 10-K upon the receipt of a written request by any stockholder.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OTHER MATTERS</w:t>
      </w:r>
    </w:p>
    <w:p>
      <w:pPr>
        <w:pStyle w:val="TextBody"/>
        <w:spacing w:before="0" w:after="0"/>
        <w:ind w:left="0" w:right="0" w:firstLine="54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283"/>
              <w:jc w:val="left"/>
              <w:rPr/>
            </w:pPr>
            <w:r>
              <w:rPr/>
              <w:t xml:space="preserve">  </w:t>
            </w:r>
          </w:p>
        </w:tc>
        <w:tc>
          <w:tcPr>
            <w:tcW w:w="5103" w:type="dxa"/>
            <w:tcBorders/>
            <w:shd w:fill="auto" w:val="clear"/>
          </w:tcPr>
          <w:p>
            <w:pPr>
              <w:pStyle w:val="TableContents"/>
              <w:spacing w:before="0" w:after="0"/>
              <w:ind w:left="360" w:right="0" w:hanging="360"/>
              <w:jc w:val="left"/>
              <w:rPr>
                <w:rFonts w:ascii="times new roman" w:hAnsi="times new roman"/>
                <w:sz w:val="20"/>
              </w:rPr>
            </w:pPr>
            <w:r>
              <w:rPr>
                <w:rFonts w:ascii="times new roman" w:hAnsi="times new roman"/>
                <w:sz w:val="20"/>
              </w:rPr>
              <w:t>By Order of the Board of Directors</w:t>
            </w:r>
          </w:p>
        </w:tc>
      </w:tr>
      <w:tr>
        <w:trPr/>
        <w:tc>
          <w:tcPr>
            <w:tcW w:w="5102" w:type="dxa"/>
            <w:tcBorders/>
            <w:shd w:fill="auto" w:val="clear"/>
            <w:vAlign w:val="center"/>
          </w:tcPr>
          <w:p>
            <w:pPr>
              <w:pStyle w:val="TableContents"/>
              <w:spacing w:before="0" w:after="283"/>
              <w:jc w:val="left"/>
              <w:rPr/>
            </w:pPr>
            <w:r>
              <w:rPr/>
              <w:t xml:space="preserve">  </w:t>
            </w:r>
          </w:p>
        </w:tc>
        <w:tc>
          <w:tcPr>
            <w:tcW w:w="5103" w:type="dxa"/>
            <w:tcBorders/>
            <w:shd w:fill="auto" w:val="clear"/>
            <w:vAlign w:val="center"/>
          </w:tcPr>
          <w:p>
            <w:pPr>
              <w:pStyle w:val="TableContents"/>
              <w:spacing w:before="0" w:after="283"/>
              <w:jc w:val="left"/>
              <w:rPr/>
            </w:pPr>
            <w:r>
              <w:rPr/>
              <w:t xml:space="preserve">  </w:t>
            </w:r>
          </w:p>
        </w:tc>
      </w:tr>
      <w:tr>
        <w:trPr/>
        <w:tc>
          <w:tcPr>
            <w:tcW w:w="5102" w:type="dxa"/>
            <w:tcBorders/>
            <w:shd w:fill="auto" w:val="clear"/>
          </w:tcPr>
          <w:p>
            <w:pPr>
              <w:pStyle w:val="TableContents"/>
              <w:spacing w:before="0" w:after="283"/>
              <w:jc w:val="left"/>
              <w:rPr/>
            </w:pPr>
            <w:r>
              <w:rPr/>
              <w:t xml:space="preserve">  </w:t>
            </w:r>
          </w:p>
        </w:tc>
        <w:tc>
          <w:tcPr>
            <w:tcW w:w="5103" w:type="dxa"/>
            <w:tcBorders/>
            <w:shd w:fill="auto" w:val="clear"/>
          </w:tcPr>
          <w:p>
            <w:pPr>
              <w:pStyle w:val="TableContents"/>
              <w:spacing w:before="0" w:after="0"/>
              <w:ind w:left="360" w:right="0" w:hanging="360"/>
              <w:jc w:val="left"/>
              <w:rPr>
                <w:rFonts w:ascii="times new roman" w:hAnsi="times new roman"/>
                <w:sz w:val="20"/>
              </w:rPr>
            </w:pPr>
            <w:r>
              <w:rPr>
                <w:rFonts w:ascii="times new roman" w:hAnsi="times new roman"/>
                <w:sz w:val="20"/>
              </w:rPr>
              <w:t>Mark L. Baum</w:t>
            </w:r>
          </w:p>
        </w:tc>
      </w:tr>
      <w:tr>
        <w:trPr/>
        <w:tc>
          <w:tcPr>
            <w:tcW w:w="5102" w:type="dxa"/>
            <w:tcBorders/>
            <w:shd w:fill="auto" w:val="clear"/>
          </w:tcPr>
          <w:p>
            <w:pPr>
              <w:pStyle w:val="TableContents"/>
              <w:spacing w:before="0" w:after="283"/>
              <w:jc w:val="left"/>
              <w:rPr/>
            </w:pPr>
            <w:r>
              <w:rPr/>
              <w:t xml:space="preserve">  </w:t>
            </w:r>
          </w:p>
        </w:tc>
        <w:tc>
          <w:tcPr>
            <w:tcW w:w="5103" w:type="dxa"/>
            <w:tcBorders/>
            <w:shd w:fill="auto" w:val="clear"/>
          </w:tcPr>
          <w:p>
            <w:pPr>
              <w:pStyle w:val="TableContents"/>
              <w:spacing w:before="0" w:after="0"/>
              <w:ind w:left="360" w:right="0" w:hanging="360"/>
              <w:jc w:val="left"/>
              <w:rPr>
                <w:rFonts w:ascii="times new roman" w:hAnsi="times new roman"/>
                <w:i/>
                <w:sz w:val="20"/>
              </w:rPr>
            </w:pPr>
            <w:r>
              <w:rPr>
                <w:rFonts w:ascii="times new roman" w:hAnsi="times new roman"/>
                <w:i/>
                <w:sz w:val="20"/>
              </w:rPr>
              <w:t>Chief Executive Officer and Director</w:t>
            </w:r>
          </w:p>
        </w:tc>
      </w:tr>
    </w:tbl>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5" w:name="PGBRK37"/>
      <w:bookmarkStart w:id="396" w:name="PGBRK37"/>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7" w:name="FTR37"/>
      <w:bookmarkStart w:id="398" w:name="FTR37"/>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9" w:name="GLFTR37"/>
      <w:bookmarkEnd w:id="3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0" w:name="PN37"/>
      <w:bookmarkEnd w:id="400"/>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1" w:name="HDR37"/>
      <w:bookmarkStart w:id="402" w:name="HDR37"/>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3" w:name="GLHDR37"/>
      <w:bookmarkEnd w:id="4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ANNEX 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AMENDED AND RESTATED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CERTIFICATE OF INCORPORATION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OF</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1</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 xml:space="preserve">The name of this Corporation is Imprimis Pharmaceuticals, Inc. (the “Corporation”).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2</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address, including street, number, city and county, of the registered office of the Corporation in the State of Delaware is 615 South DuPont Highway, Dover, Delaware 19901, County of Kent; and the name of the registered agent of the Corporation in the State of Delaware at such address is National Corporate Research, Ltd.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3</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nature of the business and of the purposes to be conducted and promoted by the Corporation is to conduct any lawful business, to promote any lawful purpose, and to engage in any lawful act or activity for which corporations may be organized under the General Corporation Law of the State of Delaware.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4</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A.</w:t>
      </w:r>
      <w:bookmarkStart w:id="404" w:name="TAB2"/>
      <w:bookmarkEnd w:id="404"/>
      <w:r>
        <w:rPr>
          <w:color w:val="000000"/>
          <w:spacing w:val="180"/>
        </w:rPr>
        <w:t> </w:t>
      </w:r>
      <w:r>
        <w:rPr>
          <w:rFonts w:ascii="Times New Roman" w:hAnsi="Times New Roman"/>
          <w:sz w:val="20"/>
        </w:rPr>
        <w:t>The total number of shares of stock that the Corporation shall have authority to issue is Ninety Five Million (95,000,000). The classes and aggregate number of shares of each class which the Corporation shall have authority to issue are as follows:</w:t>
      </w:r>
    </w:p>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sz w:val="20"/>
        </w:rPr>
      </w:pPr>
      <w:r>
        <w:rPr>
          <w:rFonts w:ascii="Times New Roman" w:hAnsi="Times New Roman"/>
          <w:sz w:val="20"/>
        </w:rPr>
        <w:t>1.                        Ninety Million (90,000,000) shares of Common Stock, par value  $0.001 per share (the "Common Stock"); and</w:t>
      </w:r>
    </w:p>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sz w:val="20"/>
        </w:rPr>
      </w:pPr>
      <w:r>
        <w:rPr>
          <w:rFonts w:ascii="Times New Roman" w:hAnsi="Times New Roman"/>
          <w:sz w:val="20"/>
        </w:rPr>
        <w:t>2.                        Five Million (5,000,000) shares of Preferred Stock, par value  $0.001 per share (the "Preferred Stock").</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B.</w:t>
      </w:r>
      <w:bookmarkStart w:id="405" w:name="TAB21"/>
      <w:bookmarkEnd w:id="405"/>
      <w:r>
        <w:rPr>
          <w:color w:val="000000"/>
          <w:spacing w:val="180"/>
        </w:rPr>
        <w:t> </w:t>
      </w:r>
      <w:r>
        <w:rPr>
          <w:rFonts w:ascii="Times New Roman" w:hAnsi="Times New Roman"/>
          <w:sz w:val="20"/>
        </w:rPr>
        <w:t>Any of the shares of Preferred Stock may be issued from time to time in one or more series.  Subject to the limitations and restrictions in this Article 4 set forth,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preferences and relative, participating, optional or other special rights, and the qualifications, limitations or restrictions thereof; and the several series of Preferred Stock may, except as hereinafter in this Article 4 otherwise expressly provided, vary in any and all respects as fixed and determined by the resolution or resolutions of the Board of Directors or by a committee of the Board of Directors, providing for the issuance of the various series; provided, however, that all shares of any one series of Preferred Stock shall have the same designation, preferences and relative, participating, optional or other special rights and qualifications, limitations and restrictions.</w:t>
      </w:r>
    </w:p>
    <w:p>
      <w:pPr>
        <w:pStyle w:val="TextBody"/>
        <w:spacing w:before="0" w:after="0"/>
        <w:ind w:left="0" w:right="0" w:firstLine="720"/>
        <w:rPr/>
      </w:pPr>
      <w:r>
        <w:rPr/>
        <w:t> </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6" w:name="PGBRK38"/>
      <w:bookmarkStart w:id="407" w:name="PGBRK38"/>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8" w:name="FTR38"/>
      <w:bookmarkStart w:id="409" w:name="FTR38"/>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0" w:name="GLFTR38"/>
      <w:bookmarkEnd w:id="4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1" w:name="PN38"/>
      <w:bookmarkEnd w:id="411"/>
      <w:r>
        <w:rPr>
          <w:rFonts w:ascii="Times New Roman" w:hAnsi="Times New Roman"/>
          <w:sz w:val="20"/>
        </w:rPr>
        <w:t>A-1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2" w:name="HDR38"/>
      <w:bookmarkStart w:id="413" w:name="HDR38"/>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4" w:name="GLHDR38"/>
      <w:bookmarkEnd w:id="4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5</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6</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power to make, alter, or repeal the Bylaws, and to adopt any new Bylaw, shall be vested in the Board of Directors.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7</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To the fullest extent that the General Corporation Law of the State of Delaware, as it exists on the date hereof or as it may hereafter be amended, permits the limitation or elimination of the liability of directors, no director of this Corporation shall be personally liable to this Corporation or its stockholders for monetary damages for breach of fiduciary duty as a director. Notwithstanding the foregoing, a director shall be liable to the extent provided by applicable law: (1) for any breach of the directors' duty of loyalty to the Corporation or its stockholders; (2) for acts or omissions not in good faith or which involve intentional misconduct or a knowing violation of law; (3) under section 174 of the General Corporation Law of the State of Delaware; or (4) for any transaction from which the director derived any improper personal benefit. Neither the amendment nor repeal of this Article, nor the adoption of any provision of this Certificate of Incorporation inconsistent with this Article, shall adversely affect any right or protection of a director of the Corporation existing at the time of such amendment or repeal.</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8</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Corporation shall, to the fullest extent permitted by Section 145 of the General Corporation Law of the State of Delaware, as the same may be amended and supplemented, indemnify any and all persons whom it shall have power to indemnify under said section from and against any and a]) of the expenses, liabilities or other matters referred to in or covered by said section. The Corporation shall advance expenses to the fullest extent permitted by said section. Such right to indemnification and advancement of expenses shall continue as to a person who has ceased to be a director, officer, employee or agent and shall inure to the benefit of the heirs, executors and administrators of such a person. The indemnification and advancement of expenses provided for herein shall not be deemed exclusive of any other rights to which those seeking indemnification or advancement of expenses may be entitled under any Bylaw, agreement, vote of stockholders or disinterested directors or otherwise.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9</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A.</w:t>
      </w:r>
      <w:bookmarkStart w:id="415" w:name="TAB22"/>
      <w:bookmarkEnd w:id="415"/>
      <w:r>
        <w:rPr>
          <w:color w:val="000000"/>
          <w:spacing w:val="180"/>
        </w:rPr>
        <w:t> </w:t>
      </w:r>
      <w:r>
        <w:rPr>
          <w:rFonts w:ascii="times new roman" w:hAnsi="times new roman"/>
          <w:sz w:val="20"/>
        </w:rPr>
        <w:t>Elections of directors need not be by written ballot unless the Bylaws of the Corporation shall so provide.</w:t>
      </w:r>
      <w:r>
        <w:rPr/>
        <w:t xml:space="preserve"> </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b/>
          <w:sz w:val="20"/>
        </w:rPr>
        <w:t>B.</w:t>
      </w:r>
      <w:bookmarkStart w:id="416" w:name="TAB23"/>
      <w:bookmarkEnd w:id="416"/>
      <w:r>
        <w:rPr>
          <w:color w:val="000000"/>
          <w:spacing w:val="180"/>
        </w:rPr>
        <w:t> </w:t>
      </w:r>
      <w:r>
        <w:rPr>
          <w:rFonts w:ascii="times new roman" w:hAnsi="times new roman"/>
          <w:sz w:val="20"/>
        </w:rPr>
        <w:t>Except as otherwise provided for or fixed by or pursuant to the provisions of this Certificate of Incorporation or any resolution or resolutions of the Board of Directors providing for the issuance of any series of stock having a preference over the Common Stock, no action shall be taken by the stockholders except at an annual or special meeting of stockholders called in accordance with the Bylaws of the Corporation, and no action shall be taken by the stockholders by written consent.</w:t>
      </w:r>
      <w:r>
        <w:rPr/>
        <w:t xml:space="preserve"> </w:t>
      </w:r>
    </w:p>
    <w:p>
      <w:pPr>
        <w:pStyle w:val="TextBody"/>
        <w:spacing w:before="0" w:after="0"/>
        <w:ind w:left="0" w:right="0" w:hanging="0"/>
        <w:jc w:val="both"/>
        <w:rPr/>
      </w:pPr>
      <w:r>
        <w:rPr/>
        <w:t> </w:t>
      </w:r>
    </w:p>
    <w:p>
      <w:pPr>
        <w:pStyle w:val="TextBody"/>
        <w:spacing w:before="0" w:after="0"/>
        <w:rPr/>
      </w:pPr>
      <w:r>
        <w:rPr/>
        <w:t> </w:t>
      </w:r>
    </w:p>
    <w:p>
      <w:pPr>
        <w:pStyle w:val="TextBody"/>
        <w:spacing w:before="0" w:after="0"/>
        <w:jc w:val="center"/>
        <w:rPr/>
      </w:pPr>
      <w:r>
        <w:rPr/>
        <w:t>A-2</w:t>
      </w:r>
    </w:p>
    <w:p>
      <w:pPr>
        <w:pStyle w:val="TextBody"/>
        <w:spacing w:before="0" w:after="0"/>
        <w:jc w:val="center"/>
        <w:rPr/>
      </w:pPr>
      <w:r>
        <w:rPr/>
        <w:t xml:space="preserve">  </w:t>
      </w:r>
    </w:p>
    <w:p>
      <w:pPr>
        <w:pStyle w:val="HorizontalLine"/>
        <w:pBdr>
          <w:bottom w:val="single" w:sz="12" w:space="0" w:color="808080"/>
        </w:pBdr>
        <w:spacing w:before="0" w:after="283"/>
        <w:jc w:val="center"/>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28804</Words>
  <CharactersWithSpaces>180477</CharactersWithSpaces>
  <Paragraphs>2343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