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Graves Adrienne L</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HARROW, INC.</w:t>
            </w:r>
          </w:p>
        </w:tc>
        <w:tc>
          <w:tcPr>
            <w:tcW w:w="160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 SUITE 200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06/18/2026</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5,248</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5,248</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5,248</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26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equal quarterly installments over a one-year period following the date of grant, subject to the Reporting Person's continued service.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Adrienne L. Graves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6192"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2026-06-22T18:52:01Z</dcterms:created>
  <dcterms:modified xsi:type="dcterms:W3CDTF">2026-06-22T18:52:01Z</dcterms:modified>
</cp:coreProperties>
</file>