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imm_8k.htm"/>
      <w:bookmarkStart w:id="1" w:name="ksimm_8k"/>
      <w:bookmarkStart w:id="2" w:name="imm_8k.htm"/>
      <w:bookmarkStart w:id="3" w:name="ksimm_8k"/>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UNITED STATES</w:t>
      </w:r>
    </w:p>
    <w:p>
      <w:pPr>
        <w:pStyle w:val="TextBody"/>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8"/>
        </w:rPr>
      </w:pPr>
      <w:r>
        <w:rPr>
          <w:rFonts w:ascii="Times New Roman" w:hAnsi="Times New Roman"/>
          <w:b/>
          <w:sz w:val="28"/>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Date of Report (Date of earliest event reported):  February 18, 2013</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IMPRIMIS PHARMACEUTICALS,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242"/>
        <w:gridCol w:w="239"/>
        <w:gridCol w:w="3242"/>
        <w:gridCol w:w="239"/>
        <w:gridCol w:w="3243"/>
      </w:tblGrid>
      <w:tr>
        <w:trPr/>
        <w:tc>
          <w:tcPr>
            <w:tcW w:w="3242" w:type="dxa"/>
            <w:tcBorders/>
            <w:shd w:fill="auto" w:val="clear"/>
          </w:tcPr>
          <w:p>
            <w:pPr>
              <w:pStyle w:val="TableContents"/>
              <w:spacing w:before="0" w:after="0"/>
              <w:ind w:left="0" w:right="0" w:hanging="0"/>
              <w:jc w:val="left"/>
              <w:rPr/>
            </w:pPr>
            <w:r>
              <w:rPr/>
              <w:t> </w:t>
            </w:r>
          </w:p>
        </w:tc>
        <w:tc>
          <w:tcPr>
            <w:tcW w:w="239" w:type="dxa"/>
            <w:tcBorders/>
            <w:shd w:fill="auto" w:val="clear"/>
          </w:tcPr>
          <w:p>
            <w:pPr>
              <w:pStyle w:val="TableContents"/>
              <w:spacing w:before="0" w:after="0"/>
              <w:ind w:left="0" w:right="0" w:hanging="0"/>
              <w:jc w:val="left"/>
              <w:rPr/>
            </w:pPr>
            <w:r>
              <w:rPr/>
              <w:t> </w:t>
            </w:r>
          </w:p>
        </w:tc>
        <w:tc>
          <w:tcPr>
            <w:tcW w:w="3242" w:type="dxa"/>
            <w:tcBorders/>
            <w:shd w:fill="auto" w:val="clear"/>
          </w:tcPr>
          <w:p>
            <w:pPr>
              <w:pStyle w:val="TableContents"/>
              <w:spacing w:before="0" w:after="0"/>
              <w:ind w:left="0" w:right="0" w:hanging="0"/>
              <w:jc w:val="left"/>
              <w:rPr/>
            </w:pPr>
            <w:r>
              <w:rPr/>
              <w:t> </w:t>
            </w:r>
          </w:p>
        </w:tc>
        <w:tc>
          <w:tcPr>
            <w:tcW w:w="239" w:type="dxa"/>
            <w:tcBorders/>
            <w:shd w:fill="auto" w:val="clear"/>
          </w:tcPr>
          <w:p>
            <w:pPr>
              <w:pStyle w:val="TableContents"/>
              <w:spacing w:before="0" w:after="0"/>
              <w:ind w:left="0" w:right="0" w:hanging="0"/>
              <w:jc w:val="left"/>
              <w:rPr/>
            </w:pPr>
            <w:r>
              <w:rPr/>
              <w:t> </w:t>
            </w:r>
          </w:p>
        </w:tc>
        <w:tc>
          <w:tcPr>
            <w:tcW w:w="3243" w:type="dxa"/>
            <w:tcBorders/>
            <w:shd w:fill="auto" w:val="clear"/>
          </w:tcPr>
          <w:p>
            <w:pPr>
              <w:pStyle w:val="TableContents"/>
              <w:spacing w:before="0" w:after="0"/>
              <w:ind w:left="0" w:right="0" w:hanging="0"/>
              <w:jc w:val="left"/>
              <w:rPr/>
            </w:pPr>
            <w:r>
              <w:rPr/>
              <w:t> </w:t>
            </w:r>
          </w:p>
        </w:tc>
      </w:tr>
      <w:tr>
        <w:trPr/>
        <w:tc>
          <w:tcPr>
            <w:tcW w:w="3242"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239" w:type="dxa"/>
            <w:tcBorders/>
            <w:shd w:fill="auto" w:val="clear"/>
          </w:tcPr>
          <w:p>
            <w:pPr>
              <w:pStyle w:val="TableContents"/>
              <w:spacing w:before="0" w:after="283"/>
              <w:rPr/>
            </w:pPr>
            <w:r>
              <w:rPr/>
              <w:t xml:space="preserve">  </w:t>
            </w:r>
          </w:p>
        </w:tc>
        <w:tc>
          <w:tcPr>
            <w:tcW w:w="3242"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001-35814</w:t>
            </w:r>
          </w:p>
        </w:tc>
        <w:tc>
          <w:tcPr>
            <w:tcW w:w="239" w:type="dxa"/>
            <w:tcBorders/>
            <w:shd w:fill="auto" w:val="clear"/>
          </w:tcPr>
          <w:p>
            <w:pPr>
              <w:pStyle w:val="TableContents"/>
              <w:spacing w:before="0" w:after="283"/>
              <w:rPr/>
            </w:pPr>
            <w:r>
              <w:rPr/>
              <w:t xml:space="preserve">  </w:t>
            </w:r>
          </w:p>
        </w:tc>
        <w:tc>
          <w:tcPr>
            <w:tcW w:w="3243"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45-0567010</w:t>
            </w:r>
          </w:p>
        </w:tc>
      </w:tr>
      <w:tr>
        <w:trPr/>
        <w:tc>
          <w:tcPr>
            <w:tcW w:w="3242" w:type="dxa"/>
            <w:tcBorders/>
            <w:shd w:fill="auto" w:val="clear"/>
          </w:tcPr>
          <w:p>
            <w:pPr>
              <w:pStyle w:val="TableContents"/>
              <w:spacing w:before="0" w:after="0"/>
              <w:ind w:left="0" w:right="0" w:hanging="0"/>
              <w:jc w:val="left"/>
              <w:rPr/>
            </w:pPr>
            <w:r>
              <w:rPr/>
              <w:t> </w:t>
            </w:r>
          </w:p>
        </w:tc>
        <w:tc>
          <w:tcPr>
            <w:tcW w:w="239" w:type="dxa"/>
            <w:tcBorders/>
            <w:shd w:fill="auto" w:val="clear"/>
          </w:tcPr>
          <w:p>
            <w:pPr>
              <w:pStyle w:val="TableContents"/>
              <w:spacing w:before="0" w:after="0"/>
              <w:ind w:left="0" w:right="0" w:hanging="0"/>
              <w:jc w:val="left"/>
              <w:rPr/>
            </w:pPr>
            <w:r>
              <w:rPr/>
              <w:t> </w:t>
            </w:r>
          </w:p>
        </w:tc>
        <w:tc>
          <w:tcPr>
            <w:tcW w:w="3242" w:type="dxa"/>
            <w:tcBorders/>
            <w:shd w:fill="auto" w:val="clear"/>
          </w:tcPr>
          <w:p>
            <w:pPr>
              <w:pStyle w:val="TableContents"/>
              <w:spacing w:before="0" w:after="0"/>
              <w:ind w:left="0" w:right="0" w:hanging="0"/>
              <w:jc w:val="left"/>
              <w:rPr/>
            </w:pPr>
            <w:r>
              <w:rPr/>
              <w:t> </w:t>
            </w:r>
          </w:p>
        </w:tc>
        <w:tc>
          <w:tcPr>
            <w:tcW w:w="239" w:type="dxa"/>
            <w:tcBorders/>
            <w:shd w:fill="auto" w:val="clear"/>
          </w:tcPr>
          <w:p>
            <w:pPr>
              <w:pStyle w:val="TableContents"/>
              <w:spacing w:before="0" w:after="0"/>
              <w:ind w:left="0" w:right="0" w:hanging="0"/>
              <w:jc w:val="left"/>
              <w:rPr/>
            </w:pPr>
            <w:r>
              <w:rPr/>
              <w:t> </w:t>
            </w:r>
          </w:p>
        </w:tc>
        <w:tc>
          <w:tcPr>
            <w:tcW w:w="3243" w:type="dxa"/>
            <w:tcBorders/>
            <w:shd w:fill="auto" w:val="clear"/>
          </w:tcPr>
          <w:p>
            <w:pPr>
              <w:pStyle w:val="TableContents"/>
              <w:spacing w:before="0" w:after="0"/>
              <w:ind w:left="0" w:right="0" w:hanging="0"/>
              <w:jc w:val="left"/>
              <w:rPr/>
            </w:pPr>
            <w:r>
              <w:rPr/>
              <w:t> </w:t>
            </w:r>
          </w:p>
        </w:tc>
      </w:tr>
      <w:tr>
        <w:trPr/>
        <w:tc>
          <w:tcPr>
            <w:tcW w:w="324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w:t>
            </w:r>
          </w:p>
          <w:p>
            <w:pPr>
              <w:pStyle w:val="TableContents"/>
              <w:spacing w:before="0" w:after="0"/>
              <w:ind w:left="0" w:right="0" w:hanging="0"/>
              <w:jc w:val="center"/>
              <w:rPr>
                <w:rFonts w:ascii="times new roman" w:hAnsi="times new roman"/>
                <w:sz w:val="20"/>
              </w:rPr>
            </w:pPr>
            <w:r>
              <w:rPr>
                <w:rFonts w:ascii="times new roman" w:hAnsi="times new roman"/>
                <w:sz w:val="20"/>
              </w:rPr>
              <w:t>of incorporation)</w:t>
            </w:r>
          </w:p>
        </w:tc>
        <w:tc>
          <w:tcPr>
            <w:tcW w:w="239" w:type="dxa"/>
            <w:tcBorders/>
            <w:shd w:fill="auto" w:val="clear"/>
          </w:tcPr>
          <w:p>
            <w:pPr>
              <w:pStyle w:val="TableContents"/>
              <w:spacing w:before="0" w:after="283"/>
              <w:rPr/>
            </w:pPr>
            <w:r>
              <w:rPr/>
              <w:t xml:space="preserve">  </w:t>
            </w:r>
          </w:p>
        </w:tc>
        <w:tc>
          <w:tcPr>
            <w:tcW w:w="324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239" w:type="dxa"/>
            <w:tcBorders/>
            <w:shd w:fill="auto" w:val="clear"/>
          </w:tcPr>
          <w:p>
            <w:pPr>
              <w:pStyle w:val="TableContents"/>
              <w:spacing w:before="0" w:after="283"/>
              <w:rPr/>
            </w:pPr>
            <w:r>
              <w:rPr/>
              <w:t xml:space="preserve">  </w:t>
            </w:r>
          </w:p>
        </w:tc>
        <w:tc>
          <w:tcPr>
            <w:tcW w:w="3243"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981"/>
        <w:gridCol w:w="242"/>
        <w:gridCol w:w="4982"/>
      </w:tblGrid>
      <w:tr>
        <w:trPr/>
        <w:tc>
          <w:tcPr>
            <w:tcW w:w="4981" w:type="dxa"/>
            <w:tcBorders/>
            <w:shd w:fill="auto" w:val="clear"/>
          </w:tcPr>
          <w:p>
            <w:pPr>
              <w:pStyle w:val="TableContents"/>
              <w:spacing w:before="0" w:after="0"/>
              <w:ind w:left="0" w:right="0" w:hanging="0"/>
              <w:jc w:val="left"/>
              <w:rPr/>
            </w:pPr>
            <w:r>
              <w:rPr/>
              <w:t> </w:t>
            </w:r>
          </w:p>
        </w:tc>
        <w:tc>
          <w:tcPr>
            <w:tcW w:w="242" w:type="dxa"/>
            <w:tcBorders/>
            <w:shd w:fill="auto" w:val="clear"/>
          </w:tcPr>
          <w:p>
            <w:pPr>
              <w:pStyle w:val="TableContents"/>
              <w:spacing w:before="0" w:after="0"/>
              <w:ind w:left="0" w:right="0" w:hanging="0"/>
              <w:jc w:val="left"/>
              <w:rPr/>
            </w:pPr>
            <w:r>
              <w:rPr/>
              <w:t> </w:t>
            </w:r>
          </w:p>
        </w:tc>
        <w:tc>
          <w:tcPr>
            <w:tcW w:w="4982" w:type="dxa"/>
            <w:tcBorders/>
            <w:shd w:fill="auto" w:val="clear"/>
          </w:tcPr>
          <w:p>
            <w:pPr>
              <w:pStyle w:val="TableContents"/>
              <w:spacing w:before="0" w:after="0"/>
              <w:ind w:left="0" w:right="0" w:hanging="0"/>
              <w:jc w:val="left"/>
              <w:rPr/>
            </w:pPr>
            <w:r>
              <w:rPr/>
              <w:t> </w:t>
            </w:r>
          </w:p>
        </w:tc>
      </w:tr>
      <w:tr>
        <w:trPr/>
        <w:tc>
          <w:tcPr>
            <w:tcW w:w="4981"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437 South Hwy 101, Suite 209</w:t>
            </w:r>
          </w:p>
        </w:tc>
        <w:tc>
          <w:tcPr>
            <w:tcW w:w="242" w:type="dxa"/>
            <w:tcBorders/>
            <w:shd w:fill="auto" w:val="clear"/>
          </w:tcPr>
          <w:p>
            <w:pPr>
              <w:pStyle w:val="TableContents"/>
              <w:spacing w:before="0" w:after="283"/>
              <w:rPr/>
            </w:pPr>
            <w:r>
              <w:rPr/>
              <w:t xml:space="preserve">  </w:t>
            </w:r>
          </w:p>
        </w:tc>
        <w:tc>
          <w:tcPr>
            <w:tcW w:w="4982" w:type="dxa"/>
            <w:tcBorders/>
            <w:shd w:fill="auto" w:val="clear"/>
          </w:tcPr>
          <w:p>
            <w:pPr>
              <w:pStyle w:val="TableContents"/>
              <w:spacing w:before="0" w:after="0"/>
              <w:ind w:left="0" w:right="0" w:hanging="0"/>
              <w:jc w:val="center"/>
              <w:rPr/>
            </w:pPr>
            <w:r>
              <w:rPr/>
              <w:t> </w:t>
            </w:r>
          </w:p>
        </w:tc>
      </w:tr>
      <w:tr>
        <w:trPr/>
        <w:tc>
          <w:tcPr>
            <w:tcW w:w="4981"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Solana Beach, CA</w:t>
            </w:r>
          </w:p>
        </w:tc>
        <w:tc>
          <w:tcPr>
            <w:tcW w:w="242" w:type="dxa"/>
            <w:tcBorders/>
            <w:shd w:fill="auto" w:val="clear"/>
          </w:tcPr>
          <w:p>
            <w:pPr>
              <w:pStyle w:val="TableContents"/>
              <w:spacing w:before="0" w:after="283"/>
              <w:rPr/>
            </w:pPr>
            <w:r>
              <w:rPr/>
              <w:t xml:space="preserve">  </w:t>
            </w:r>
          </w:p>
        </w:tc>
        <w:tc>
          <w:tcPr>
            <w:tcW w:w="4982" w:type="dxa"/>
            <w:tcBorders>
              <w:bottom w:val="single" w:sz="12" w:space="0" w:color="000000"/>
            </w:tcBorders>
            <w:shd w:fill="auto" w:val="clear"/>
            <w:tcMar>
              <w:bottom w:w="28" w:type="dxa"/>
            </w:tcMar>
          </w:tcPr>
          <w:p>
            <w:pPr>
              <w:pStyle w:val="TableContents"/>
              <w:spacing w:before="0" w:after="283"/>
              <w:jc w:val="center"/>
              <w:rPr/>
            </w:pPr>
            <w:r>
              <w:rPr/>
              <w:t> </w:t>
            </w:r>
            <w:r>
              <w:rPr>
                <w:rFonts w:ascii="times new roman" w:hAnsi="times new roman"/>
                <w:b/>
                <w:sz w:val="20"/>
              </w:rPr>
              <w:t>92075</w:t>
            </w:r>
          </w:p>
        </w:tc>
      </w:tr>
      <w:tr>
        <w:trPr/>
        <w:tc>
          <w:tcPr>
            <w:tcW w:w="498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242" w:type="dxa"/>
            <w:tcBorders/>
            <w:shd w:fill="auto" w:val="clear"/>
          </w:tcPr>
          <w:p>
            <w:pPr>
              <w:pStyle w:val="TableContents"/>
              <w:spacing w:before="0" w:after="283"/>
              <w:rPr/>
            </w:pPr>
            <w:r>
              <w:rPr/>
              <w:t xml:space="preserve">  </w:t>
            </w:r>
          </w:p>
        </w:tc>
        <w:tc>
          <w:tcPr>
            <w:tcW w:w="498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Registrant’s telephone number, including area code: </w:t>
      </w:r>
      <w:r>
        <w:rPr>
          <w:rFonts w:ascii="Times New Roman" w:hAnsi="Times New Roman"/>
          <w:b/>
          <w:sz w:val="20"/>
        </w:rPr>
        <w:t>(858) 704-4040</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N/A</w:t>
            </w:r>
          </w:p>
        </w:tc>
      </w:tr>
      <w:tr>
        <w:trPr/>
        <w:tc>
          <w:tcPr>
            <w:tcW w:w="1020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48"/>
        <w:gridCol w:w="125"/>
        <w:gridCol w:w="9832"/>
      </w:tblGrid>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248" w:type="dxa"/>
            <w:tcBorders/>
            <w:shd w:fill="auto" w:val="clear"/>
            <w:vAlign w:val="center"/>
          </w:tcPr>
          <w:p>
            <w:pPr>
              <w:pStyle w:val="TableContents"/>
              <w:spacing w:before="0" w:after="283"/>
              <w:jc w:val="left"/>
              <w:rPr/>
            </w:pPr>
            <w:r>
              <w:rPr/>
              <w:t xml:space="preserve">  </w:t>
            </w:r>
          </w:p>
        </w:tc>
        <w:tc>
          <w:tcPr>
            <w:tcW w:w="125" w:type="dxa"/>
            <w:tcBorders/>
            <w:shd w:fill="auto" w:val="clear"/>
            <w:vAlign w:val="center"/>
          </w:tcPr>
          <w:p>
            <w:pPr>
              <w:pStyle w:val="TableContents"/>
              <w:spacing w:before="0" w:after="283"/>
              <w:rPr/>
            </w:pPr>
            <w:r>
              <w:rPr/>
              <w:t xml:space="preserve">  </w:t>
            </w:r>
          </w:p>
        </w:tc>
        <w:tc>
          <w:tcPr>
            <w:tcW w:w="9832" w:type="dxa"/>
            <w:tcBorders/>
            <w:shd w:fill="auto" w:val="clear"/>
            <w:vAlign w:val="center"/>
          </w:tcPr>
          <w:p>
            <w:pPr>
              <w:pStyle w:val="TableContents"/>
              <w:spacing w:before="0" w:after="283"/>
              <w:rPr/>
            </w:pPr>
            <w:r>
              <w:rPr/>
              <w:t xml:space="preserve">  </w:t>
            </w:r>
          </w:p>
        </w:tc>
      </w:tr>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248" w:type="dxa"/>
            <w:tcBorders/>
            <w:shd w:fill="auto" w:val="clear"/>
            <w:vAlign w:val="center"/>
          </w:tcPr>
          <w:p>
            <w:pPr>
              <w:pStyle w:val="TableContents"/>
              <w:spacing w:before="0" w:after="283"/>
              <w:jc w:val="left"/>
              <w:rPr/>
            </w:pPr>
            <w:r>
              <w:rPr/>
              <w:t xml:space="preserve">  </w:t>
            </w:r>
          </w:p>
        </w:tc>
        <w:tc>
          <w:tcPr>
            <w:tcW w:w="125" w:type="dxa"/>
            <w:tcBorders/>
            <w:shd w:fill="auto" w:val="clear"/>
            <w:vAlign w:val="center"/>
          </w:tcPr>
          <w:p>
            <w:pPr>
              <w:pStyle w:val="TableContents"/>
              <w:spacing w:before="0" w:after="283"/>
              <w:rPr/>
            </w:pPr>
            <w:r>
              <w:rPr/>
              <w:t xml:space="preserve">  </w:t>
            </w:r>
          </w:p>
        </w:tc>
        <w:tc>
          <w:tcPr>
            <w:tcW w:w="9832" w:type="dxa"/>
            <w:tcBorders/>
            <w:shd w:fill="auto" w:val="clear"/>
            <w:vAlign w:val="center"/>
          </w:tcPr>
          <w:p>
            <w:pPr>
              <w:pStyle w:val="TableContents"/>
              <w:spacing w:before="0" w:after="283"/>
              <w:rPr/>
            </w:pPr>
            <w:r>
              <w:rPr/>
              <w:t xml:space="preserve">  </w:t>
            </w:r>
          </w:p>
        </w:tc>
      </w:tr>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248" w:type="dxa"/>
            <w:tcBorders/>
            <w:shd w:fill="auto" w:val="clear"/>
            <w:vAlign w:val="center"/>
          </w:tcPr>
          <w:p>
            <w:pPr>
              <w:pStyle w:val="TableContents"/>
              <w:spacing w:before="0" w:after="283"/>
              <w:jc w:val="left"/>
              <w:rPr/>
            </w:pPr>
            <w:r>
              <w:rPr/>
              <w:t xml:space="preserve">  </w:t>
            </w:r>
          </w:p>
        </w:tc>
        <w:tc>
          <w:tcPr>
            <w:tcW w:w="125" w:type="dxa"/>
            <w:tcBorders/>
            <w:shd w:fill="auto" w:val="clear"/>
            <w:vAlign w:val="center"/>
          </w:tcPr>
          <w:p>
            <w:pPr>
              <w:pStyle w:val="TableContents"/>
              <w:spacing w:before="0" w:after="283"/>
              <w:rPr/>
            </w:pPr>
            <w:r>
              <w:rPr/>
              <w:t xml:space="preserve">  </w:t>
            </w:r>
          </w:p>
        </w:tc>
        <w:tc>
          <w:tcPr>
            <w:tcW w:w="9832" w:type="dxa"/>
            <w:tcBorders/>
            <w:shd w:fill="auto" w:val="clear"/>
            <w:vAlign w:val="center"/>
          </w:tcPr>
          <w:p>
            <w:pPr>
              <w:pStyle w:val="TableContents"/>
              <w:spacing w:before="0" w:after="283"/>
              <w:rPr/>
            </w:pPr>
            <w:r>
              <w:rPr/>
              <w:t xml:space="preserve">  </w:t>
            </w:r>
          </w:p>
        </w:tc>
      </w:tr>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0" w:after="0"/>
        <w:ind w:left="0" w:right="0" w:hanging="0"/>
        <w:rPr/>
      </w:pPr>
      <w:r>
        <w:rPr/>
      </w:r>
    </w:p>
    <w:p>
      <w:pPr>
        <w:pStyle w:val="TextBody"/>
        <w:spacing w:before="0" w:after="0"/>
        <w:ind w:left="0" w:right="0" w:hanging="0"/>
        <w:rPr/>
      </w:pPr>
      <w:r>
        <w:rPr/>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1.01.  Entry into a Material Definitive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February 18, 2013, Imprimis Pharmaceuticals, Inc. (the “Company”) entered into a Strategic Alliance Agreement (the “Agreement) with Professional Compounding Centers of America, Inc. (“PCCA”).</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Under the Agreement, PCCA has agreed that during the term of the Agreement, it will not introduce any of PCCA’s members or customers meeting certain criteria (the “Member/Customers”) to any third party whereby such third party licenses or otherwise acquires the intellectual property rights of such Member/Customer, without first presenting such an opportunity to the Company.   PCCA may, but is not required to,  present such opportunities to the Company, use reasonable efforts to facilitate an introductory meeting between the Member/Customer and the Company, and to further provide certain key technical assistance to a potential development project associated with the Member/Customer’s intellectual property rights.  In the event the Company and a Member/Customer introduced to the Company by PCCA enter into a commercial agreement for the license or acquisition of  the intellectual property rights owned by the Member/Customer, PCCA will be entitled to receive certain cash fees up to an aggregate of $100,000, as well as a commission based on net sales, if any, generated by the Company as a result of the acquired intellectual property rights.  The Agreement has a term of one year and is automatically extended for successive one year periods unless either party gives the other written notice of non-renewal.</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One member of the Company’s Board of Directors, August Bassani, is Vice-President of Consulting, R&amp;D and Formulations at PCCA. Mr. Bassani did not participate in negotiations related to the Agreement and does not have a material pecuniary interest in the transactions contemplated by the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foregoing description of the Agreement does not purport to be complete and is qualified in its entirety by reference to the full text of the Agreement.  A copy of the Agreement is attached as an Exhibit 10.1 to this Current Report on Form 8-K, and is incorporated herein by reference.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9.01.  Financial Statements and Exhibits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           Exhibits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 w:name="hangingindent"/>
      <w:bookmarkStart w:id="5" w:name="hangingindent"/>
      <w:bookmarkEnd w:id="5"/>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rPr/>
            </w:pPr>
            <w:hyperlink w:anchor="imm_ex101.htm">
              <w:r>
                <w:rPr>
                  <w:rStyle w:val="InternetLink"/>
                  <w:rFonts w:ascii="Times New Roman" w:hAnsi="Times New Roman"/>
                  <w:sz w:val="20"/>
                </w:rPr>
                <w:t>10.1</w:t>
              </w:r>
            </w:hyperlink>
          </w:p>
        </w:tc>
        <w:tc>
          <w:tcPr>
            <w:tcW w:w="982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Strategic Alliance Agreement, dated February 18, 2013, by and between the Company and Professional Compounding Centers of America, Inc.</w:t>
            </w:r>
          </w:p>
        </w:tc>
      </w:tr>
    </w:tbl>
    <w:p>
      <w:pPr>
        <w:pStyle w:val="TextBody"/>
        <w:spacing w:before="0" w:after="0"/>
        <w:ind w:left="0" w:right="0" w:hanging="0"/>
        <w:jc w:val="both"/>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 w:name="PGBRK"/>
      <w:bookmarkStart w:id="7" w:name="PGBRK"/>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FTR"/>
      <w:bookmarkStart w:id="9" w:name="FT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 w:name="GLFTR"/>
      <w:bookmarkEnd w:id="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 w:name="PN"/>
      <w:bookmarkEnd w:id="11"/>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 w:name="HDR"/>
      <w:bookmarkStart w:id="13" w:name="HD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 w:name="GLHDR"/>
      <w:bookmarkEnd w:id="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46"/>
        <w:gridCol w:w="369"/>
        <w:gridCol w:w="3727"/>
        <w:gridCol w:w="1163"/>
      </w:tblGrid>
      <w:tr>
        <w:trPr/>
        <w:tc>
          <w:tcPr>
            <w:tcW w:w="4946" w:type="dxa"/>
            <w:tcBorders/>
            <w:shd w:fill="auto" w:val="clear"/>
          </w:tcPr>
          <w:p>
            <w:pPr>
              <w:pStyle w:val="TableContents"/>
              <w:spacing w:before="0" w:after="283"/>
              <w:rPr/>
            </w:pPr>
            <w:r>
              <w:rPr/>
              <w:t> </w:t>
            </w:r>
          </w:p>
        </w:tc>
        <w:tc>
          <w:tcPr>
            <w:tcW w:w="4096"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IMPRIMIS PHARMACEUTICALS, INC.</w:t>
            </w:r>
          </w:p>
        </w:tc>
        <w:tc>
          <w:tcPr>
            <w:tcW w:w="1163" w:type="dxa"/>
            <w:tcBorders/>
            <w:shd w:fill="auto" w:val="clear"/>
          </w:tcPr>
          <w:p>
            <w:pPr>
              <w:pStyle w:val="TableContents"/>
              <w:spacing w:before="0" w:after="283"/>
              <w:rPr/>
            </w:pPr>
            <w:r>
              <w:rPr/>
              <w:t> </w:t>
            </w:r>
          </w:p>
        </w:tc>
      </w:tr>
      <w:tr>
        <w:trPr/>
        <w:tc>
          <w:tcPr>
            <w:tcW w:w="4946" w:type="dxa"/>
            <w:tcBorders/>
            <w:shd w:fill="auto" w:val="clear"/>
          </w:tcPr>
          <w:p>
            <w:pPr>
              <w:pStyle w:val="TableContents"/>
              <w:spacing w:before="0" w:after="283"/>
              <w:rPr/>
            </w:pPr>
            <w:r>
              <w:rPr/>
              <w:t> </w:t>
            </w:r>
          </w:p>
        </w:tc>
        <w:tc>
          <w:tcPr>
            <w:tcW w:w="369" w:type="dxa"/>
            <w:tcBorders/>
            <w:shd w:fill="auto" w:val="clear"/>
          </w:tcPr>
          <w:p>
            <w:pPr>
              <w:pStyle w:val="TableContents"/>
              <w:spacing w:before="0" w:after="283"/>
              <w:rPr/>
            </w:pPr>
            <w:r>
              <w:rPr/>
              <w:t> </w:t>
            </w:r>
          </w:p>
        </w:tc>
        <w:tc>
          <w:tcPr>
            <w:tcW w:w="3727" w:type="dxa"/>
            <w:tcBorders/>
            <w:shd w:fill="auto" w:val="clear"/>
          </w:tcPr>
          <w:p>
            <w:pPr>
              <w:pStyle w:val="TableContents"/>
              <w:spacing w:before="0" w:after="283"/>
              <w:rPr/>
            </w:pPr>
            <w:r>
              <w:rPr/>
              <w:t> </w:t>
            </w:r>
          </w:p>
        </w:tc>
        <w:tc>
          <w:tcPr>
            <w:tcW w:w="1163" w:type="dxa"/>
            <w:tcBorders/>
            <w:shd w:fill="auto" w:val="clear"/>
          </w:tcPr>
          <w:p>
            <w:pPr>
              <w:pStyle w:val="TableContents"/>
              <w:spacing w:before="0" w:after="283"/>
              <w:rPr/>
            </w:pPr>
            <w:r>
              <w:rPr/>
              <w:t> </w:t>
            </w:r>
          </w:p>
        </w:tc>
      </w:tr>
      <w:tr>
        <w:trPr/>
        <w:tc>
          <w:tcPr>
            <w:tcW w:w="4946"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February 21, 2013 </w:t>
            </w:r>
          </w:p>
        </w:tc>
        <w:tc>
          <w:tcPr>
            <w:tcW w:w="369"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727"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Mark L. Baum</w:t>
            </w:r>
          </w:p>
        </w:tc>
        <w:tc>
          <w:tcPr>
            <w:tcW w:w="1163" w:type="dxa"/>
            <w:tcBorders>
              <w:bottom w:val="single" w:sz="4" w:space="0" w:color="FFFFFF"/>
            </w:tcBorders>
            <w:shd w:fill="auto" w:val="clear"/>
            <w:tcMar>
              <w:bottom w:w="28" w:type="dxa"/>
            </w:tcMar>
          </w:tcPr>
          <w:p>
            <w:pPr>
              <w:pStyle w:val="TableContents"/>
              <w:spacing w:before="0" w:after="283"/>
              <w:rPr/>
            </w:pPr>
            <w:r>
              <w:rPr/>
              <w:t> </w:t>
            </w:r>
          </w:p>
        </w:tc>
      </w:tr>
      <w:tr>
        <w:trPr/>
        <w:tc>
          <w:tcPr>
            <w:tcW w:w="4946" w:type="dxa"/>
            <w:tcBorders/>
            <w:shd w:fill="auto" w:val="clear"/>
          </w:tcPr>
          <w:p>
            <w:pPr>
              <w:pStyle w:val="TableContents"/>
              <w:spacing w:before="0" w:after="283"/>
              <w:rPr/>
            </w:pPr>
            <w:r>
              <w:rPr/>
              <w:t> </w:t>
            </w:r>
          </w:p>
        </w:tc>
        <w:tc>
          <w:tcPr>
            <w:tcW w:w="369" w:type="dxa"/>
            <w:tcBorders/>
            <w:shd w:fill="auto" w:val="clear"/>
          </w:tcPr>
          <w:p>
            <w:pPr>
              <w:pStyle w:val="TableContents"/>
              <w:spacing w:before="0" w:after="283"/>
              <w:rPr/>
            </w:pPr>
            <w:r>
              <w:rPr/>
              <w:t> </w:t>
            </w:r>
          </w:p>
        </w:tc>
        <w:tc>
          <w:tcPr>
            <w:tcW w:w="37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Mark L. Baum</w:t>
            </w:r>
          </w:p>
        </w:tc>
        <w:tc>
          <w:tcPr>
            <w:tcW w:w="1163" w:type="dxa"/>
            <w:tcBorders/>
            <w:shd w:fill="auto" w:val="clear"/>
          </w:tcPr>
          <w:p>
            <w:pPr>
              <w:pStyle w:val="TableContents"/>
              <w:spacing w:before="0" w:after="283"/>
              <w:rPr/>
            </w:pPr>
            <w:r>
              <w:rPr/>
              <w:t> </w:t>
            </w:r>
          </w:p>
        </w:tc>
      </w:tr>
      <w:tr>
        <w:trPr/>
        <w:tc>
          <w:tcPr>
            <w:tcW w:w="4946" w:type="dxa"/>
            <w:tcBorders/>
            <w:shd w:fill="auto" w:val="clear"/>
          </w:tcPr>
          <w:p>
            <w:pPr>
              <w:pStyle w:val="TableContents"/>
              <w:spacing w:before="0" w:after="283"/>
              <w:rPr/>
            </w:pPr>
            <w:r>
              <w:rPr/>
              <w:t> </w:t>
            </w:r>
          </w:p>
        </w:tc>
        <w:tc>
          <w:tcPr>
            <w:tcW w:w="369" w:type="dxa"/>
            <w:tcBorders/>
            <w:shd w:fill="auto" w:val="clear"/>
          </w:tcPr>
          <w:p>
            <w:pPr>
              <w:pStyle w:val="TableContents"/>
              <w:spacing w:before="0" w:after="283"/>
              <w:rPr/>
            </w:pPr>
            <w:r>
              <w:rPr/>
              <w:t> </w:t>
            </w:r>
          </w:p>
        </w:tc>
        <w:tc>
          <w:tcPr>
            <w:tcW w:w="3727"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c>
          <w:tcPr>
            <w:tcW w:w="1163" w:type="dxa"/>
            <w:tcBorders/>
            <w:shd w:fill="auto" w:val="clear"/>
          </w:tcPr>
          <w:p>
            <w:pPr>
              <w:pStyle w:val="TableContents"/>
              <w:spacing w:before="0" w:after="283"/>
              <w:rPr/>
            </w:pPr>
            <w:r>
              <w:rPr/>
              <w:t> </w:t>
            </w:r>
          </w:p>
        </w:tc>
      </w:tr>
      <w:tr>
        <w:trPr/>
        <w:tc>
          <w:tcPr>
            <w:tcW w:w="4946" w:type="dxa"/>
            <w:tcBorders/>
            <w:shd w:fill="auto" w:val="clear"/>
          </w:tcPr>
          <w:p>
            <w:pPr>
              <w:pStyle w:val="TableContents"/>
              <w:spacing w:before="0" w:after="283"/>
              <w:rPr/>
            </w:pPr>
            <w:r>
              <w:rPr/>
              <w:t> </w:t>
            </w:r>
          </w:p>
        </w:tc>
        <w:tc>
          <w:tcPr>
            <w:tcW w:w="369" w:type="dxa"/>
            <w:tcBorders/>
            <w:shd w:fill="auto" w:val="clear"/>
          </w:tcPr>
          <w:p>
            <w:pPr>
              <w:pStyle w:val="TableContents"/>
              <w:spacing w:before="0" w:after="283"/>
              <w:rPr/>
            </w:pPr>
            <w:r>
              <w:rPr/>
              <w:t> </w:t>
            </w:r>
          </w:p>
        </w:tc>
        <w:tc>
          <w:tcPr>
            <w:tcW w:w="3727" w:type="dxa"/>
            <w:tcBorders/>
            <w:shd w:fill="auto" w:val="clear"/>
          </w:tcPr>
          <w:p>
            <w:pPr>
              <w:pStyle w:val="TableContents"/>
              <w:spacing w:before="0" w:after="283"/>
              <w:rPr/>
            </w:pPr>
            <w:r>
              <w:rPr/>
              <w:t> </w:t>
            </w:r>
          </w:p>
        </w:tc>
        <w:tc>
          <w:tcPr>
            <w:tcW w:w="1163" w:type="dxa"/>
            <w:tcBorders/>
            <w:shd w:fill="auto" w:val="clear"/>
          </w:tcPr>
          <w:p>
            <w:pPr>
              <w:pStyle w:val="TableContents"/>
              <w:spacing w:before="0" w:after="283"/>
              <w:rPr/>
            </w:pPr>
            <w:r>
              <w:rPr/>
              <w:t> </w:t>
            </w:r>
          </w:p>
        </w:tc>
      </w:tr>
    </w:tbl>
    <w:p>
      <w:pPr>
        <w:pStyle w:val="TextBody"/>
        <w:rPr/>
      </w:pPr>
      <w:r>
        <w:rPr/>
      </w:r>
      <w:r>
        <w:br w:type="page"/>
      </w:r>
    </w:p>
    <w:p>
      <w:pPr>
        <w:pStyle w:val="TextBody"/>
        <w:spacing w:before="0" w:after="0"/>
        <w:ind w:left="0" w:right="0" w:hanging="0"/>
        <w:jc w:val="right"/>
        <w:rPr>
          <w:rFonts w:ascii="Times New Roman" w:hAnsi="Times New Roman"/>
          <w:b/>
          <w:sz w:val="20"/>
        </w:rPr>
      </w:pPr>
      <w:bookmarkStart w:id="15" w:name="imm_ex101.htm"/>
      <w:bookmarkStart w:id="16" w:name="ksimm_ex101"/>
      <w:bookmarkEnd w:id="15"/>
      <w:bookmarkEnd w:id="16"/>
      <w:r>
        <w:rPr>
          <w:rFonts w:ascii="Times New Roman" w:hAnsi="Times New Roman"/>
          <w:b/>
          <w:sz w:val="20"/>
        </w:rPr>
        <w:t>EXHIBIT 10.1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STRATEGIC ALLIANCE AGREEMENT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THIS STRATEGIC ALLIANCE AGREEMENT (this “Agreement”), effective as of February 18, 2013, 2013 (the “Effective Date”), is entered into between IMPRIMIS PHARMACEUTICALS, INC., a Delaware corporation (“Imprimis”), having a place of business at 437 South Highway 101, Suite 209, Solana Beach, California 92075, and PROFESSIONAL COMPOUNDING CENTERS OF AMERICA, INC., a Texas corporation (“PCCA”), having a place of business at 9901 South Wilcrest Drive, Houston, Texas 77099.  The parties hereby agree as follows:</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1.</w:t>
      </w:r>
      <w:bookmarkStart w:id="17" w:name="TAB2"/>
      <w:bookmarkEnd w:id="17"/>
      <w:r>
        <w:rPr>
          <w:color w:val="000000"/>
          <w:spacing w:val="180"/>
        </w:rPr>
        <w:t> </w:t>
      </w:r>
      <w:r>
        <w:rPr>
          <w:rFonts w:ascii="Times New Roman" w:hAnsi="Times New Roman"/>
          <w:sz w:val="20"/>
          <w:u w:val="single"/>
        </w:rPr>
        <w:t>DEFINITIONS.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For purposes of this Agreement, the terms set forth in this Section 1 shall have the respective meanings set forth below:</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1.1</w:t>
      </w:r>
      <w:bookmarkStart w:id="18" w:name="TAB21"/>
      <w:bookmarkEnd w:id="18"/>
      <w:r>
        <w:rPr>
          <w:color w:val="000000"/>
          <w:spacing w:val="180"/>
        </w:rPr>
        <w:t> </w:t>
      </w:r>
      <w:r>
        <w:rPr/>
        <w:t>“</w:t>
      </w:r>
      <w:r>
        <w:rPr>
          <w:rFonts w:ascii="Times New Roman" w:hAnsi="Times New Roman"/>
          <w:sz w:val="20"/>
          <w:u w:val="single"/>
        </w:rPr>
        <w:t>Affiliate</w:t>
      </w:r>
      <w:r>
        <w:rPr>
          <w:rFonts w:ascii="Times New Roman" w:hAnsi="Times New Roman"/>
          <w:sz w:val="20"/>
        </w:rPr>
        <w:t>” shall mean,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1.2</w:t>
      </w:r>
      <w:bookmarkStart w:id="19" w:name="TAB22"/>
      <w:bookmarkEnd w:id="19"/>
      <w:r>
        <w:rPr>
          <w:color w:val="000000"/>
          <w:spacing w:val="180"/>
        </w:rPr>
        <w:t> </w:t>
      </w:r>
      <w:r>
        <w:rPr/>
        <w:t>“</w:t>
      </w:r>
      <w:r>
        <w:rPr>
          <w:rFonts w:ascii="Times New Roman" w:hAnsi="Times New Roman"/>
          <w:sz w:val="20"/>
          <w:u w:val="single"/>
        </w:rPr>
        <w:t>Commission</w:t>
      </w:r>
      <w:r>
        <w:rPr>
          <w:rFonts w:ascii="Times New Roman" w:hAnsi="Times New Roman"/>
          <w:sz w:val="20"/>
        </w:rPr>
        <w:t>” shall mean the commission calculated in accordance with Section 4.1.</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1.3</w:t>
      </w:r>
      <w:bookmarkStart w:id="20" w:name="TAB23"/>
      <w:bookmarkEnd w:id="20"/>
      <w:r>
        <w:rPr>
          <w:color w:val="000000"/>
          <w:spacing w:val="180"/>
        </w:rPr>
        <w:t> </w:t>
      </w:r>
      <w:r>
        <w:rPr/>
        <w:t>“</w:t>
      </w:r>
      <w:r>
        <w:rPr>
          <w:rFonts w:ascii="Times New Roman" w:hAnsi="Times New Roman"/>
          <w:sz w:val="20"/>
          <w:u w:val="single"/>
        </w:rPr>
        <w:t>Cost of Goods Sold</w:t>
      </w:r>
      <w:r>
        <w:rPr>
          <w:rFonts w:ascii="Times New Roman" w:hAnsi="Times New Roman"/>
          <w:sz w:val="20"/>
        </w:rPr>
        <w:t>” shall mean, with respect to a Licensed Product, the cost to Imprimis and its Affiliates incurred or accrued in connection with (a) if (and only if) such Licensed Product is not manufactured by Imprimis, its successor or assignee, the production, inventory and supply of such Licensed Product, and (b) if (and only if) Imprimis co-promotes or co-markets such Licensed Product with any Third Party, the promotion, marketing, distribution and sale (including applicable sales commissions) of such Licensed Product.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1.4</w:t>
      </w:r>
      <w:bookmarkStart w:id="21" w:name="TAB24"/>
      <w:bookmarkEnd w:id="21"/>
      <w:r>
        <w:rPr>
          <w:color w:val="000000"/>
          <w:spacing w:val="180"/>
        </w:rPr>
        <w:t> </w:t>
      </w:r>
      <w:r>
        <w:rPr/>
        <w:t>“</w:t>
      </w:r>
      <w:r>
        <w:rPr>
          <w:rFonts w:ascii="Times New Roman" w:hAnsi="Times New Roman"/>
          <w:sz w:val="20"/>
          <w:u w:val="single"/>
        </w:rPr>
        <w:t>Development Recovery Amount</w:t>
      </w:r>
      <w:r>
        <w:rPr>
          <w:rFonts w:ascii="Times New Roman" w:hAnsi="Times New Roman"/>
          <w:sz w:val="20"/>
        </w:rPr>
        <w:t>” shall mean, with respect to any Licensed Product, the cost to Imprimis or its Affiliates incurred or accrued in connection with the research, development, production and regulatory approval of such Licensed Product.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1.5</w:t>
      </w:r>
      <w:bookmarkStart w:id="22" w:name="TAB25"/>
      <w:bookmarkEnd w:id="22"/>
      <w:r>
        <w:rPr>
          <w:color w:val="000000"/>
          <w:spacing w:val="180"/>
        </w:rPr>
        <w:t> </w:t>
      </w:r>
      <w:r>
        <w:rPr/>
        <w:t>“</w:t>
      </w:r>
      <w:r>
        <w:rPr>
          <w:rFonts w:ascii="Times New Roman" w:hAnsi="Times New Roman"/>
          <w:sz w:val="20"/>
          <w:u w:val="single"/>
        </w:rPr>
        <w:t>Identified Member/Customer</w:t>
      </w:r>
      <w:r>
        <w:rPr>
          <w:rFonts w:ascii="Times New Roman" w:hAnsi="Times New Roman"/>
          <w:sz w:val="20"/>
        </w:rPr>
        <w:t>” shall mean a Member/Customer designated as such in accordance with Section 3.2 and specifically listed on Exhibit A (as amended from time to time in accordance with Section 3.2).</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1.6</w:t>
      </w:r>
      <w:bookmarkStart w:id="23" w:name="TAB26"/>
      <w:bookmarkEnd w:id="23"/>
      <w:r>
        <w:rPr>
          <w:color w:val="000000"/>
          <w:spacing w:val="180"/>
        </w:rPr>
        <w:t> </w:t>
      </w:r>
      <w:r>
        <w:rPr/>
        <w:t>“</w:t>
      </w:r>
      <w:r>
        <w:rPr>
          <w:rFonts w:ascii="Times New Roman" w:hAnsi="Times New Roman"/>
          <w:sz w:val="20"/>
          <w:u w:val="single"/>
        </w:rPr>
        <w:t>Licensed IP Rights</w:t>
      </w:r>
      <w:r>
        <w:rPr>
          <w:rFonts w:ascii="Times New Roman" w:hAnsi="Times New Roman"/>
          <w:sz w:val="20"/>
        </w:rPr>
        <w:t>” shall mean, with respect to a Licensor, those patent rights or other intellectual property rights of such Licensor that are licensed to Imprimis pursuant to a Successful Transaction.</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1.7</w:t>
      </w:r>
      <w:bookmarkStart w:id="24" w:name="TAB27"/>
      <w:bookmarkEnd w:id="24"/>
      <w:r>
        <w:rPr>
          <w:color w:val="000000"/>
          <w:spacing w:val="180"/>
        </w:rPr>
        <w:t> </w:t>
      </w:r>
      <w:r>
        <w:rPr/>
        <w:t>“</w:t>
      </w:r>
      <w:r>
        <w:rPr>
          <w:rFonts w:ascii="Times New Roman" w:hAnsi="Times New Roman"/>
          <w:sz w:val="20"/>
          <w:u w:val="single"/>
        </w:rPr>
        <w:t>Licensed Product</w:t>
      </w:r>
      <w:r>
        <w:rPr>
          <w:rFonts w:ascii="Times New Roman" w:hAnsi="Times New Roman"/>
          <w:sz w:val="20"/>
        </w:rPr>
        <w:t>” shall mean, with respect to a Licensor, a product sold by Imprimis, its Sublicensee or their respective Affiliates which, if sold absent the license or other right, title or interest acquired in the applicable Licensed IP Rights pursuant to the applicable Successful Transaction, would infringe a Valid Claim of such Licensed IP Rights.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1.8</w:t>
      </w:r>
      <w:bookmarkStart w:id="25" w:name="TAB28"/>
      <w:bookmarkEnd w:id="25"/>
      <w:r>
        <w:rPr>
          <w:color w:val="000000"/>
          <w:spacing w:val="180"/>
        </w:rPr>
        <w:t> </w:t>
      </w:r>
      <w:r>
        <w:rPr/>
        <w:t>“</w:t>
      </w:r>
      <w:r>
        <w:rPr>
          <w:rFonts w:ascii="Times New Roman" w:hAnsi="Times New Roman"/>
          <w:sz w:val="20"/>
          <w:u w:val="single"/>
        </w:rPr>
        <w:t>Licensor</w:t>
      </w:r>
      <w:r>
        <w:rPr>
          <w:rFonts w:ascii="Times New Roman" w:hAnsi="Times New Roman"/>
          <w:sz w:val="20"/>
        </w:rPr>
        <w:t>” shall mean an Identified Member/Customer (or its Affiliate) with which Imprimis or its Affiliate has entered into a bona fide agreement to license, or otherwise acquire, any commercial right, title or interest in any patent rights or other intellectual property rights pursuant to a Successful Transaction.</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1.9</w:t>
      </w:r>
      <w:bookmarkStart w:id="26" w:name="TAB29"/>
      <w:bookmarkEnd w:id="26"/>
      <w:r>
        <w:rPr>
          <w:color w:val="000000"/>
          <w:spacing w:val="180"/>
        </w:rPr>
        <w:t> </w:t>
      </w:r>
      <w:r>
        <w:rPr/>
        <w:t>“</w:t>
      </w:r>
      <w:r>
        <w:rPr>
          <w:rFonts w:ascii="Times New Roman" w:hAnsi="Times New Roman"/>
          <w:sz w:val="20"/>
          <w:u w:val="single"/>
        </w:rPr>
        <w:t>Member/Customer</w:t>
      </w:r>
      <w:r>
        <w:rPr>
          <w:rFonts w:ascii="Times New Roman" w:hAnsi="Times New Roman"/>
          <w:sz w:val="20"/>
        </w:rPr>
        <w:t>” shall mean any Third Party that (a) is engaged primarily in the business of a compounding pharmacy, the development or commercialization of cosmetics or the practice of medicine and, in each case, is not engaged in the business of drug discovery, development, manufacture and/or sale other than solely as a compounding pharmacy or medical practitioner, (b) is a bona fide member in good standing of PCCA, and (c) is a bona fide purchaser from PCCA of prescription drug formulation ingredients.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1.10</w:t>
      </w:r>
      <w:bookmarkStart w:id="27" w:name="TAB210"/>
      <w:bookmarkEnd w:id="27"/>
      <w:r>
        <w:rPr>
          <w:color w:val="000000"/>
          <w:spacing w:val="180"/>
        </w:rPr>
        <w:t> </w:t>
      </w:r>
      <w:r>
        <w:rPr/>
        <w:t>“</w:t>
      </w:r>
      <w:r>
        <w:rPr>
          <w:rFonts w:ascii="Times New Roman" w:hAnsi="Times New Roman"/>
          <w:sz w:val="20"/>
          <w:u w:val="single"/>
        </w:rPr>
        <w:t>Net Sales</w:t>
      </w:r>
      <w:r>
        <w:rPr>
          <w:rFonts w:ascii="Times New Roman" w:hAnsi="Times New Roman"/>
          <w:sz w:val="20"/>
        </w:rPr>
        <w:t>” shall mean, with respect to any Licensed Product, the gross sales price of such Licensed Product invoiced by Imprimis and its Affiliates to customers who are not Affiliates (or are Affiliates but are the end users of such Licensed Product) less (a) credits, allowances, discounts and rebates to, and chargebacks from the account of, such customers; (b) freight and insurance costs in transporting such Licensed Product; (c) cash, quantity and trade discounts, rebates and other price reductions for such Licensed Product; (d) sales, use, value-added and other direct taxes; (e) customs duties, tariffs, surcharges and other governmental charges incurred in exporting or importing such Licensed Product; (f) an allowance for uncollectible or bad debts determined in accordance with generally accepted accounting principles; and (g) Cost of Goods Sold.  Notwithstanding the foregoing, if the applicable Licensor and Imprimis have mutually agreed to a different definition of “Net Sales” for purposes of calculating the royalties owing to such Licensor for a Licensed Product, then such different definition shall supersede the foregoing definition for purposes of calculating the royalties owing to PCCA for such Licensed Product under this Agreement to allow for a uniform calculation of royalties owing to such Licensor and PCCA with respect thereto.</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 w:name="PGBRK1"/>
      <w:bookmarkStart w:id="29" w:name="PGBRK1"/>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 w:name="FTR1"/>
      <w:bookmarkStart w:id="31" w:name="FTR1"/>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 w:name="GLFTR1"/>
      <w:bookmarkEnd w:id="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 w:name="PN1"/>
      <w:bookmarkEnd w:id="33"/>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 w:name="HDR1"/>
      <w:bookmarkStart w:id="35" w:name="HDR1"/>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 w:name="GLHDR1"/>
      <w:bookmarkEnd w:id="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rPr/>
      </w:pPr>
      <w:r>
        <w:rPr>
          <w:rFonts w:ascii="Times New Roman" w:hAnsi="Times New Roman"/>
          <w:sz w:val="20"/>
        </w:rPr>
        <w:t>1.11</w:t>
      </w:r>
      <w:bookmarkStart w:id="37" w:name="TAB211"/>
      <w:bookmarkEnd w:id="37"/>
      <w:r>
        <w:rPr>
          <w:color w:val="000000"/>
          <w:spacing w:val="180"/>
        </w:rPr>
        <w:t> </w:t>
      </w:r>
      <w:r>
        <w:rPr/>
        <w:t>“</w:t>
      </w:r>
      <w:r>
        <w:rPr>
          <w:rFonts w:ascii="Times New Roman" w:hAnsi="Times New Roman"/>
          <w:sz w:val="20"/>
          <w:u w:val="single"/>
        </w:rPr>
        <w:t>Net Receipts</w:t>
      </w:r>
      <w:r>
        <w:rPr>
          <w:rFonts w:ascii="Times New Roman" w:hAnsi="Times New Roman"/>
          <w:sz w:val="20"/>
        </w:rPr>
        <w:t>” shall mean, with respect to any Licensed Product, the aggregate of the Net Sales thereof and Net Sublicensing Revenues therefrom in excess of the Development Recovery Amount therefor.</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1.12</w:t>
      </w:r>
      <w:bookmarkStart w:id="38" w:name="TAB212"/>
      <w:bookmarkEnd w:id="38"/>
      <w:r>
        <w:rPr>
          <w:color w:val="000000"/>
          <w:spacing w:val="180"/>
        </w:rPr>
        <w:t> </w:t>
      </w:r>
      <w:r>
        <w:rPr/>
        <w:t>“</w:t>
      </w:r>
      <w:r>
        <w:rPr>
          <w:rFonts w:ascii="Times New Roman" w:hAnsi="Times New Roman"/>
          <w:sz w:val="20"/>
          <w:u w:val="single"/>
        </w:rPr>
        <w:t>Net Sublicensing Revenues</w:t>
      </w:r>
      <w:r>
        <w:rPr>
          <w:rFonts w:ascii="Times New Roman" w:hAnsi="Times New Roman"/>
          <w:sz w:val="20"/>
        </w:rPr>
        <w:t>” shall mean, with respect to any Licensed Product, the aggregate cash consideration received by Imprimis or its Affiliates in consideration for the sublicense under the applicable Licensed IP Rights by Imprimis or its Affiliates to a Sublicensee with respect to such Licensed Product (excluding amounts received to reimburse Imprimis or its Affiliates for research, development or similar services conducted for such Licensed Product after signing the agreement with such Sublicensee, in reimbursement of patent or other out-of-pocket expenses relating to such Licensed Product, or in consideration for the purchase of any debt or securities of Imprimis or its Affiliates).  Notwithstanding the foregoing, if the applicable Licensor and Imprimis have mutually agreed to a different definition of “Net Sublicensing Revenues” for purposes of calculating the royalties owing to such Licensor for a Licensed Product, then such different definition shall supersede the foregoing definition for purposes of calculating the royalties owing to PCCA for such Licensed Product under this Agreement to allow for a uniform calculation of royalties owing to such Licensor and PCCA with respect thereto.</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1.13</w:t>
      </w:r>
      <w:bookmarkStart w:id="39" w:name="TAB213"/>
      <w:bookmarkEnd w:id="39"/>
      <w:r>
        <w:rPr>
          <w:color w:val="000000"/>
          <w:spacing w:val="180"/>
        </w:rPr>
        <w:t> </w:t>
      </w:r>
      <w:r>
        <w:rPr/>
        <w:t>“</w:t>
      </w:r>
      <w:r>
        <w:rPr>
          <w:rFonts w:ascii="Times New Roman" w:hAnsi="Times New Roman"/>
          <w:sz w:val="20"/>
          <w:u w:val="single"/>
        </w:rPr>
        <w:t>Person</w:t>
      </w:r>
      <w:r>
        <w:rPr>
          <w:rFonts w:ascii="Times New Roman" w:hAnsi="Times New Roman"/>
          <w:sz w:val="20"/>
        </w:rPr>
        <w:t>”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1.14</w:t>
      </w:r>
      <w:bookmarkStart w:id="40" w:name="TAB214"/>
      <w:bookmarkEnd w:id="40"/>
      <w:r>
        <w:rPr>
          <w:color w:val="000000"/>
          <w:spacing w:val="180"/>
        </w:rPr>
        <w:t> </w:t>
      </w:r>
      <w:r>
        <w:rPr/>
        <w:t>“</w:t>
      </w:r>
      <w:r>
        <w:rPr>
          <w:rFonts w:ascii="Times New Roman" w:hAnsi="Times New Roman"/>
          <w:sz w:val="20"/>
          <w:u w:val="single"/>
        </w:rPr>
        <w:t>Sublicensee</w:t>
      </w:r>
      <w:r>
        <w:rPr>
          <w:rFonts w:ascii="Times New Roman" w:hAnsi="Times New Roman"/>
          <w:sz w:val="20"/>
        </w:rPr>
        <w:t>” shall mean a Third Party to which Imprimis has granted a sublicense under Licensed IP Rights.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1.15</w:t>
      </w:r>
      <w:bookmarkStart w:id="41" w:name="TAB215"/>
      <w:bookmarkEnd w:id="41"/>
      <w:r>
        <w:rPr>
          <w:color w:val="000000"/>
          <w:spacing w:val="180"/>
        </w:rPr>
        <w:t> </w:t>
      </w:r>
      <w:r>
        <w:rPr/>
        <w:t>“</w:t>
      </w:r>
      <w:r>
        <w:rPr>
          <w:rFonts w:ascii="Times New Roman" w:hAnsi="Times New Roman"/>
          <w:sz w:val="20"/>
          <w:u w:val="single"/>
        </w:rPr>
        <w:t>Successful Transaction</w:t>
      </w:r>
      <w:r>
        <w:rPr>
          <w:rFonts w:ascii="Times New Roman" w:hAnsi="Times New Roman"/>
          <w:sz w:val="20"/>
        </w:rPr>
        <w:t>” shall mean, with respect to an Identified Member/Customer for which PCCA has facilitated a bona fide introductory meeting, on or before the sixty (60) day anniversary of the designation of such company as an Identified Member/Customer in accordance with Section 3.2, between Imprimis and such Identified Member/Customer regarding the applicable patent or other intellectual property rights for such Identified Member/Customer, Imprimis or its Affiliate and such Identified Member/Customer or its Affiliate enters into a bona fide written commercial agreement whereby Imprimis or its Affiliate licenses, or otherwise acquires, the right, title or interest in such patent rights or other intellectual property rights to develop, make, use, offer for sale, sell and import one or more Licensed Products (excluding any confidentiality, evaluation or similar agreement) on or before the one hundred eighty (180) day anniversary of the designation of such Identified Member/Customer in accordance with Section 3.2.</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1.16</w:t>
      </w:r>
      <w:bookmarkStart w:id="42" w:name="TAB216"/>
      <w:bookmarkEnd w:id="42"/>
      <w:r>
        <w:rPr>
          <w:color w:val="000000"/>
          <w:spacing w:val="180"/>
        </w:rPr>
        <w:t> </w:t>
      </w:r>
      <w:r>
        <w:rPr/>
        <w:t>“</w:t>
      </w:r>
      <w:r>
        <w:rPr>
          <w:rFonts w:ascii="Times New Roman" w:hAnsi="Times New Roman"/>
          <w:sz w:val="20"/>
          <w:u w:val="single"/>
        </w:rPr>
        <w:t>Third Party</w:t>
      </w:r>
      <w:r>
        <w:rPr>
          <w:rFonts w:ascii="Times New Roman" w:hAnsi="Times New Roman"/>
          <w:sz w:val="20"/>
        </w:rPr>
        <w:t>” shall mean any Person other than PCCA, Imprimis and their respective Affiliates.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1.17</w:t>
      </w:r>
      <w:bookmarkStart w:id="43" w:name="TAB217"/>
      <w:bookmarkEnd w:id="43"/>
      <w:r>
        <w:rPr>
          <w:color w:val="000000"/>
          <w:spacing w:val="180"/>
        </w:rPr>
        <w:t> </w:t>
      </w:r>
      <w:r>
        <w:rPr/>
        <w:t>“</w:t>
      </w:r>
      <w:r>
        <w:rPr>
          <w:rFonts w:ascii="Times New Roman" w:hAnsi="Times New Roman"/>
          <w:sz w:val="20"/>
          <w:u w:val="single"/>
        </w:rPr>
        <w:t>Valid Claim</w:t>
      </w:r>
      <w:r>
        <w:rPr>
          <w:rFonts w:ascii="Times New Roman" w:hAnsi="Times New Roman"/>
          <w:sz w:val="20"/>
        </w:rPr>
        <w:t>” shall mean, with respect to any Licensor, a claim of an issued and unexpired patent included within the Licensed IP Rights of such Licensor,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2.</w:t>
      </w:r>
      <w:bookmarkStart w:id="44" w:name="TAB218"/>
      <w:bookmarkEnd w:id="44"/>
      <w:r>
        <w:rPr>
          <w:color w:val="000000"/>
          <w:spacing w:val="180"/>
        </w:rPr>
        <w:t> </w:t>
      </w:r>
      <w:r>
        <w:rPr>
          <w:rFonts w:ascii="Times New Roman" w:hAnsi="Times New Roman"/>
          <w:sz w:val="20"/>
          <w:u w:val="single"/>
        </w:rPr>
        <w:t>REPRESENTATIONS AND WARRANTIES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Each party represents and warrants to the other party as follows: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2.1</w:t>
      </w:r>
      <w:bookmarkStart w:id="45" w:name="TAB219"/>
      <w:bookmarkEnd w:id="45"/>
      <w:r>
        <w:rPr>
          <w:color w:val="000000"/>
          <w:spacing w:val="180"/>
        </w:rPr>
        <w:t> </w:t>
      </w:r>
      <w:r>
        <w:rPr>
          <w:rFonts w:ascii="Times New Roman" w:hAnsi="Times New Roman"/>
          <w:sz w:val="20"/>
          <w:u w:val="single"/>
        </w:rPr>
        <w:t>Organization</w:t>
      </w:r>
      <w:r>
        <w:rPr>
          <w:rFonts w:ascii="Times New Roman" w:hAnsi="Times New Roman"/>
          <w:sz w:val="20"/>
        </w:rPr>
        <w:t>.  Such party is a corporation duly organized, validly existing and in good standing under the laws of the state in which it is incorporated.</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2.2</w:t>
      </w:r>
      <w:bookmarkStart w:id="46" w:name="TAB220"/>
      <w:bookmarkEnd w:id="46"/>
      <w:r>
        <w:rPr>
          <w:color w:val="000000"/>
          <w:spacing w:val="180"/>
        </w:rPr>
        <w:t> </w:t>
      </w:r>
      <w:r>
        <w:rPr>
          <w:rFonts w:ascii="Times New Roman" w:hAnsi="Times New Roman"/>
          <w:sz w:val="20"/>
          <w:u w:val="single"/>
        </w:rPr>
        <w:t>Authorization and Enforcement of Obligations</w:t>
      </w:r>
      <w:r>
        <w:rPr>
          <w:rFonts w:ascii="Times New Roman" w:hAnsi="Times New Roman"/>
          <w:sz w:val="20"/>
        </w:rPr>
        <w:t>.  Such party (a) has the corporate power and authority and the legal right to enter into this Agreement and to perform its obligations hereunder, and (b) has taken all necessary corporate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2.3</w:t>
      </w:r>
      <w:bookmarkStart w:id="47" w:name="TAB221"/>
      <w:bookmarkEnd w:id="47"/>
      <w:r>
        <w:rPr>
          <w:color w:val="000000"/>
          <w:spacing w:val="180"/>
        </w:rPr>
        <w:t> </w:t>
      </w:r>
      <w:r>
        <w:rPr>
          <w:rFonts w:ascii="Times New Roman" w:hAnsi="Times New Roman"/>
          <w:sz w:val="20"/>
          <w:u w:val="single"/>
        </w:rPr>
        <w:t>Consents</w:t>
      </w:r>
      <w:r>
        <w:rPr>
          <w:rFonts w:ascii="Times New Roman" w:hAnsi="Times New Roman"/>
          <w:sz w:val="20"/>
        </w:rPr>
        <w:t>.  All necessary consents, approvals and authorizations of all governmental authorities and other Persons required to be obtained by such party in connection with this Agreement have been obtained.</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2.4</w:t>
      </w:r>
      <w:bookmarkStart w:id="48" w:name="TAB222"/>
      <w:bookmarkEnd w:id="48"/>
      <w:r>
        <w:rPr>
          <w:color w:val="000000"/>
          <w:spacing w:val="180"/>
        </w:rPr>
        <w:t> </w:t>
      </w:r>
      <w:r>
        <w:rPr>
          <w:rFonts w:ascii="Times New Roman" w:hAnsi="Times New Roman"/>
          <w:sz w:val="20"/>
          <w:u w:val="single"/>
        </w:rPr>
        <w:t>No Conflict</w:t>
      </w:r>
      <w:r>
        <w:rPr>
          <w:rFonts w:ascii="Times New Roman" w:hAnsi="Times New Roman"/>
          <w:sz w:val="20"/>
        </w:rPr>
        <w:t>.  The execution and delivery of this Agreement and the performance of such party’s obligations hereunder (a) do not conflict with or violate any requirement of applicable laws or regulations, and (b) do not conflict with, or constitute a default under, any contractual obligation of it.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 w:name="PGBRK2"/>
      <w:bookmarkStart w:id="50" w:name="PGBRK2"/>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 w:name="FTR2"/>
      <w:bookmarkStart w:id="52" w:name="FTR2"/>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 w:name="GLFTR2"/>
      <w:bookmarkEnd w:id="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4" w:name="PN2"/>
      <w:bookmarkEnd w:id="54"/>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 w:name="HDR2"/>
      <w:bookmarkStart w:id="56" w:name="HDR2"/>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7" w:name="GLHDR2"/>
      <w:bookmarkEnd w:id="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pPr>
      <w:r>
        <w:rPr>
          <w:rFonts w:ascii="Times New Roman" w:hAnsi="Times New Roman"/>
          <w:sz w:val="20"/>
        </w:rPr>
        <w:t>3.</w:t>
      </w:r>
      <w:bookmarkStart w:id="58" w:name="TAB223"/>
      <w:bookmarkEnd w:id="58"/>
      <w:r>
        <w:rPr>
          <w:color w:val="000000"/>
          <w:spacing w:val="180"/>
        </w:rPr>
        <w:t> </w:t>
      </w:r>
      <w:r>
        <w:rPr>
          <w:rFonts w:ascii="Times New Roman" w:hAnsi="Times New Roman"/>
          <w:sz w:val="20"/>
          <w:u w:val="single"/>
        </w:rPr>
        <w:t>IDENTIFIED MEMBER/CUSTOMERS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3.1</w:t>
      </w:r>
      <w:bookmarkStart w:id="59" w:name="TAB224"/>
      <w:bookmarkEnd w:id="59"/>
      <w:r>
        <w:rPr>
          <w:color w:val="000000"/>
          <w:spacing w:val="180"/>
        </w:rPr>
        <w:t> </w:t>
      </w:r>
      <w:r>
        <w:rPr>
          <w:rFonts w:ascii="Times New Roman" w:hAnsi="Times New Roman"/>
          <w:sz w:val="20"/>
          <w:u w:val="single"/>
        </w:rPr>
        <w:t>Potential Identified Member/Customers</w:t>
      </w:r>
      <w:r>
        <w:rPr>
          <w:rFonts w:ascii="Times New Roman" w:hAnsi="Times New Roman"/>
          <w:sz w:val="20"/>
        </w:rPr>
        <w:t>.  During the term of this Agreement, if PCCA believes in good faith that a Member/Customer has patent rights or other intellectual property rights that Imprimis or its Affiliate may have an interest in licensing or otherwise acquiring, PCCA may present such opportunity to Imprimis.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3.2</w:t>
      </w:r>
      <w:bookmarkStart w:id="60" w:name="TAB225"/>
      <w:bookmarkEnd w:id="60"/>
      <w:r>
        <w:rPr>
          <w:color w:val="000000"/>
          <w:spacing w:val="180"/>
        </w:rPr>
        <w:t> </w:t>
      </w:r>
      <w:r>
        <w:rPr>
          <w:rFonts w:ascii="Times New Roman" w:hAnsi="Times New Roman"/>
          <w:sz w:val="20"/>
          <w:u w:val="single"/>
        </w:rPr>
        <w:t>Addition of Identified Member/Customers</w:t>
      </w:r>
      <w:r>
        <w:rPr>
          <w:rFonts w:ascii="Times New Roman" w:hAnsi="Times New Roman"/>
          <w:sz w:val="20"/>
        </w:rPr>
        <w:t>.  As of the Effective Date, there is one Identified Member/Customer.  After the Effective Date, with respect to any Member/Customer presented by PCCA to Imprimis in accordance with Section 3.1, if Imprimis desires, in its sole discretion, to accept an opportunity for a meeting with such specific Member/Customer regarding the patent rights or other intellectual property rights identified by PCCA, and gives PCCA specific written notice thereof, then (a) such specific Member/Customer shall be designated as an Identified Member/Customer, and (b) Imprimis shall amend Exhibit A accordingly.</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3.3</w:t>
      </w:r>
      <w:bookmarkStart w:id="61" w:name="TAB226"/>
      <w:bookmarkEnd w:id="61"/>
      <w:r>
        <w:rPr>
          <w:color w:val="000000"/>
          <w:spacing w:val="180"/>
        </w:rPr>
        <w:t> </w:t>
      </w:r>
      <w:r>
        <w:rPr>
          <w:rFonts w:ascii="Times New Roman" w:hAnsi="Times New Roman"/>
          <w:sz w:val="20"/>
          <w:u w:val="single"/>
        </w:rPr>
        <w:t>Introductory Meeting</w:t>
      </w:r>
      <w:r>
        <w:rPr>
          <w:rFonts w:ascii="Times New Roman" w:hAnsi="Times New Roman"/>
          <w:sz w:val="20"/>
        </w:rPr>
        <w:t>.  PCCA shall use commercially reasonable efforts to facilitate a bona fide introductory meeting, on or before the thirty (30) day anniversary of the designation of such Member/Customer as an Identified Member/Customer in accordance with Section 3.2, between Imprimis and such Identified Member/Customer regarding the potential license to, or acquisition by, Imprimis or its Affiliate of the patent rights or other intellectual property rights identified by PCCA.</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3.4</w:t>
      </w:r>
      <w:bookmarkStart w:id="62" w:name="TAB227"/>
      <w:bookmarkEnd w:id="62"/>
      <w:r>
        <w:rPr>
          <w:color w:val="000000"/>
          <w:spacing w:val="180"/>
        </w:rPr>
        <w:t> </w:t>
      </w:r>
      <w:r>
        <w:rPr>
          <w:rFonts w:ascii="Times New Roman" w:hAnsi="Times New Roman"/>
          <w:sz w:val="20"/>
          <w:u w:val="single"/>
        </w:rPr>
        <w:t>Further Assistance</w:t>
      </w:r>
      <w:r>
        <w:rPr>
          <w:rFonts w:ascii="Times New Roman" w:hAnsi="Times New Roman"/>
          <w:sz w:val="20"/>
        </w:rPr>
        <w:t>.  With respect to each Identified Member/Customer, PCCA additionally (a) shall provide such assistance as reasonably requested by Imprimis to facilitate meetings and negotiations with such Identified Member/Customer, and (b) shall provide such technical and related support and services relating to the subject technologies and formulations (including without limitation relating to chemistry, manufacturing and controls, raw materials sourcing, analytics and formulation optimization), as reasonably requested by Imprimis, and provide Imprimis with the results thereof.</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3.5</w:t>
      </w:r>
      <w:bookmarkStart w:id="63" w:name="TAB228"/>
      <w:bookmarkEnd w:id="63"/>
      <w:r>
        <w:rPr>
          <w:color w:val="000000"/>
          <w:spacing w:val="180"/>
        </w:rPr>
        <w:t> </w:t>
      </w:r>
      <w:r>
        <w:rPr>
          <w:rFonts w:ascii="Times New Roman" w:hAnsi="Times New Roman"/>
          <w:sz w:val="20"/>
          <w:u w:val="single"/>
        </w:rPr>
        <w:t>Non-Circumvention</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3.5.1</w:t>
      </w:r>
      <w:bookmarkStart w:id="64" w:name="TAB229"/>
      <w:bookmarkEnd w:id="64"/>
      <w:r>
        <w:rPr>
          <w:color w:val="000000"/>
          <w:spacing w:val="180"/>
        </w:rPr>
        <w:t> </w:t>
      </w:r>
      <w:r>
        <w:rPr>
          <w:rFonts w:ascii="Times New Roman" w:hAnsi="Times New Roman"/>
          <w:sz w:val="20"/>
        </w:rPr>
        <w:t>During the term of this Agreement, PCCA shall not, directly or indirectly, introduce to any Third Party, or otherwise facilitate or enable any Third Party, the opportunity for such Third Party to enter into any agreement with, any Member/Customer whereby such Third Party or its Affiliate licenses, or otherwise acquires, the right, title or interest in such patent rights or other intellectual property rights of such Member/Customer unless PCCA has first presented such opportunity to Imprimis under Section 3.1.</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3.5.2</w:t>
      </w:r>
      <w:bookmarkStart w:id="65" w:name="TAB230"/>
      <w:bookmarkEnd w:id="65"/>
      <w:r>
        <w:rPr>
          <w:color w:val="000000"/>
          <w:spacing w:val="180"/>
        </w:rPr>
        <w:t> </w:t>
      </w:r>
      <w:r>
        <w:rPr>
          <w:rFonts w:ascii="Times New Roman" w:hAnsi="Times New Roman"/>
          <w:sz w:val="20"/>
        </w:rPr>
        <w:t>For a period of one (1) year following the designation of a Member/Customer as an Identified Member/Customer in accordance with Section 3.2, neither Imprimis nor its Affiliate shall, directly or indirectly, enter into any agreement with such Member/Customer whereby Imprimis or its Affiliate licenses, or otherwise acquires, the right, title or interest in such patent rights or other intellectual property rights of such Member/Customer unless subject to the obligations to pay to PCCA a commission hereunder.</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4.</w:t>
      </w:r>
      <w:bookmarkStart w:id="66" w:name="TAB231"/>
      <w:bookmarkEnd w:id="66"/>
      <w:r>
        <w:rPr>
          <w:color w:val="000000"/>
          <w:spacing w:val="180"/>
        </w:rPr>
        <w:t> </w:t>
      </w:r>
      <w:r>
        <w:rPr>
          <w:rFonts w:ascii="Times New Roman" w:hAnsi="Times New Roman"/>
          <w:sz w:val="20"/>
          <w:u w:val="single"/>
        </w:rPr>
        <w:t>COMPENSATION</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4.1</w:t>
      </w:r>
      <w:bookmarkStart w:id="67" w:name="TAB232"/>
      <w:bookmarkEnd w:id="67"/>
      <w:r>
        <w:rPr>
          <w:color w:val="000000"/>
          <w:spacing w:val="180"/>
        </w:rPr>
        <w:t> </w:t>
      </w:r>
      <w:r>
        <w:rPr>
          <w:rFonts w:ascii="Times New Roman" w:hAnsi="Times New Roman"/>
          <w:sz w:val="20"/>
          <w:u w:val="single"/>
        </w:rPr>
        <w:t>PCCA Recovery Fee</w:t>
      </w:r>
      <w:r>
        <w:rPr>
          <w:rFonts w:ascii="Times New Roman" w:hAnsi="Times New Roman"/>
          <w:sz w:val="20"/>
        </w:rPr>
        <w:t>.  Subject to the terms and conditions of this Agreement, in the event of a Successful Transaction with a Identified Member/Customer whereby such Identified Member/Customer becomes a Licensor, in consideration for PCCA’s performance of its obligations under Section 3.4 with respect to such Identified Member/Customer, Imprimis shall pay to PCCA an amount equal to one hundred percent (100%) of the aggregate Net Receipts relating to the Licensed IP Rights of such Licensor, until Imprimis has paid to PCCA the aggregate amount of one hundred thousand dollars ($100,000) under this Section 4.1.</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4.2</w:t>
      </w:r>
      <w:bookmarkStart w:id="68" w:name="TAB233"/>
      <w:bookmarkEnd w:id="68"/>
      <w:r>
        <w:rPr>
          <w:color w:val="000000"/>
          <w:spacing w:val="180"/>
        </w:rPr>
        <w:t> </w:t>
      </w:r>
      <w:r>
        <w:rPr>
          <w:rFonts w:ascii="Times New Roman" w:hAnsi="Times New Roman"/>
          <w:sz w:val="20"/>
          <w:u w:val="single"/>
        </w:rPr>
        <w:t>PCCA Commission</w:t>
      </w:r>
      <w:r>
        <w:rPr>
          <w:rFonts w:ascii="Times New Roman" w:hAnsi="Times New Roman"/>
          <w:sz w:val="20"/>
        </w:rPr>
        <w:t>.  Subject to the terms and conditions of this Agreement, in the event of a Successful Transaction with a Identified Member/Customer whereby such Identified Member/Customer becomes a Licensor, in consideration for the introduction made by PCCA to such Identified Member/Customer in accordance with Section 3.3 and subject to PCCA’s performance of its obligations under Section 3.4 with respect to such Identified Member/Customer, after the payment in full of all the amounts owing under Section 4.1 relating to the Licensed IP Rights of such Licensor, Imprimis shall pay to PCCA a commission equal to (a)(i) six percent (6%), plus (ii) one-half of the positive remainder of (A) fifteen percent (15%), minus (B) the percentage owing to such Licensor of Net Receipts relating to the Licensed IP Rights of such Licensor, times (b) the Net Receipts relating to the Licensed IP Rights of such Licensor (unless otherwise mutually agreed by PCCA and Imprimis).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4.3</w:t>
      </w:r>
      <w:bookmarkStart w:id="69" w:name="TAB234"/>
      <w:bookmarkEnd w:id="69"/>
      <w:r>
        <w:rPr>
          <w:color w:val="000000"/>
          <w:spacing w:val="180"/>
        </w:rPr>
        <w:t> </w:t>
      </w:r>
      <w:r>
        <w:rPr>
          <w:rFonts w:ascii="Times New Roman" w:hAnsi="Times New Roman"/>
          <w:sz w:val="20"/>
          <w:u w:val="single"/>
        </w:rPr>
        <w:t>Third Party Royalties</w:t>
      </w:r>
      <w:r>
        <w:rPr>
          <w:rFonts w:ascii="Times New Roman" w:hAnsi="Times New Roman"/>
          <w:sz w:val="20"/>
        </w:rPr>
        <w:t xml:space="preserve">.  If Imprimis, its Sublicensee or their respective Affiliates is required to pay royalties to any Third Party in order to exercise its rights to exploit any Licensed IP Rights or Licensed Products, then Imprimis shall have the right to credit fifty percent (50%) of such Third Party royalty payments against the Commissions owing to PCCA with respect to such Licensed IP Rights or Licensed Product;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Imprimis shall not reduce the amount of the Commissions owing to PCCA by reason of this Section 4.3 with respect to such Licensed IP Rights or Licensed Product by more than fifty percent (50%).</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4.4</w:t>
      </w:r>
      <w:bookmarkStart w:id="70" w:name="TAB235"/>
      <w:bookmarkEnd w:id="70"/>
      <w:r>
        <w:rPr>
          <w:color w:val="000000"/>
          <w:spacing w:val="180"/>
        </w:rPr>
        <w:t> </w:t>
      </w:r>
      <w:r>
        <w:rPr>
          <w:rFonts w:ascii="Times New Roman" w:hAnsi="Times New Roman"/>
          <w:sz w:val="20"/>
          <w:u w:val="single"/>
        </w:rPr>
        <w:t>Combination Products</w:t>
      </w:r>
      <w:r>
        <w:rPr>
          <w:rFonts w:ascii="Times New Roman" w:hAnsi="Times New Roman"/>
          <w:sz w:val="20"/>
        </w:rPr>
        <w:t>.  If a Licensed Product consists of components that are covered by a Valid Claim and components that are not covered by a Valid Claim, then for purposes of the royalty payments under Section 4.1 for Net Receipts for such Licensed Product, prior to the royalty calculation set forth in Section 4.1, Net Receipts first shall be multiplied by the fraction A/(A+B), where A is the value of the component covered by the Valid Claim as reasonably determined by Imprimis, and B is the value of the component that is not covered by the Valid Claim as reasonably determined by Imprimis, and such resulting amount shall be the “Net Receipts” for purposes of the royalty calculation in Section 4.1 for such Licensed Product.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1" w:name="PGBRK3"/>
      <w:bookmarkStart w:id="72" w:name="PGBRK3"/>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 w:name="FTR3"/>
      <w:bookmarkStart w:id="74" w:name="FTR3"/>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5" w:name="GLFTR3"/>
      <w:bookmarkEnd w:id="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6" w:name="PN3"/>
      <w:bookmarkEnd w:id="76"/>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 w:name="HDR3"/>
      <w:bookmarkStart w:id="78" w:name="HDR3"/>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9" w:name="GLHDR3"/>
      <w:bookmarkEnd w:id="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rPr/>
      </w:pPr>
      <w:r>
        <w:rPr>
          <w:rFonts w:ascii="Times New Roman" w:hAnsi="Times New Roman"/>
          <w:sz w:val="20"/>
        </w:rPr>
        <w:t>4.5</w:t>
      </w:r>
      <w:bookmarkStart w:id="80" w:name="TAB236"/>
      <w:bookmarkEnd w:id="80"/>
      <w:r>
        <w:rPr>
          <w:color w:val="000000"/>
          <w:spacing w:val="180"/>
        </w:rPr>
        <w:t> </w:t>
      </w:r>
      <w:r>
        <w:rPr>
          <w:rFonts w:ascii="Times New Roman" w:hAnsi="Times New Roman"/>
          <w:sz w:val="20"/>
          <w:u w:val="single"/>
        </w:rPr>
        <w:t>Commission Reports</w:t>
      </w:r>
      <w:r>
        <w:rPr>
          <w:rFonts w:ascii="Times New Roman" w:hAnsi="Times New Roman"/>
          <w:sz w:val="20"/>
        </w:rPr>
        <w:t>.  Within forty five (45) days after the end of each calendar quarter during the term of this Agreement following the first to occur of the First Commercial Sale of a Licensed Product and the receipt by Imprimis or its Affiliates of Net Sublicensing Revenues, Imprimis shall furnish to PCCA a quarterly written report showing in reasonably specific detail (a) the calculation of all Commissions owing to PCCA; (b) the withholding taxes, if any, required by law to be deducted with respect to such sales; and (c) the exchange rates, if any, used in determining the amount of United States dollars.  With respect to amounts received or costs incurred in United States dollars, all amounts shall be expressed in United States dollars.  With respect to amounts received or costs incurred in a currency other than United States dollars, all amounts shall be expressed both in the currency in which the amounts were received or costs were incurred and the United States dollar equivalent.  The United States dollar equivalent shall be calculated using the average of the exchange rate (local currency per US$1) published in The Wall Street Journal, Western Edition, under the heading “Currency Trading” on the last business day of each month during the applicable calendar quarter.</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4.6</w:t>
      </w:r>
      <w:bookmarkStart w:id="81" w:name="TAB237"/>
      <w:bookmarkEnd w:id="81"/>
      <w:r>
        <w:rPr>
          <w:color w:val="000000"/>
          <w:spacing w:val="180"/>
        </w:rPr>
        <w:t> </w:t>
      </w:r>
      <w:r>
        <w:rPr>
          <w:rFonts w:ascii="Times New Roman" w:hAnsi="Times New Roman"/>
          <w:sz w:val="20"/>
          <w:u w:val="single"/>
        </w:rPr>
        <w:t>Audits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4.6.1</w:t>
      </w:r>
      <w:bookmarkStart w:id="82" w:name="TAB238"/>
      <w:bookmarkEnd w:id="82"/>
      <w:r>
        <w:rPr>
          <w:color w:val="000000"/>
          <w:spacing w:val="180"/>
        </w:rPr>
        <w:t> </w:t>
      </w:r>
      <w:r>
        <w:rPr>
          <w:rFonts w:ascii="Times New Roman" w:hAnsi="Times New Roman"/>
          <w:sz w:val="20"/>
        </w:rPr>
        <w:t>Upon the written request of PCCA and not more than once in each calendar year, Imprimis shall permit an independent certified public accounting firm of nationally recognized standing selected by PCCA and reasonably acceptable to Imprimis, at PCCA’s expense, to have access during normal business hours to such of the financial records of Imprimis as may be reasonably necessary to verify the accuracy of the payment reports hereunder for the eight (8) calendar quarters immediately prior to the date of such request (other than records for which PCCA has already conducted an audit under this Section </w:t>
      </w:r>
      <w:hyperlink w:anchor="_Ref94958472">
        <w:r>
          <w:rPr>
            <w:rStyle w:val="InternetLink"/>
            <w:rFonts w:ascii="Times New Roman" w:hAnsi="Times New Roman"/>
            <w:sz w:val="20"/>
          </w:rPr>
          <w:t>4.6</w:t>
        </w:r>
      </w:hyperlink>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4.6.2</w:t>
      </w:r>
      <w:bookmarkStart w:id="83" w:name="TAB239"/>
      <w:bookmarkEnd w:id="83"/>
      <w:r>
        <w:rPr>
          <w:color w:val="000000"/>
          <w:spacing w:val="180"/>
        </w:rPr>
        <w:t> </w:t>
      </w:r>
      <w:r>
        <w:rPr>
          <w:rFonts w:ascii="Times New Roman" w:hAnsi="Times New Roman"/>
          <w:sz w:val="20"/>
        </w:rPr>
        <w:t>If such accounting firm concludes that additional amounts were owed during the audited period, Imprimis shall pay such additional amounts within thirty (30) days after the date PCCA delivers to Imprimis such accounting firm’s written report so concluding.  The fees charged by such accounting firm shall be paid by PCCA; provided, however, if the audit discloses that the commissions payable by Imprimis for such period are more than one hundred ten percent (110%) of the commissions actually paid for such period, then Imprimis shall pay the reasonable fees and expenses charged by such accounting firm.</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4.6.3</w:t>
      </w:r>
      <w:bookmarkStart w:id="84" w:name="TAB240"/>
      <w:bookmarkEnd w:id="84"/>
      <w:r>
        <w:rPr>
          <w:color w:val="000000"/>
          <w:spacing w:val="180"/>
        </w:rPr>
        <w:t> </w:t>
      </w:r>
      <w:r>
        <w:rPr>
          <w:rFonts w:ascii="Times New Roman" w:hAnsi="Times New Roman"/>
          <w:sz w:val="20"/>
        </w:rPr>
        <w:t>PCCA shall cause its accounting firm to retain all financial information subject to review under this Section </w:t>
      </w:r>
      <w:hyperlink w:anchor="_Ref94958472">
        <w:r>
          <w:rPr>
            <w:rStyle w:val="InternetLink"/>
            <w:rFonts w:ascii="Times New Roman" w:hAnsi="Times New Roman"/>
            <w:sz w:val="20"/>
          </w:rPr>
          <w:t>4.6</w:t>
        </w:r>
      </w:hyperlink>
      <w:r>
        <w:rPr>
          <w:rFonts w:ascii="Times New Roman" w:hAnsi="Times New Roman"/>
          <w:sz w:val="20"/>
        </w:rPr>
        <w:t xml:space="preserve"> in strict confidence; provided, however, that Imprimis shall have the right to require that such accounting firm, prior to conducting such audit, enter into an appropriate non-disclosure agreement with Imprimis regarding such financial information.  The accounting firm shall disclose to PCCA only whether the reports are correct or not and the amount of any discrepancy.  No other information shall be shared.  PCCA shall treat all such financial information as Imprimis’ confidential information.</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4.7</w:t>
      </w:r>
      <w:bookmarkStart w:id="85" w:name="TAB241"/>
      <w:bookmarkEnd w:id="85"/>
      <w:r>
        <w:rPr>
          <w:color w:val="000000"/>
          <w:spacing w:val="180"/>
        </w:rPr>
        <w:t> </w:t>
      </w:r>
      <w:r>
        <w:rPr>
          <w:rFonts w:ascii="Times New Roman" w:hAnsi="Times New Roman"/>
          <w:sz w:val="20"/>
          <w:u w:val="single"/>
        </w:rPr>
        <w:t>Payment Terms</w:t>
      </w:r>
      <w:r>
        <w:rPr>
          <w:rFonts w:ascii="Times New Roman" w:hAnsi="Times New Roman"/>
          <w:sz w:val="20"/>
        </w:rPr>
        <w:t>.  Commissions shown to have accrued by each report provided under Section </w:t>
      </w:r>
      <w:hyperlink w:anchor="_Ref333332253">
        <w:r>
          <w:rPr>
            <w:rStyle w:val="InternetLink"/>
            <w:rFonts w:ascii="Times New Roman" w:hAnsi="Times New Roman"/>
            <w:sz w:val="20"/>
          </w:rPr>
          <w:t>4.3</w:t>
        </w:r>
      </w:hyperlink>
      <w:r>
        <w:rPr>
          <w:rFonts w:ascii="Times New Roman" w:hAnsi="Times New Roman"/>
          <w:sz w:val="20"/>
        </w:rPr>
        <w:t xml:space="preserve"> shall be due on the date such report is due.  Payment of such commissions in whole or in part may be made in advance of such due date.</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4.8</w:t>
      </w:r>
      <w:bookmarkStart w:id="86" w:name="TAB242"/>
      <w:bookmarkEnd w:id="86"/>
      <w:r>
        <w:rPr>
          <w:color w:val="000000"/>
          <w:spacing w:val="180"/>
        </w:rPr>
        <w:t> </w:t>
      </w:r>
      <w:r>
        <w:rPr>
          <w:rFonts w:ascii="Times New Roman" w:hAnsi="Times New Roman"/>
          <w:sz w:val="20"/>
          <w:u w:val="single"/>
        </w:rPr>
        <w:t>Exchange Control</w:t>
      </w:r>
      <w:r>
        <w:rPr>
          <w:rFonts w:ascii="Times New Roman" w:hAnsi="Times New Roman"/>
          <w:sz w:val="20"/>
        </w:rPr>
        <w:t>.  If at any time legal restrictions prevent the prompt remittance of part or all Commissions with respect to any country where a Licensed Product is sold, then Imprimis shall have the right, in its sole discretion, to make such payments by depositing the amount thereof in local currency to PCCA’s account in a bank or other depository institution in such country.  If the commission rate specified in this Agreement should exceed the permissible rate established in any country, the commission rate for sales in such country shall be adjusted to the highest legally permissible or government-approved rate.</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4.9</w:t>
      </w:r>
      <w:bookmarkStart w:id="87" w:name="TAB243"/>
      <w:bookmarkEnd w:id="87"/>
      <w:r>
        <w:rPr>
          <w:color w:val="000000"/>
          <w:spacing w:val="180"/>
        </w:rPr>
        <w:t> </w:t>
      </w:r>
      <w:r>
        <w:rPr>
          <w:rFonts w:ascii="Times New Roman" w:hAnsi="Times New Roman"/>
          <w:sz w:val="20"/>
          <w:u w:val="single"/>
        </w:rPr>
        <w:t>Withholding Taxes</w:t>
      </w:r>
      <w:r>
        <w:rPr>
          <w:rFonts w:ascii="Times New Roman" w:hAnsi="Times New Roman"/>
          <w:sz w:val="20"/>
        </w:rPr>
        <w:t>.  Imprimis shall be entitled to deduct the amount of any withholding taxes, value-added taxes or other taxes, levies or charges with respect to such Commissions, other than United States taxes, payable by Imprimis or its Affiliates, or any taxes required to be withheld by Imprimis or its Affiliates, to the extent Imprimis or its Affiliates pay to the appropriate governmental authority on behalf of PCCA such taxes, levies or charges.  Imprimis shall use reasonable efforts to minimize any such taxes, levies or charges required to be withheld on behalf of PCCA by Imprimis or its Affiliates.  Imprimis promptly shall deliver to PCCA proof of payment of all such taxes, levies and other charges, together with copies of all communications from or with such governmental authority with respect thereto.</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5.</w:t>
      </w:r>
      <w:bookmarkStart w:id="88" w:name="TAB244"/>
      <w:bookmarkEnd w:id="88"/>
      <w:r>
        <w:rPr>
          <w:color w:val="000000"/>
          <w:spacing w:val="180"/>
        </w:rPr>
        <w:t> </w:t>
      </w:r>
      <w:r>
        <w:rPr>
          <w:rFonts w:ascii="Times New Roman" w:hAnsi="Times New Roman"/>
          <w:sz w:val="20"/>
          <w:u w:val="single"/>
        </w:rPr>
        <w:t>DILIGENCE.</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Within ten (10) days after Imprimis receives any notice of breach or termination from a Licensor in accordance with the agreement relating to the applicable Licensed IP Rights, Imprimis shall give written notice thereof to PCCA, and in the event of the termination of such agreement, PCCA shall have the right to contact such Licensor and to acquire the rights in the applicable Licensed IP Rights.</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6.</w:t>
      </w:r>
      <w:bookmarkStart w:id="89" w:name="TAB245"/>
      <w:bookmarkEnd w:id="89"/>
      <w:r>
        <w:rPr>
          <w:color w:val="000000"/>
          <w:spacing w:val="180"/>
        </w:rPr>
        <w:t> </w:t>
      </w:r>
      <w:r>
        <w:rPr>
          <w:rFonts w:ascii="Times New Roman" w:hAnsi="Times New Roman"/>
          <w:sz w:val="20"/>
          <w:u w:val="single"/>
        </w:rPr>
        <w:t>AMENDED FREEDOM COVENANT.</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Section 1.11 of the License Agreement dated as of August 30, 2012, between PCCA and Imprimis hereby is amended and restated to read in full as follows:</w:t>
      </w:r>
    </w:p>
    <w:p>
      <w:pPr>
        <w:pStyle w:val="TextBody"/>
        <w:spacing w:before="0" w:after="0"/>
        <w:ind w:left="0" w:right="0" w:hanging="0"/>
        <w:jc w:val="both"/>
        <w:rPr/>
      </w:pPr>
      <w:r>
        <w:rPr/>
        <w:t> </w:t>
      </w:r>
    </w:p>
    <w:p>
      <w:pPr>
        <w:pStyle w:val="TextBody"/>
        <w:spacing w:before="0" w:after="0"/>
        <w:ind w:left="720" w:right="0" w:firstLine="720"/>
        <w:jc w:val="left"/>
        <w:rPr>
          <w:rFonts w:ascii="Times New Roman" w:hAnsi="Times New Roman"/>
          <w:sz w:val="20"/>
        </w:rPr>
      </w:pPr>
      <w:r>
        <w:rPr>
          <w:rFonts w:ascii="Times New Roman" w:hAnsi="Times New Roman"/>
          <w:sz w:val="20"/>
        </w:rPr>
        <w:t>1.11          “</w:t>
      </w:r>
      <w:r>
        <w:rPr>
          <w:rFonts w:ascii="Times New Roman" w:hAnsi="Times New Roman"/>
          <w:sz w:val="20"/>
          <w:u w:val="single"/>
        </w:rPr>
        <w:t>Freedom Period</w:t>
      </w:r>
      <w:r>
        <w:rPr>
          <w:rFonts w:ascii="Times New Roman" w:hAnsi="Times New Roman"/>
          <w:sz w:val="20"/>
        </w:rPr>
        <w:t>” shall mean, with respect to a Product, the period commencing on the date of the first regulatory approval of such Product and ending on the eighteen (18) month anniversary thereof; provided, however, that the Freedom Period shall continue thereafter with respect to such Licensed Product unless and until (a) if there is at least one Third Party that has obtained an NDA, ANDA or its equivalent to sell a similarly delivered pharmaceutical product comprising the active pharmaceutical ingredient(s) therein, the applicable market share of such Product in such jurisdiction (as reasonably demonstrated by Imprimis) does not equal or exceed ten percent (10%) of the prescription drug sales for all similarly delivered products comprising the active pharmaceutical ingredient(s) therein, or (b) otherwise, the applicable market share of such Product in such jurisdiction (as reasonably demonstrated by Imprimis) does not equal or exceed fifty percent (50%) of the prescription drug sales for all similarly delivered products comprising the active pharmaceutical ingredient(s) therein, in each case as determined by a mutually acceptable industry data source for the preceding twelve (12) months for which data is then available.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0" w:name="PGBRK4"/>
      <w:bookmarkStart w:id="91" w:name="PGBRK4"/>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 w:name="FTR4"/>
      <w:bookmarkStart w:id="93" w:name="FTR4"/>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4" w:name="GLFTR4"/>
      <w:bookmarkEnd w:id="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5" w:name="PN4"/>
      <w:bookmarkEnd w:id="95"/>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 w:name="HDR4"/>
      <w:bookmarkStart w:id="97" w:name="HDR4"/>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8" w:name="GLHDR4"/>
      <w:bookmarkEnd w:id="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pPr>
      <w:r>
        <w:rPr>
          <w:rFonts w:ascii="Times New Roman" w:hAnsi="Times New Roman"/>
          <w:sz w:val="20"/>
        </w:rPr>
        <w:t>7.</w:t>
      </w:r>
      <w:bookmarkStart w:id="99" w:name="TAB246"/>
      <w:bookmarkEnd w:id="99"/>
      <w:r>
        <w:rPr>
          <w:color w:val="000000"/>
          <w:spacing w:val="180"/>
        </w:rPr>
        <w:t> </w:t>
      </w:r>
      <w:r>
        <w:rPr>
          <w:rFonts w:ascii="Times New Roman" w:hAnsi="Times New Roman"/>
          <w:sz w:val="20"/>
          <w:u w:val="single"/>
        </w:rPr>
        <w:t>LIMITATION OF LIABILITY.</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IN NO EVENT SHALL EITHER PARTY BE LIABLE FOR SPECIAL, INCIDENTAL OR CONSEQUENTIAL DAMAGES ARISING OUT OF THIS AGREEMENT OR THE TRANSACTIONS CONTEMPLATED HEREBY (INCLUDING WITHOUT LIMITATION DAMAGES FOR LOST PROFITS, BUSINESS INTERRUPTION, LOSS OF GOODWILL, COMPUTER FAILURE OR MALFUNCTION OR OTHERWISE, ARISING FROM OR RELATING TO THIS AGREEMENT OR THE TRANSACTIONS CONTEMPLATED HEREBY), EVEN IF SUCH PARTY IS EXPRESSLY ADVISED OF THE POSSIBILITY OF SUCH DAMAGES</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8.</w:t>
      </w:r>
      <w:bookmarkStart w:id="100" w:name="TAB247"/>
      <w:bookmarkEnd w:id="100"/>
      <w:r>
        <w:rPr>
          <w:color w:val="000000"/>
          <w:spacing w:val="180"/>
        </w:rPr>
        <w:t> </w:t>
      </w:r>
      <w:r>
        <w:rPr>
          <w:rFonts w:ascii="Times New Roman" w:hAnsi="Times New Roman"/>
          <w:sz w:val="20"/>
          <w:u w:val="single"/>
        </w:rPr>
        <w:t>TERM AND TERMINATION.</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8.1</w:t>
      </w:r>
      <w:bookmarkStart w:id="101" w:name="TAB248"/>
      <w:bookmarkEnd w:id="101"/>
      <w:r>
        <w:rPr>
          <w:color w:val="000000"/>
          <w:spacing w:val="180"/>
        </w:rPr>
        <w:t> </w:t>
      </w:r>
      <w:r>
        <w:rPr>
          <w:rFonts w:ascii="Times New Roman" w:hAnsi="Times New Roman"/>
          <w:sz w:val="20"/>
          <w:u w:val="single"/>
        </w:rPr>
        <w:t>Term</w:t>
      </w:r>
      <w:r>
        <w:rPr>
          <w:rFonts w:ascii="Times New Roman" w:hAnsi="Times New Roman"/>
          <w:sz w:val="20"/>
        </w:rPr>
        <w:t>.  The term of this Agreement shall commence on the Effective Date and, unless terminated earlier as provided below, shall terminate on the first (1st) anniversary thereof; provided, however that the term automatically shall be extended for successive periods of one (1) year each, unless either party gives the other party written notice of non-renewal not less than thirty (30) days prior to the expiration of the then-current term or extension.</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8.2</w:t>
      </w:r>
      <w:bookmarkStart w:id="102" w:name="TAB249"/>
      <w:bookmarkEnd w:id="102"/>
      <w:r>
        <w:rPr>
          <w:color w:val="000000"/>
          <w:spacing w:val="180"/>
        </w:rPr>
        <w:t> </w:t>
      </w:r>
      <w:r>
        <w:rPr>
          <w:rFonts w:ascii="Times New Roman" w:hAnsi="Times New Roman"/>
          <w:sz w:val="20"/>
          <w:u w:val="single"/>
        </w:rPr>
        <w:t>Termination by Mutual Agreement</w:t>
      </w:r>
      <w:r>
        <w:rPr>
          <w:rFonts w:ascii="Times New Roman" w:hAnsi="Times New Roman"/>
          <w:sz w:val="20"/>
        </w:rPr>
        <w:t>.  The parties shall have the right to terminate this Agreement by mutual written agreement.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8.3</w:t>
      </w:r>
      <w:bookmarkStart w:id="103" w:name="TAB250"/>
      <w:bookmarkEnd w:id="103"/>
      <w:r>
        <w:rPr>
          <w:color w:val="000000"/>
          <w:spacing w:val="180"/>
        </w:rPr>
        <w:t> </w:t>
      </w:r>
      <w:r>
        <w:rPr>
          <w:rFonts w:ascii="Times New Roman" w:hAnsi="Times New Roman"/>
          <w:sz w:val="20"/>
          <w:u w:val="single"/>
        </w:rPr>
        <w:t>Termination upon Material Breach</w:t>
      </w:r>
      <w:r>
        <w:rPr>
          <w:rFonts w:ascii="Times New Roman" w:hAnsi="Times New Roman"/>
          <w:sz w:val="20"/>
        </w:rPr>
        <w:t xml:space="preserve">.  If a party has materially breached this Agreement, and such material breach continues uncured for sixty (60) days after written notice of such material breach was provided by the non-breaching party to the breaching party, the non-breaching party shall have the right at its option to terminate this Agreement effective at the end of such sixty (60) day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if such breach is not capable of being cured within such sixty (60) day period and the breaching party is diligently undertaking to cure such breach as soon as commercially feasible thereafter under the circumstances, the non-breaching party shall have no right to terminate this Agreement.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8.4</w:t>
      </w:r>
      <w:bookmarkStart w:id="104" w:name="TAB251"/>
      <w:bookmarkEnd w:id="104"/>
      <w:r>
        <w:rPr>
          <w:color w:val="000000"/>
          <w:spacing w:val="180"/>
        </w:rPr>
        <w:t> </w:t>
      </w:r>
      <w:r>
        <w:rPr>
          <w:rFonts w:ascii="Times New Roman" w:hAnsi="Times New Roman"/>
          <w:sz w:val="20"/>
          <w:u w:val="single"/>
        </w:rPr>
        <w:t>Effect of Termination</w:t>
      </w:r>
      <w:r>
        <w:rPr>
          <w:rFonts w:ascii="Times New Roman" w:hAnsi="Times New Roman"/>
          <w:sz w:val="20"/>
        </w:rPr>
        <w:t>.  Termination of this Agreement shall not relieve the parties of any obligation accruing prior to such termination, and the provisions of Sections 3.5.2, 4, 6, 7, 8.4 and 9.4 shall survive the termination of this Agreement.</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9.</w:t>
      </w:r>
      <w:bookmarkStart w:id="105" w:name="TAB252"/>
      <w:bookmarkEnd w:id="105"/>
      <w:r>
        <w:rPr>
          <w:color w:val="000000"/>
          <w:spacing w:val="180"/>
        </w:rPr>
        <w:t> </w:t>
      </w:r>
      <w:r>
        <w:rPr>
          <w:rFonts w:ascii="Times New Roman" w:hAnsi="Times New Roman"/>
          <w:sz w:val="20"/>
          <w:u w:val="single"/>
        </w:rPr>
        <w:t>MISCELLANEOUS.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9.1</w:t>
      </w:r>
      <w:bookmarkStart w:id="106" w:name="TAB253"/>
      <w:bookmarkEnd w:id="106"/>
      <w:r>
        <w:rPr>
          <w:color w:val="000000"/>
          <w:spacing w:val="180"/>
        </w:rPr>
        <w:t> </w:t>
      </w:r>
      <w:r>
        <w:rPr>
          <w:rFonts w:ascii="Times New Roman" w:hAnsi="Times New Roman"/>
          <w:sz w:val="20"/>
          <w:u w:val="single"/>
        </w:rPr>
        <w:t>Notices</w:t>
      </w:r>
      <w:r>
        <w:rPr>
          <w:rFonts w:ascii="Times New Roman" w:hAnsi="Times New Roman"/>
          <w:sz w:val="20"/>
        </w:rPr>
        <w:t>.  Any consent, notice or report required or permitted to be given or made under this Agreement by a party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to PCCA:                            Professional Compounding Centers of America, Inc.</w:t>
      </w:r>
    </w:p>
    <w:p>
      <w:pPr>
        <w:pStyle w:val="TextBody"/>
        <w:spacing w:before="0" w:after="0"/>
        <w:ind w:left="0" w:right="0" w:firstLine="2880"/>
        <w:jc w:val="both"/>
        <w:rPr>
          <w:rFonts w:ascii="Times New Roman" w:hAnsi="Times New Roman"/>
          <w:sz w:val="20"/>
        </w:rPr>
      </w:pPr>
      <w:r>
        <w:rPr>
          <w:rFonts w:ascii="Times New Roman" w:hAnsi="Times New Roman"/>
          <w:sz w:val="20"/>
        </w:rPr>
        <w:t>9901 South Wilcrest Drive</w:t>
      </w:r>
    </w:p>
    <w:p>
      <w:pPr>
        <w:pStyle w:val="TextBody"/>
        <w:spacing w:before="0" w:after="0"/>
        <w:ind w:left="0" w:right="0" w:firstLine="2880"/>
        <w:jc w:val="both"/>
        <w:rPr>
          <w:rFonts w:ascii="Times New Roman" w:hAnsi="Times New Roman"/>
          <w:sz w:val="20"/>
        </w:rPr>
      </w:pPr>
      <w:r>
        <w:rPr>
          <w:rFonts w:ascii="Times New Roman" w:hAnsi="Times New Roman"/>
          <w:sz w:val="20"/>
        </w:rPr>
        <w:t>Houston, Texas 77099</w:t>
      </w:r>
    </w:p>
    <w:p>
      <w:pPr>
        <w:pStyle w:val="TextBody"/>
        <w:spacing w:before="0" w:after="0"/>
        <w:ind w:left="0" w:right="0" w:firstLine="2880"/>
        <w:jc w:val="both"/>
        <w:rPr>
          <w:rFonts w:ascii="Times New Roman" w:hAnsi="Times New Roman"/>
          <w:sz w:val="20"/>
        </w:rPr>
      </w:pPr>
      <w:r>
        <w:rPr>
          <w:rFonts w:ascii="Times New Roman" w:hAnsi="Times New Roman"/>
          <w:sz w:val="20"/>
        </w:rPr>
        <w:t>Attention:  Marc DuPont, CPA</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with a copy to:                      G. Walter Rockwell, P.C.</w:t>
      </w:r>
    </w:p>
    <w:p>
      <w:pPr>
        <w:pStyle w:val="TextBody"/>
        <w:spacing w:before="0" w:after="0"/>
        <w:ind w:left="0" w:right="0" w:firstLine="2880"/>
        <w:jc w:val="both"/>
        <w:rPr>
          <w:rFonts w:ascii="Times New Roman" w:hAnsi="Times New Roman"/>
          <w:sz w:val="20"/>
        </w:rPr>
      </w:pPr>
      <w:r>
        <w:rPr>
          <w:rFonts w:ascii="Times New Roman" w:hAnsi="Times New Roman"/>
          <w:sz w:val="20"/>
        </w:rPr>
        <w:t>9301 Southwest Freeway, Suite 225</w:t>
      </w:r>
    </w:p>
    <w:p>
      <w:pPr>
        <w:pStyle w:val="TextBody"/>
        <w:spacing w:before="0" w:after="0"/>
        <w:ind w:left="0" w:right="0" w:firstLine="2880"/>
        <w:jc w:val="both"/>
        <w:rPr>
          <w:rFonts w:ascii="Times New Roman" w:hAnsi="Times New Roman"/>
          <w:sz w:val="20"/>
        </w:rPr>
      </w:pPr>
      <w:r>
        <w:rPr>
          <w:rFonts w:ascii="Times New Roman" w:hAnsi="Times New Roman"/>
          <w:sz w:val="20"/>
        </w:rPr>
        <w:t>Houston, TX 77074</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If to Imprimis:                         Imprimis Pharmaceuticals, Inc.</w:t>
      </w:r>
    </w:p>
    <w:p>
      <w:pPr>
        <w:pStyle w:val="TextBody"/>
        <w:spacing w:before="0" w:after="0"/>
        <w:ind w:left="0" w:right="0" w:firstLine="2880"/>
        <w:jc w:val="left"/>
        <w:rPr>
          <w:rFonts w:ascii="Times New Roman" w:hAnsi="Times New Roman"/>
          <w:sz w:val="20"/>
        </w:rPr>
      </w:pPr>
      <w:r>
        <w:rPr>
          <w:rFonts w:ascii="Times New Roman" w:hAnsi="Times New Roman"/>
          <w:sz w:val="20"/>
        </w:rPr>
        <w:t>437 South Highway 101, Suite 209</w:t>
      </w:r>
    </w:p>
    <w:p>
      <w:pPr>
        <w:pStyle w:val="TextBody"/>
        <w:spacing w:before="0" w:after="0"/>
        <w:ind w:left="0" w:right="0" w:firstLine="2880"/>
        <w:jc w:val="left"/>
        <w:rPr>
          <w:rFonts w:ascii="Times New Roman" w:hAnsi="Times New Roman"/>
          <w:sz w:val="20"/>
        </w:rPr>
      </w:pPr>
      <w:r>
        <w:rPr>
          <w:rFonts w:ascii="Times New Roman" w:hAnsi="Times New Roman"/>
          <w:sz w:val="20"/>
        </w:rPr>
        <w:t>Solana Beach, California 92075</w:t>
      </w:r>
    </w:p>
    <w:p>
      <w:pPr>
        <w:pStyle w:val="TextBody"/>
        <w:spacing w:before="0" w:after="0"/>
        <w:ind w:left="2880" w:right="0" w:hanging="0"/>
        <w:jc w:val="left"/>
        <w:rPr>
          <w:rFonts w:ascii="Times New Roman" w:hAnsi="Times New Roman"/>
          <w:sz w:val="20"/>
        </w:rPr>
      </w:pPr>
      <w:r>
        <w:rPr>
          <w:rFonts w:ascii="Times New Roman" w:hAnsi="Times New Roman"/>
          <w:sz w:val="20"/>
        </w:rPr>
        <w:t>Attention:  Mark Baum, Chief Executive Officer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with a copy to:                      Morrison &amp; Foerster LLP</w:t>
      </w:r>
    </w:p>
    <w:p>
      <w:pPr>
        <w:pStyle w:val="TextBody"/>
        <w:spacing w:before="0" w:after="0"/>
        <w:ind w:left="0" w:right="0" w:firstLine="2880"/>
        <w:jc w:val="left"/>
        <w:rPr>
          <w:rFonts w:ascii="Times New Roman" w:hAnsi="Times New Roman"/>
          <w:sz w:val="20"/>
        </w:rPr>
      </w:pPr>
      <w:r>
        <w:rPr>
          <w:rFonts w:ascii="Times New Roman" w:hAnsi="Times New Roman"/>
          <w:sz w:val="20"/>
        </w:rPr>
        <w:t>12531 High Bluff Drive, Suite 100</w:t>
      </w:r>
    </w:p>
    <w:p>
      <w:pPr>
        <w:pStyle w:val="TextBody"/>
        <w:spacing w:before="0" w:after="0"/>
        <w:ind w:left="0" w:right="0" w:firstLine="2880"/>
        <w:jc w:val="left"/>
        <w:rPr>
          <w:rFonts w:ascii="Times New Roman" w:hAnsi="Times New Roman"/>
          <w:sz w:val="20"/>
        </w:rPr>
      </w:pPr>
      <w:r>
        <w:rPr>
          <w:rFonts w:ascii="Times New Roman" w:hAnsi="Times New Roman"/>
          <w:sz w:val="20"/>
        </w:rPr>
        <w:t>San Diego, California 92130</w:t>
      </w:r>
    </w:p>
    <w:p>
      <w:pPr>
        <w:pStyle w:val="TextBody"/>
        <w:spacing w:before="0" w:after="0"/>
        <w:ind w:left="2880" w:right="0" w:hanging="0"/>
        <w:jc w:val="left"/>
        <w:rPr>
          <w:rFonts w:ascii="Times New Roman" w:hAnsi="Times New Roman"/>
          <w:sz w:val="20"/>
        </w:rPr>
      </w:pPr>
      <w:r>
        <w:rPr>
          <w:rFonts w:ascii="Times New Roman" w:hAnsi="Times New Roman"/>
          <w:sz w:val="20"/>
        </w:rPr>
        <w:t>Attention:  Mark R. Wicker</w:t>
      </w:r>
    </w:p>
    <w:p>
      <w:pPr>
        <w:pStyle w:val="TextBody"/>
        <w:spacing w:before="0" w:after="0"/>
        <w:ind w:left="288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7" w:name="PGBRK5"/>
      <w:bookmarkStart w:id="108" w:name="PGBRK5"/>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 w:name="FTR5"/>
      <w:bookmarkStart w:id="110" w:name="FTR5"/>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1" w:name="GLFTR5"/>
      <w:bookmarkEnd w:id="1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2" w:name="PN5"/>
      <w:bookmarkEnd w:id="112"/>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 w:name="HDR5"/>
      <w:bookmarkStart w:id="114" w:name="HDR5"/>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5" w:name="GLHDR5"/>
      <w:bookmarkEnd w:id="1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rPr/>
      </w:pPr>
      <w:r>
        <w:rPr/>
        <w:t> </w:t>
      </w:r>
    </w:p>
    <w:p>
      <w:pPr>
        <w:pStyle w:val="TextBody"/>
        <w:spacing w:before="0" w:after="0"/>
        <w:ind w:left="0" w:right="0" w:firstLine="1440"/>
        <w:rPr/>
      </w:pPr>
      <w:r>
        <w:rPr>
          <w:rFonts w:ascii="Times New Roman" w:hAnsi="Times New Roman"/>
          <w:sz w:val="20"/>
        </w:rPr>
        <w:t>9.2</w:t>
      </w:r>
      <w:bookmarkStart w:id="116" w:name="TAB254"/>
      <w:bookmarkEnd w:id="116"/>
      <w:r>
        <w:rPr>
          <w:color w:val="000000"/>
          <w:spacing w:val="180"/>
        </w:rPr>
        <w:t> </w:t>
      </w:r>
      <w:r>
        <w:rPr>
          <w:rFonts w:ascii="Times New Roman" w:hAnsi="Times New Roman"/>
          <w:sz w:val="20"/>
          <w:u w:val="single"/>
        </w:rPr>
        <w:t>Force Majeure</w:t>
      </w:r>
      <w:r>
        <w:rPr>
          <w:rFonts w:ascii="Times New Roman" w:hAnsi="Times New Roman"/>
          <w:sz w:val="20"/>
        </w:rPr>
        <w:t>.  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causes beyond the reasonable control of the affected party including but not limited to fire, floods, embargoes, war, acts of war (whether war be declared or not), acts of terrorism, insurrections, riots, civil commotions, strikes, lockouts or other labor disturbances, acts of God or acts, omissions or delays in acting by any governmental authority or the other party.</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9.3</w:t>
      </w:r>
      <w:bookmarkStart w:id="117" w:name="TAB255"/>
      <w:bookmarkEnd w:id="117"/>
      <w:r>
        <w:rPr>
          <w:color w:val="000000"/>
          <w:spacing w:val="180"/>
        </w:rPr>
        <w:t> </w:t>
      </w:r>
      <w:r>
        <w:rPr>
          <w:rFonts w:ascii="Times New Roman" w:hAnsi="Times New Roman"/>
          <w:sz w:val="20"/>
          <w:u w:val="single"/>
        </w:rPr>
        <w:t>Governing Law</w:t>
      </w:r>
      <w:r>
        <w:rPr>
          <w:rFonts w:ascii="Times New Roman" w:hAnsi="Times New Roman"/>
          <w:sz w:val="20"/>
        </w:rPr>
        <w:t>.  This Agreement shall be governed by and construed in accordance with the laws of the State of California, without regard to the conflicts of law principles thereof.</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9.4</w:t>
      </w:r>
      <w:bookmarkStart w:id="118" w:name="TAB256"/>
      <w:bookmarkEnd w:id="118"/>
      <w:r>
        <w:rPr>
          <w:color w:val="000000"/>
          <w:spacing w:val="180"/>
        </w:rPr>
        <w:t> </w:t>
      </w:r>
      <w:r>
        <w:rPr>
          <w:rFonts w:ascii="Times New Roman" w:hAnsi="Times New Roman"/>
          <w:sz w:val="20"/>
          <w:u w:val="single"/>
        </w:rPr>
        <w:t>Confidentiality</w:t>
      </w:r>
      <w:r>
        <w:rPr>
          <w:rFonts w:ascii="Times New Roman" w:hAnsi="Times New Roman"/>
          <w:sz w:val="20"/>
        </w:rPr>
        <w:t>.  Except as otherwise required by applicable law, regulation, rule or judicial order, neither party shall not disclose any terms or conditions of this Agreement, or the financial information provided hereunder, to any Third Party without the prior consent of the other party.</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9.5</w:t>
      </w:r>
      <w:bookmarkStart w:id="119" w:name="TAB257"/>
      <w:bookmarkEnd w:id="119"/>
      <w:r>
        <w:rPr>
          <w:color w:val="000000"/>
          <w:spacing w:val="180"/>
        </w:rPr>
        <w:t> </w:t>
      </w:r>
      <w:r>
        <w:rPr>
          <w:rFonts w:ascii="Times New Roman" w:hAnsi="Times New Roman"/>
          <w:sz w:val="20"/>
          <w:u w:val="single"/>
        </w:rPr>
        <w:t>Assignment</w:t>
      </w:r>
      <w:r>
        <w:rPr>
          <w:rFonts w:ascii="Times New Roman" w:hAnsi="Times New Roman"/>
          <w:sz w:val="20"/>
        </w:rPr>
        <w:t>.  Neither party shall have the right to assign its rights or obligations under this Agreement without the prior written consent of the other party; provided, however, that either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of control or similar transaction.  Any permitted assignee shall assume all obligations of its assignor under this Agreement.  Any purported assignment, transfer or delegation in violation of this Section </w:t>
      </w:r>
      <w:hyperlink w:anchor="_Ref333328660">
        <w:r>
          <w:rPr>
            <w:rStyle w:val="InternetLink"/>
            <w:rFonts w:ascii="Times New Roman" w:hAnsi="Times New Roman"/>
            <w:sz w:val="20"/>
          </w:rPr>
          <w:t>9.5</w:t>
        </w:r>
      </w:hyperlink>
      <w:r>
        <w:rPr>
          <w:rFonts w:ascii="Times New Roman" w:hAnsi="Times New Roman"/>
          <w:sz w:val="20"/>
        </w:rPr>
        <w:t xml:space="preserve"> shall be void.</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9.6</w:t>
      </w:r>
      <w:bookmarkStart w:id="120" w:name="TAB258"/>
      <w:bookmarkEnd w:id="120"/>
      <w:r>
        <w:rPr>
          <w:color w:val="000000"/>
          <w:spacing w:val="180"/>
        </w:rPr>
        <w:t> </w:t>
      </w:r>
      <w:r>
        <w:rPr>
          <w:rFonts w:ascii="Times New Roman" w:hAnsi="Times New Roman"/>
          <w:sz w:val="20"/>
          <w:u w:val="single"/>
        </w:rPr>
        <w:t>Waivers and Amendments</w:t>
      </w:r>
      <w:r>
        <w:rPr>
          <w:rFonts w:ascii="Times New Roman" w:hAnsi="Times New Roman"/>
          <w:sz w:val="20"/>
        </w:rPr>
        <w:t>.  No change, modification, extension, termination or waiver of this Agreement, or any of the provisions herein contained, shall be valid unless made in writing and signed by duly authorized representatives of the parties hereto.</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9.7</w:t>
      </w:r>
      <w:bookmarkStart w:id="121" w:name="TAB259"/>
      <w:bookmarkEnd w:id="121"/>
      <w:r>
        <w:rPr>
          <w:color w:val="000000"/>
          <w:spacing w:val="180"/>
        </w:rPr>
        <w:t> </w:t>
      </w:r>
      <w:r>
        <w:rPr>
          <w:rFonts w:ascii="Times New Roman" w:hAnsi="Times New Roman"/>
          <w:sz w:val="20"/>
          <w:u w:val="single"/>
        </w:rPr>
        <w:t>Entire Agreement</w:t>
      </w:r>
      <w:r>
        <w:rPr>
          <w:rFonts w:ascii="Times New Roman" w:hAnsi="Times New Roman"/>
          <w:sz w:val="20"/>
        </w:rPr>
        <w:t>.  This Agreement embodies the entire agreement between the parties and supersedes any prior representations, understandings and agreements between the parties regarding the subject matter hereof.  There are no representations, understandings or agreements, oral or written, between the parties regarding the subject matter hereof that are not fully expressed herein.</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9.8</w:t>
      </w:r>
      <w:bookmarkStart w:id="122" w:name="TAB260"/>
      <w:bookmarkEnd w:id="122"/>
      <w:r>
        <w:rPr>
          <w:color w:val="000000"/>
          <w:spacing w:val="180"/>
        </w:rPr>
        <w:t> </w:t>
      </w:r>
      <w:r>
        <w:rPr>
          <w:rFonts w:ascii="Times New Roman" w:hAnsi="Times New Roman"/>
          <w:sz w:val="20"/>
          <w:u w:val="single"/>
        </w:rPr>
        <w:t>Severability</w:t>
      </w:r>
      <w:r>
        <w:rPr>
          <w:rFonts w:ascii="Times New Roman" w:hAnsi="Times New Roman"/>
          <w:sz w:val="20"/>
        </w:rPr>
        <w:t>.  Any of the provisions of this Agreement which are determined to be invalid or unenforceable in any jurisdiction shall be ineffective to the extent of such invalidity or unenforceability in such jurisdiction, without rendering invalid or unenforceable the remaining provisions hereof and without affecting the validity or enforceability of any of the terms of this Agreement in any other jurisdiction.</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9.9</w:t>
      </w:r>
      <w:bookmarkStart w:id="123" w:name="TAB261"/>
      <w:bookmarkEnd w:id="123"/>
      <w:r>
        <w:rPr>
          <w:color w:val="000000"/>
          <w:spacing w:val="180"/>
        </w:rPr>
        <w:t> </w:t>
      </w:r>
      <w:r>
        <w:rPr>
          <w:rFonts w:ascii="Times New Roman" w:hAnsi="Times New Roman"/>
          <w:sz w:val="20"/>
          <w:u w:val="single"/>
        </w:rPr>
        <w:t>Waiver</w:t>
      </w:r>
      <w:r>
        <w:rPr>
          <w:rFonts w:ascii="Times New Roman" w:hAnsi="Times New Roman"/>
          <w:sz w:val="20"/>
        </w:rPr>
        <w:t>.  The waiver by either party hereto of any right hereunder or the failure to perform or of a breach by the other party shall not be deemed a waiver of any other right hereunder or of any other breach or failure by said other party whether of a similar nature or otherwise.</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9.10</w:t>
      </w:r>
      <w:bookmarkStart w:id="124" w:name="TAB262"/>
      <w:bookmarkEnd w:id="124"/>
      <w:r>
        <w:rPr>
          <w:color w:val="000000"/>
          <w:spacing w:val="180"/>
        </w:rPr>
        <w:t> </w:t>
      </w:r>
      <w:r>
        <w:rPr>
          <w:rFonts w:ascii="Times New Roman" w:hAnsi="Times New Roman"/>
          <w:sz w:val="20"/>
          <w:u w:val="single"/>
        </w:rPr>
        <w:t>Counterparts</w:t>
      </w:r>
      <w:r>
        <w:rPr>
          <w:rFonts w:ascii="Times New Roman" w:hAnsi="Times New Roman"/>
          <w:sz w:val="20"/>
        </w:rPr>
        <w:t>.  This Agreement may be executed in two or more counterparts, each of which shall be deemed an original, but all of which together shall constitute one and the same instrument.</w:t>
      </w:r>
    </w:p>
    <w:p>
      <w:pPr>
        <w:pStyle w:val="TextBody"/>
        <w:spacing w:before="0" w:after="0"/>
        <w:ind w:left="0" w:right="0" w:hanging="0"/>
        <w:jc w:val="both"/>
        <w:rPr/>
      </w:pPr>
      <w:r>
        <w:rPr/>
        <w:t> </w:t>
      </w:r>
    </w:p>
    <w:p>
      <w:pPr>
        <w:pStyle w:val="TextBody"/>
        <w:spacing w:before="0" w:after="0"/>
        <w:ind w:left="0" w:right="0" w:hanging="0"/>
        <w:jc w:val="center"/>
        <w:rPr/>
      </w:pPr>
      <w:r>
        <w:rPr/>
        <w:t> </w:t>
      </w:r>
      <w:r>
        <w:rPr>
          <w:rFonts w:ascii="Times New Roman" w:hAnsi="Times New Roman"/>
          <w:sz w:val="20"/>
        </w:rPr>
        <w:t>[REMAINDER OF PAGE INTENTIONALLY LEFT BLANK]</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5" w:name="PGBRK6"/>
      <w:bookmarkStart w:id="126" w:name="PGBRK6"/>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 w:name="FTR6"/>
      <w:bookmarkStart w:id="128" w:name="FTR6"/>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9" w:name="GLFTR6"/>
      <w:bookmarkEnd w:id="1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0" w:name="PN6"/>
      <w:bookmarkEnd w:id="130"/>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 w:name="HDR6"/>
      <w:bookmarkStart w:id="132" w:name="HDR6"/>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3" w:name="GLHDR6"/>
      <w:bookmarkEnd w:id="1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 WITNESS WHEREOF, the parties hereto have each caused this Agreement to be executed by their duly-authorized representatives as of the Effective Date.</w:t>
      </w:r>
    </w:p>
    <w:p>
      <w:pPr>
        <w:pStyle w:val="TextBody"/>
        <w:spacing w:before="0" w:after="0"/>
        <w:ind w:left="0" w:right="0" w:hanging="0"/>
        <w:jc w:val="both"/>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33"/>
        <w:gridCol w:w="325"/>
        <w:gridCol w:w="3639"/>
        <w:gridCol w:w="1208"/>
      </w:tblGrid>
      <w:tr>
        <w:trPr/>
        <w:tc>
          <w:tcPr>
            <w:tcW w:w="5033" w:type="dxa"/>
            <w:tcBorders/>
            <w:shd w:fill="auto" w:val="clear"/>
          </w:tcPr>
          <w:p>
            <w:pPr>
              <w:pStyle w:val="TableContents"/>
              <w:spacing w:before="0" w:after="283"/>
              <w:rPr/>
            </w:pPr>
            <w:r>
              <w:rPr/>
              <w:t> </w:t>
            </w:r>
          </w:p>
        </w:tc>
        <w:tc>
          <w:tcPr>
            <w:tcW w:w="3964" w:type="dxa"/>
            <w:gridSpan w:val="2"/>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IMPRIMIS PHARMACEUTICALS, INC.</w:t>
            </w:r>
          </w:p>
        </w:tc>
        <w:tc>
          <w:tcPr>
            <w:tcW w:w="1208" w:type="dxa"/>
            <w:tcBorders/>
            <w:shd w:fill="auto" w:val="clear"/>
          </w:tcPr>
          <w:p>
            <w:pPr>
              <w:pStyle w:val="TableContents"/>
              <w:spacing w:before="0" w:after="283"/>
              <w:rPr/>
            </w:pPr>
            <w:r>
              <w:rPr/>
              <w:t> </w:t>
            </w:r>
          </w:p>
        </w:tc>
      </w:tr>
      <w:tr>
        <w:trPr/>
        <w:tc>
          <w:tcPr>
            <w:tcW w:w="5033" w:type="dxa"/>
            <w:tcBorders/>
            <w:shd w:fill="auto" w:val="clear"/>
          </w:tcPr>
          <w:p>
            <w:pPr>
              <w:pStyle w:val="TableContents"/>
              <w:spacing w:before="0" w:after="283"/>
              <w:rPr/>
            </w:pPr>
            <w:r>
              <w:rPr/>
              <w:t> </w:t>
            </w:r>
          </w:p>
        </w:tc>
        <w:tc>
          <w:tcPr>
            <w:tcW w:w="325" w:type="dxa"/>
            <w:tcBorders/>
            <w:shd w:fill="auto" w:val="clear"/>
          </w:tcPr>
          <w:p>
            <w:pPr>
              <w:pStyle w:val="TableContents"/>
              <w:spacing w:before="0" w:after="283"/>
              <w:rPr/>
            </w:pPr>
            <w:r>
              <w:rPr/>
              <w:t> </w:t>
            </w:r>
          </w:p>
        </w:tc>
        <w:tc>
          <w:tcPr>
            <w:tcW w:w="3639" w:type="dxa"/>
            <w:tcBorders/>
            <w:shd w:fill="auto" w:val="clear"/>
          </w:tcPr>
          <w:p>
            <w:pPr>
              <w:pStyle w:val="TableContents"/>
              <w:spacing w:before="0" w:after="283"/>
              <w:rPr/>
            </w:pPr>
            <w:r>
              <w:rPr/>
              <w:t> </w:t>
            </w:r>
          </w:p>
        </w:tc>
        <w:tc>
          <w:tcPr>
            <w:tcW w:w="1208" w:type="dxa"/>
            <w:tcBorders/>
            <w:shd w:fill="auto" w:val="clear"/>
          </w:tcPr>
          <w:p>
            <w:pPr>
              <w:pStyle w:val="TableContents"/>
              <w:spacing w:before="0" w:after="283"/>
              <w:rPr/>
            </w:pPr>
            <w:r>
              <w:rPr/>
              <w:t> </w:t>
            </w:r>
          </w:p>
        </w:tc>
      </w:tr>
      <w:tr>
        <w:trPr/>
        <w:tc>
          <w:tcPr>
            <w:tcW w:w="5033"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w:t>
            </w:r>
          </w:p>
        </w:tc>
        <w:tc>
          <w:tcPr>
            <w:tcW w:w="32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639"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Mark L. Baum</w:t>
            </w:r>
          </w:p>
        </w:tc>
        <w:tc>
          <w:tcPr>
            <w:tcW w:w="1208" w:type="dxa"/>
            <w:tcBorders>
              <w:bottom w:val="single" w:sz="4" w:space="0" w:color="FFFFFF"/>
            </w:tcBorders>
            <w:shd w:fill="auto" w:val="clear"/>
            <w:tcMar>
              <w:bottom w:w="28" w:type="dxa"/>
            </w:tcMar>
          </w:tcPr>
          <w:p>
            <w:pPr>
              <w:pStyle w:val="TableContents"/>
              <w:spacing w:before="0" w:after="283"/>
              <w:rPr/>
            </w:pPr>
            <w:r>
              <w:rPr/>
              <w:t> </w:t>
            </w:r>
          </w:p>
        </w:tc>
      </w:tr>
      <w:tr>
        <w:trPr/>
        <w:tc>
          <w:tcPr>
            <w:tcW w:w="5033" w:type="dxa"/>
            <w:tcBorders/>
            <w:shd w:fill="auto" w:val="clear"/>
          </w:tcPr>
          <w:p>
            <w:pPr>
              <w:pStyle w:val="TableContents"/>
              <w:spacing w:before="0" w:after="283"/>
              <w:rPr/>
            </w:pPr>
            <w:r>
              <w:rPr/>
              <w:t> </w:t>
            </w:r>
          </w:p>
        </w:tc>
        <w:tc>
          <w:tcPr>
            <w:tcW w:w="325" w:type="dxa"/>
            <w:tcBorders/>
            <w:shd w:fill="auto" w:val="clear"/>
          </w:tcPr>
          <w:p>
            <w:pPr>
              <w:pStyle w:val="TableContents"/>
              <w:spacing w:before="0" w:after="283"/>
              <w:rPr/>
            </w:pPr>
            <w:r>
              <w:rPr/>
              <w:t> </w:t>
            </w:r>
          </w:p>
        </w:tc>
        <w:tc>
          <w:tcPr>
            <w:tcW w:w="363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Mark L. Baum</w:t>
            </w:r>
          </w:p>
        </w:tc>
        <w:tc>
          <w:tcPr>
            <w:tcW w:w="1208" w:type="dxa"/>
            <w:tcBorders/>
            <w:shd w:fill="auto" w:val="clear"/>
          </w:tcPr>
          <w:p>
            <w:pPr>
              <w:pStyle w:val="TableContents"/>
              <w:spacing w:before="0" w:after="283"/>
              <w:rPr/>
            </w:pPr>
            <w:r>
              <w:rPr/>
              <w:t> </w:t>
            </w:r>
          </w:p>
        </w:tc>
      </w:tr>
      <w:tr>
        <w:trPr/>
        <w:tc>
          <w:tcPr>
            <w:tcW w:w="5033" w:type="dxa"/>
            <w:tcBorders/>
            <w:shd w:fill="auto" w:val="clear"/>
          </w:tcPr>
          <w:p>
            <w:pPr>
              <w:pStyle w:val="TableContents"/>
              <w:spacing w:before="0" w:after="283"/>
              <w:rPr/>
            </w:pPr>
            <w:r>
              <w:rPr/>
              <w:t> </w:t>
            </w:r>
          </w:p>
        </w:tc>
        <w:tc>
          <w:tcPr>
            <w:tcW w:w="325" w:type="dxa"/>
            <w:tcBorders/>
            <w:shd w:fill="auto" w:val="clear"/>
          </w:tcPr>
          <w:p>
            <w:pPr>
              <w:pStyle w:val="TableContents"/>
              <w:spacing w:before="0" w:after="283"/>
              <w:rPr/>
            </w:pPr>
            <w:r>
              <w:rPr/>
              <w:t> </w:t>
            </w:r>
          </w:p>
        </w:tc>
        <w:tc>
          <w:tcPr>
            <w:tcW w:w="3639" w:type="dxa"/>
            <w:tcBorders/>
            <w:shd w:fill="auto" w:val="clear"/>
          </w:tcPr>
          <w:p>
            <w:pPr>
              <w:pStyle w:val="TableContents"/>
              <w:spacing w:before="0" w:after="283"/>
              <w:rPr>
                <w:rFonts w:ascii="Times New Roman" w:hAnsi="Times New Roman"/>
                <w:sz w:val="20"/>
              </w:rPr>
            </w:pPr>
            <w:r>
              <w:rPr>
                <w:rFonts w:ascii="Times New Roman" w:hAnsi="Times New Roman"/>
                <w:sz w:val="20"/>
              </w:rPr>
              <w:t>C.E.O.</w:t>
            </w:r>
          </w:p>
        </w:tc>
        <w:tc>
          <w:tcPr>
            <w:tcW w:w="1208" w:type="dxa"/>
            <w:tcBorders/>
            <w:shd w:fill="auto" w:val="clear"/>
          </w:tcPr>
          <w:p>
            <w:pPr>
              <w:pStyle w:val="TableContents"/>
              <w:spacing w:before="0" w:after="283"/>
              <w:rPr/>
            </w:pPr>
            <w:r>
              <w:rPr/>
              <w:t> </w:t>
            </w:r>
          </w:p>
        </w:tc>
      </w:tr>
      <w:tr>
        <w:trPr/>
        <w:tc>
          <w:tcPr>
            <w:tcW w:w="5033" w:type="dxa"/>
            <w:tcBorders/>
            <w:shd w:fill="auto" w:val="clear"/>
          </w:tcPr>
          <w:p>
            <w:pPr>
              <w:pStyle w:val="TableContents"/>
              <w:spacing w:before="0" w:after="283"/>
              <w:rPr/>
            </w:pPr>
            <w:r>
              <w:rPr/>
              <w:t> </w:t>
            </w:r>
          </w:p>
        </w:tc>
        <w:tc>
          <w:tcPr>
            <w:tcW w:w="325" w:type="dxa"/>
            <w:tcBorders/>
            <w:shd w:fill="auto" w:val="clear"/>
          </w:tcPr>
          <w:p>
            <w:pPr>
              <w:pStyle w:val="TableContents"/>
              <w:spacing w:before="0" w:after="283"/>
              <w:rPr/>
            </w:pPr>
            <w:r>
              <w:rPr/>
              <w:t> </w:t>
            </w:r>
          </w:p>
        </w:tc>
        <w:tc>
          <w:tcPr>
            <w:tcW w:w="3639" w:type="dxa"/>
            <w:tcBorders/>
            <w:shd w:fill="auto" w:val="clear"/>
          </w:tcPr>
          <w:p>
            <w:pPr>
              <w:pStyle w:val="TableContents"/>
              <w:spacing w:before="0" w:after="283"/>
              <w:rPr/>
            </w:pPr>
            <w:r>
              <w:rPr/>
              <w:t> </w:t>
            </w:r>
          </w:p>
        </w:tc>
        <w:tc>
          <w:tcPr>
            <w:tcW w:w="1208" w:type="dxa"/>
            <w:tcBorders/>
            <w:shd w:fill="auto" w:val="clear"/>
          </w:tcPr>
          <w:p>
            <w:pPr>
              <w:pStyle w:val="TableContents"/>
              <w:spacing w:before="0" w:after="283"/>
              <w:rPr/>
            </w:pPr>
            <w:r>
              <w:rPr/>
              <w:t> </w:t>
            </w:r>
          </w:p>
        </w:tc>
      </w:tr>
    </w:tbl>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2"/>
        <w:gridCol w:w="306"/>
        <w:gridCol w:w="3572"/>
        <w:gridCol w:w="1225"/>
      </w:tblGrid>
      <w:tr>
        <w:trPr/>
        <w:tc>
          <w:tcPr>
            <w:tcW w:w="5102"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PROFESSIONAL COMPOUNDING CENTERS OF AMERICA, INC.</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2"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w:t>
            </w:r>
          </w:p>
        </w:tc>
        <w:tc>
          <w:tcPr>
            <w:tcW w:w="306"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Marc Dupont</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Marc Dupont </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C.F.O.</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4" w:name="PGBRK7"/>
      <w:bookmarkStart w:id="135" w:name="PGBRK7"/>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 w:name="FTR7"/>
      <w:bookmarkStart w:id="137" w:name="FTR7"/>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8" w:name="GLFTR7"/>
      <w:bookmarkEnd w:id="1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9" w:name="PN7"/>
      <w:bookmarkEnd w:id="139"/>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0" w:name="HDR7"/>
      <w:bookmarkStart w:id="141" w:name="HDR7"/>
      <w:bookmarkEnd w:id="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2" w:name="GLHDR7"/>
      <w:bookmarkEnd w:id="1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EXHIBIT A</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615"/>
        <w:gridCol w:w="5590"/>
      </w:tblGrid>
      <w:tr>
        <w:trPr/>
        <w:tc>
          <w:tcPr>
            <w:tcW w:w="461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Identified Member/Customer</w:t>
            </w:r>
          </w:p>
        </w:tc>
        <w:tc>
          <w:tcPr>
            <w:tcW w:w="5590"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Subject Matter of IP Rights</w:t>
            </w:r>
          </w:p>
        </w:tc>
      </w:tr>
      <w:tr>
        <w:trPr/>
        <w:tc>
          <w:tcPr>
            <w:tcW w:w="4615" w:type="dxa"/>
            <w:tcBorders/>
            <w:shd w:fill="auto" w:val="clear"/>
            <w:vAlign w:val="center"/>
          </w:tcPr>
          <w:p>
            <w:pPr>
              <w:pStyle w:val="TableContents"/>
              <w:spacing w:before="0" w:after="283"/>
              <w:rPr/>
            </w:pPr>
            <w:r>
              <w:rPr/>
              <w:t xml:space="preserve">  </w:t>
            </w:r>
          </w:p>
        </w:tc>
        <w:tc>
          <w:tcPr>
            <w:tcW w:w="5590" w:type="dxa"/>
            <w:tcBorders/>
            <w:shd w:fill="auto" w:val="clear"/>
          </w:tcPr>
          <w:p>
            <w:pPr>
              <w:pStyle w:val="TableContents"/>
              <w:spacing w:before="0" w:after="283"/>
              <w:rPr/>
            </w:pPr>
            <w:r>
              <w:rPr/>
              <w:t xml:space="preserve">  </w:t>
            </w:r>
          </w:p>
        </w:tc>
      </w:tr>
      <w:tr>
        <w:trPr/>
        <w:tc>
          <w:tcPr>
            <w:tcW w:w="4615" w:type="dxa"/>
            <w:tcBorders/>
            <w:shd w:fill="auto" w:val="clear"/>
            <w:vAlign w:val="center"/>
          </w:tcPr>
          <w:p>
            <w:pPr>
              <w:pStyle w:val="TableContents"/>
              <w:spacing w:before="0" w:after="283"/>
              <w:rPr/>
            </w:pPr>
            <w:r>
              <w:rPr/>
              <w:t xml:space="preserve">  </w:t>
            </w:r>
          </w:p>
        </w:tc>
        <w:tc>
          <w:tcPr>
            <w:tcW w:w="5590"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5152</Words>
  <CharactersWithSpaces>33729</CharactersWithSpaces>
  <Paragraphs>366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