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20" w:right="1800" w:hanging="3812"/>
        <w:spacing w:after="0" w:line="500" w:lineRule="auto"/>
        <w:tabs>
          <w:tab w:leader="none" w:pos="31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ind w:left="3240" w:right="1820" w:hanging="3232"/>
        <w:spacing w:after="0" w:line="500" w:lineRule="auto"/>
        <w:tabs>
          <w:tab w:leader="none" w:pos="15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spacing w:after="0" w:line="1" w:lineRule="exact"/>
        <w:rPr>
          <w:rFonts w:ascii="Arial" w:cs="Arial" w:eastAsia="Arial" w:hAnsi="Arial"/>
          <w:sz w:val="18"/>
          <w:szCs w:val="18"/>
          <w:b w:val="1"/>
          <w:bCs w:val="1"/>
          <w:color w:val="auto"/>
        </w:rPr>
      </w:pPr>
    </w:p>
    <w:p>
      <w:pPr>
        <w:ind w:left="4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6280" w:type="dxa"/>
            <w:vAlign w:val="bottom"/>
          </w:tcPr>
          <w:p>
            <w:pPr>
              <w:jc w:val="center"/>
              <w:ind w:right="347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280" w:type="dxa"/>
            <w:vAlign w:val="bottom"/>
          </w:tcPr>
          <w:p>
            <w:pPr>
              <w:jc w:val="center"/>
              <w:ind w:right="347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280" w:type="dxa"/>
            <w:vAlign w:val="bottom"/>
          </w:tcPr>
          <w:p>
            <w:pPr>
              <w:jc w:val="center"/>
              <w:ind w:right="347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28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102 Woodmont Blvd., Suite 610</w:t>
            </w:r>
          </w:p>
        </w:tc>
        <w:tc>
          <w:tcPr>
            <w:tcW w:w="1480" w:type="dxa"/>
            <w:vAlign w:val="bottom"/>
          </w:tcPr>
          <w:p>
            <w:pPr>
              <w:spacing w:after="0"/>
              <w:rPr>
                <w:sz w:val="24"/>
                <w:szCs w:val="24"/>
                <w:color w:val="auto"/>
              </w:rPr>
            </w:pPr>
          </w:p>
        </w:tc>
      </w:tr>
      <w:tr>
        <w:trPr>
          <w:trHeight w:val="220"/>
        </w:trPr>
        <w:tc>
          <w:tcPr>
            <w:tcW w:w="6280" w:type="dxa"/>
            <w:vAlign w:val="bottom"/>
          </w:tcPr>
          <w:p>
            <w:pPr>
              <w:jc w:val="center"/>
              <w:ind w:right="3350"/>
              <w:spacing w:after="0"/>
              <w:rPr>
                <w:sz w:val="20"/>
                <w:szCs w:val="20"/>
                <w:color w:val="auto"/>
              </w:rPr>
            </w:pPr>
            <w:r>
              <w:rPr>
                <w:rFonts w:ascii="Arial" w:cs="Arial" w:eastAsia="Arial" w:hAnsi="Arial"/>
                <w:sz w:val="18"/>
                <w:szCs w:val="18"/>
                <w:b w:val="1"/>
                <w:bCs w:val="1"/>
                <w:color w:val="auto"/>
                <w:w w:val="85"/>
              </w:rPr>
              <w:t>Nashville, Tennessee</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37205</w:t>
            </w:r>
          </w:p>
        </w:tc>
      </w:tr>
      <w:tr>
        <w:trPr>
          <w:trHeight w:val="230"/>
        </w:trPr>
        <w:tc>
          <w:tcPr>
            <w:tcW w:w="6280" w:type="dxa"/>
            <w:vAlign w:val="bottom"/>
          </w:tcPr>
          <w:p>
            <w:pPr>
              <w:jc w:val="center"/>
              <w:ind w:right="335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(Zip code)</w:t>
            </w:r>
          </w:p>
        </w:tc>
      </w:tr>
      <w:tr>
        <w:trPr>
          <w:trHeight w:val="418"/>
        </w:trPr>
        <w:tc>
          <w:tcPr>
            <w:tcW w:w="6280" w:type="dxa"/>
            <w:vAlign w:val="bottom"/>
          </w:tcPr>
          <w:p>
            <w:pPr>
              <w:jc w:val="right"/>
              <w:ind w:right="1410"/>
              <w:spacing w:after="0"/>
              <w:rPr>
                <w:sz w:val="20"/>
                <w:szCs w:val="20"/>
                <w:color w:val="auto"/>
              </w:rPr>
            </w:pPr>
            <w:r>
              <w:rPr>
                <w:rFonts w:ascii="Arial" w:cs="Arial" w:eastAsia="Arial" w:hAnsi="Arial"/>
                <w:sz w:val="18"/>
                <w:szCs w:val="18"/>
                <w:b w:val="1"/>
                <w:bCs w:val="1"/>
                <w:color w:val="auto"/>
              </w:rPr>
              <w:t>(615) 733-4730</w:t>
            </w:r>
          </w:p>
        </w:tc>
        <w:tc>
          <w:tcPr>
            <w:tcW w:w="1480" w:type="dxa"/>
            <w:vAlign w:val="bottom"/>
          </w:tcPr>
          <w:p>
            <w:pPr>
              <w:spacing w:after="0"/>
              <w:rPr>
                <w:sz w:val="24"/>
                <w:szCs w:val="24"/>
                <w:color w:val="auto"/>
              </w:rPr>
            </w:pPr>
          </w:p>
        </w:tc>
      </w:tr>
      <w:tr>
        <w:trPr>
          <w:trHeight w:val="230"/>
        </w:trPr>
        <w:tc>
          <w:tcPr>
            <w:tcW w:w="6280" w:type="dxa"/>
            <w:vAlign w:val="bottom"/>
          </w:tcPr>
          <w:p>
            <w:pPr>
              <w:jc w:val="center"/>
              <w:ind w:left="2070"/>
              <w:spacing w:after="0"/>
              <w:rPr>
                <w:sz w:val="20"/>
                <w:szCs w:val="20"/>
                <w:color w:val="auto"/>
              </w:rPr>
            </w:pPr>
            <w:r>
              <w:rPr>
                <w:rFonts w:ascii="Arial" w:cs="Arial" w:eastAsia="Arial" w:hAnsi="Arial"/>
                <w:sz w:val="18"/>
                <w:szCs w:val="18"/>
                <w:color w:val="auto"/>
                <w:w w:val="89"/>
              </w:rPr>
              <w:t>(Registrant’s telephone number, including area code)</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w:t>
      </w:r>
    </w:p>
    <w:p>
      <w:pPr>
        <w:spacing w:after="0" w:line="170"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930"/>
              <w:spacing w:after="0"/>
              <w:rPr>
                <w:sz w:val="20"/>
                <w:szCs w:val="20"/>
                <w:color w:val="auto"/>
              </w:rPr>
            </w:pPr>
            <w:r>
              <w:rPr>
                <w:rFonts w:ascii="Arial" w:cs="Arial" w:eastAsia="Arial" w:hAnsi="Arial"/>
                <w:sz w:val="18"/>
                <w:szCs w:val="18"/>
                <w:color w:val="auto"/>
              </w:rPr>
              <w:t>]</w:t>
            </w:r>
          </w:p>
        </w:tc>
        <w:tc>
          <w:tcPr>
            <w:tcW w:w="440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440"/>
              <w:spacing w:after="0"/>
              <w:rPr>
                <w:sz w:val="20"/>
                <w:szCs w:val="20"/>
                <w:color w:val="auto"/>
              </w:rPr>
            </w:pPr>
            <w:r>
              <w:rPr>
                <w:rFonts w:ascii="Arial" w:cs="Arial" w:eastAsia="Arial" w:hAnsi="Arial"/>
                <w:sz w:val="18"/>
                <w:szCs w:val="18"/>
                <w:color w:val="auto"/>
                <w:w w:val="99"/>
              </w:rPr>
              <w:t>[X]</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930"/>
              <w:spacing w:after="0"/>
              <w:rPr>
                <w:sz w:val="20"/>
                <w:szCs w:val="20"/>
                <w:color w:val="auto"/>
              </w:rPr>
            </w:pPr>
            <w:r>
              <w:rPr>
                <w:rFonts w:ascii="Arial" w:cs="Arial" w:eastAsia="Arial" w:hAnsi="Arial"/>
                <w:sz w:val="18"/>
                <w:szCs w:val="18"/>
                <w:color w:val="auto"/>
              </w:rPr>
              <w:t>]</w:t>
            </w:r>
          </w:p>
        </w:tc>
        <w:tc>
          <w:tcPr>
            <w:tcW w:w="440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440"/>
              <w:spacing w:after="0"/>
              <w:rPr>
                <w:sz w:val="20"/>
                <w:szCs w:val="20"/>
                <w:color w:val="auto"/>
              </w:rPr>
            </w:pPr>
            <w:r>
              <w:rPr>
                <w:rFonts w:ascii="Arial" w:cs="Arial" w:eastAsia="Arial" w:hAnsi="Arial"/>
                <w:sz w:val="18"/>
                <w:szCs w:val="18"/>
                <w:color w:val="auto"/>
                <w:w w:val="99"/>
              </w:rPr>
              <w:t>[X]</w:t>
            </w:r>
          </w:p>
        </w:tc>
      </w:tr>
      <w:tr>
        <w:trPr>
          <w:trHeight w:val="230"/>
        </w:trPr>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440"/>
              <w:spacing w:after="0"/>
              <w:rPr>
                <w:sz w:val="20"/>
                <w:szCs w:val="20"/>
                <w:color w:val="auto"/>
              </w:rPr>
            </w:pPr>
            <w:r>
              <w:rPr>
                <w:rFonts w:ascii="Arial" w:cs="Arial" w:eastAsia="Arial" w:hAnsi="Arial"/>
                <w:sz w:val="18"/>
                <w:szCs w:val="18"/>
                <w:color w:val="auto"/>
              </w:rPr>
              <w:t>[ ]</w:t>
            </w: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May 8, 2020, there were 25,618,918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620" w:type="dxa"/>
            <w:vAlign w:val="bottom"/>
            <w:gridSpan w:val="2"/>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60"/>
        </w:trPr>
        <w:tc>
          <w:tcPr>
            <w:tcW w:w="108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2.</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3.</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4.</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1A.</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2.</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3.</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4.</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5.</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 6.</w:t>
            </w: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0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9520" w:type="dxa"/>
            <w:vAlign w:val="bottom"/>
            <w:gridSpan w:val="3"/>
            <w:shd w:val="clear" w:color="auto" w:fill="CCEEFF"/>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439"/>
        </w:trPr>
        <w:tc>
          <w:tcPr>
            <w:tcW w:w="10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center"/>
              <w:ind w:left="3830"/>
              <w:spacing w:after="0"/>
              <w:rPr>
                <w:sz w:val="20"/>
                <w:szCs w:val="20"/>
                <w:color w:val="auto"/>
              </w:rPr>
            </w:pPr>
            <w:r>
              <w:rPr>
                <w:rFonts w:ascii="Arial" w:cs="Arial" w:eastAsia="Arial" w:hAnsi="Arial"/>
                <w:sz w:val="18"/>
                <w:szCs w:val="18"/>
                <w:color w:val="auto"/>
                <w:w w:val="99"/>
              </w:rPr>
              <w:t>2</w:t>
            </w:r>
          </w:p>
        </w:tc>
        <w:tc>
          <w:tcPr>
            <w:tcW w:w="4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14,350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3,989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25,808</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6,431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3,408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7,527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13,224</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12,284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portion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Finance lease obligations,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11,605</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COMMITMENTS AND CONTIGENCIES STOCKHOLDERS’ EQUITY</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Common stock, $0.001 par value, 50,000,000 shares authorized, 25,618,918 and 25,526,931</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at March 31, 2020 and December 31, 2019, respectively</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102,261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101,728</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(86,950)</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15,337</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27,711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15,028</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27,418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46,893</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341"/>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18"/>
                <w:szCs w:val="18"/>
                <w:color w:val="auto"/>
              </w:rPr>
            </w:pPr>
          </w:p>
        </w:tc>
        <w:tc>
          <w:tcPr>
            <w:tcW w:w="1500" w:type="dxa"/>
            <w:vAlign w:val="bottom"/>
            <w:gridSpan w:val="2"/>
          </w:tcPr>
          <w:p>
            <w:pPr>
              <w:jc w:val="center"/>
              <w:ind w:right="30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341"/>
              <w:spacing w:after="0"/>
              <w:rPr>
                <w:sz w:val="20"/>
                <w:szCs w:val="20"/>
                <w:color w:val="auto"/>
              </w:rPr>
            </w:pPr>
            <w:r>
              <w:rPr>
                <w:rFonts w:ascii="Arial" w:cs="Arial" w:eastAsia="Arial" w:hAnsi="Arial"/>
                <w:sz w:val="18"/>
                <w:szCs w:val="18"/>
                <w:color w:val="auto"/>
                <w:w w:val="90"/>
              </w:rPr>
              <w:t>Three Months Ended</w:t>
            </w:r>
          </w:p>
        </w:tc>
        <w:tc>
          <w:tcPr>
            <w:tcW w:w="1780" w:type="dxa"/>
            <w:vAlign w:val="bottom"/>
            <w:gridSpan w:val="3"/>
          </w:tcPr>
          <w:p>
            <w:pPr>
              <w:jc w:val="center"/>
              <w:ind w:right="21"/>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March 31,</w:t>
            </w:r>
          </w:p>
        </w:tc>
        <w:tc>
          <w:tcPr>
            <w:tcW w:w="280" w:type="dxa"/>
            <w:vAlign w:val="bottom"/>
          </w:tcPr>
          <w:p>
            <w:pPr>
              <w:spacing w:after="0"/>
              <w:rPr>
                <w:sz w:val="19"/>
                <w:szCs w:val="19"/>
                <w:color w:val="auto"/>
              </w:rPr>
            </w:pPr>
          </w:p>
        </w:tc>
        <w:tc>
          <w:tcPr>
            <w:tcW w:w="150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11,810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11,817</w:t>
            </w: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(3,626)</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8,191</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8,416</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8,819</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(loss) gain from Melt Pharmaceuticals, net</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gain from Surface Pharmaceuticals, net</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(loss) gain from Eton Pharmaceuticals, net</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(10,850)</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income, net</w:t>
            </w: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(12,295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80" w:type="dxa"/>
            <w:vAlign w:val="bottom"/>
          </w:tcPr>
          <w:p>
            <w:pPr>
              <w:spacing w:after="0"/>
              <w:rPr>
                <w:sz w:val="20"/>
                <w:szCs w:val="20"/>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(loss) income including noncontrolling interests</w:t>
            </w: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Pr>
          <w:p>
            <w:pPr>
              <w:spacing w:after="0"/>
              <w:rPr>
                <w:sz w:val="20"/>
                <w:szCs w:val="20"/>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Harrow Health,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Basic net (loss) income per share of common stock</w:t>
            </w: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income per share of common stock</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basic</w:t>
            </w: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25,867,568</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24,841,386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shares of common stock outstanding, diluted</w:t>
            </w:r>
          </w:p>
        </w:tc>
        <w:tc>
          <w:tcPr>
            <w:tcW w:w="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25,867,568</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26,589,695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for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Harrow</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459"/>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52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color w:val="auto"/>
              </w:rPr>
              <w:t>Common Stock</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Paid-in</w:t>
            </w:r>
          </w:p>
        </w:tc>
        <w:tc>
          <w:tcPr>
            <w:tcW w:w="1180" w:type="dxa"/>
            <w:vAlign w:val="bottom"/>
            <w:gridSpan w:val="4"/>
          </w:tcPr>
          <w:p>
            <w:pPr>
              <w:ind w:left="100"/>
              <w:spacing w:after="0"/>
              <w:rPr>
                <w:sz w:val="20"/>
                <w:szCs w:val="20"/>
                <w:color w:val="auto"/>
              </w:rPr>
            </w:pPr>
            <w:r>
              <w:rPr>
                <w:rFonts w:ascii="Arial" w:cs="Arial" w:eastAsia="Arial" w:hAnsi="Arial"/>
                <w:sz w:val="16"/>
                <w:szCs w:val="16"/>
                <w:color w:val="auto"/>
              </w:rPr>
              <w:t>Accumulated</w:t>
            </w:r>
          </w:p>
        </w:tc>
        <w:tc>
          <w:tcPr>
            <w:tcW w:w="106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1280" w:type="dxa"/>
            <w:vAlign w:val="bottom"/>
            <w:gridSpan w:val="4"/>
          </w:tcPr>
          <w:p>
            <w:pPr>
              <w:ind w:left="80"/>
              <w:spacing w:after="0"/>
              <w:rPr>
                <w:sz w:val="20"/>
                <w:szCs w:val="20"/>
                <w:color w:val="auto"/>
              </w:rPr>
            </w:pPr>
            <w:r>
              <w:rPr>
                <w:rFonts w:ascii="Arial" w:cs="Arial" w:eastAsia="Arial" w:hAnsi="Arial"/>
                <w:sz w:val="16"/>
                <w:szCs w:val="16"/>
                <w:color w:val="auto"/>
              </w:rPr>
              <w:t>Noncontrolling</w:t>
            </w:r>
          </w:p>
        </w:tc>
        <w:tc>
          <w:tcPr>
            <w:tcW w:w="100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w w:val="93"/>
              </w:rPr>
              <w:t>Par Value</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Capital</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Deficit</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Interest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Equity</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24,339,610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98,938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(74,211)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24,751</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80"/>
              <w:spacing w:after="0"/>
              <w:rPr>
                <w:sz w:val="20"/>
                <w:szCs w:val="20"/>
                <w:color w:val="auto"/>
              </w:rPr>
            </w:pPr>
            <w:r>
              <w:rPr>
                <w:rFonts w:ascii="Arial" w:cs="Arial" w:eastAsia="Arial" w:hAnsi="Arial"/>
                <w:sz w:val="16"/>
                <w:szCs w:val="16"/>
                <w:color w:val="auto"/>
              </w:rPr>
              <w:t>Exercise of warrants</w:t>
            </w:r>
          </w:p>
        </w:tc>
        <w:tc>
          <w:tcPr>
            <w:tcW w:w="840" w:type="dxa"/>
            <w:vAlign w:val="bottom"/>
          </w:tcPr>
          <w:p>
            <w:pPr>
              <w:jc w:val="right"/>
              <w:spacing w:after="0"/>
              <w:rPr>
                <w:sz w:val="20"/>
                <w:szCs w:val="20"/>
                <w:color w:val="auto"/>
              </w:rPr>
            </w:pPr>
            <w:r>
              <w:rPr>
                <w:rFonts w:ascii="Arial" w:cs="Arial" w:eastAsia="Arial" w:hAnsi="Arial"/>
                <w:sz w:val="16"/>
                <w:szCs w:val="16"/>
                <w:color w:val="auto"/>
              </w:rPr>
              <w:t>364,039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payment for services provided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11,358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11,333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at March 31, 2019</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24,718,649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99,887</w:t>
            </w:r>
          </w:p>
        </w:tc>
        <w:tc>
          <w:tcPr>
            <w:tcW w:w="120" w:type="dxa"/>
            <w:vAlign w:val="bottom"/>
          </w:tcPr>
          <w:p>
            <w:pPr>
              <w:spacing w:after="0"/>
              <w:rPr>
                <w:sz w:val="21"/>
                <w:szCs w:val="21"/>
                <w:color w:val="auto"/>
              </w:rPr>
            </w:pP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(62,853</w:t>
            </w:r>
          </w:p>
        </w:tc>
        <w:tc>
          <w:tcPr>
            <w:tcW w:w="220" w:type="dxa"/>
            <w:vAlign w:val="bottom"/>
            <w:vMerge w:val="continue"/>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37,059</w:t>
            </w:r>
          </w:p>
        </w:tc>
        <w:tc>
          <w:tcPr>
            <w:tcW w:w="1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vMerge w:val="continue"/>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37,034</w:t>
            </w:r>
          </w:p>
        </w:tc>
        <w:tc>
          <w:tcPr>
            <w:tcW w:w="0" w:type="dxa"/>
            <w:vAlign w:val="bottom"/>
          </w:tcPr>
          <w:p>
            <w:pPr>
              <w:spacing w:after="0"/>
              <w:rPr>
                <w:sz w:val="1"/>
                <w:szCs w:val="1"/>
                <w:color w:val="auto"/>
              </w:rPr>
            </w:pPr>
          </w:p>
        </w:tc>
      </w:tr>
      <w:tr>
        <w:trPr>
          <w:trHeight w:val="186"/>
        </w:trPr>
        <w:tc>
          <w:tcPr>
            <w:tcW w:w="38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40" w:type="dxa"/>
            <w:vAlign w:val="bottom"/>
          </w:tcPr>
          <w:p>
            <w:pPr>
              <w:jc w:val="right"/>
              <w:spacing w:after="0"/>
              <w:rPr>
                <w:sz w:val="20"/>
                <w:szCs w:val="20"/>
                <w:color w:val="auto"/>
              </w:rPr>
            </w:pPr>
            <w:r>
              <w:rPr>
                <w:rFonts w:ascii="Arial" w:cs="Arial" w:eastAsia="Arial" w:hAnsi="Arial"/>
                <w:sz w:val="16"/>
                <w:szCs w:val="16"/>
                <w:color w:val="auto"/>
              </w:rPr>
              <w:t>25,526,931</w:t>
            </w:r>
          </w:p>
        </w:tc>
        <w:tc>
          <w:tcPr>
            <w:tcW w:w="120" w:type="dxa"/>
            <w:vAlign w:val="bottom"/>
          </w:tcPr>
          <w:p>
            <w:pPr>
              <w:spacing w:after="0"/>
              <w:rPr>
                <w:sz w:val="17"/>
                <w:szCs w:val="17"/>
                <w:color w:val="auto"/>
              </w:rPr>
            </w:pPr>
          </w:p>
        </w:tc>
        <w:tc>
          <w:tcPr>
            <w:tcW w:w="56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101,728</w:t>
            </w:r>
          </w:p>
        </w:tc>
        <w:tc>
          <w:tcPr>
            <w:tcW w:w="12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(74,043)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27,711</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(293)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6"/>
                <w:szCs w:val="16"/>
                <w:color w:val="auto"/>
              </w:rPr>
              <w:t>Vesting of RSUs</w:t>
            </w:r>
          </w:p>
        </w:tc>
        <w:tc>
          <w:tcPr>
            <w:tcW w:w="840" w:type="dxa"/>
            <w:vAlign w:val="bottom"/>
          </w:tcPr>
          <w:p>
            <w:pPr>
              <w:jc w:val="right"/>
              <w:spacing w:after="0"/>
              <w:rPr>
                <w:sz w:val="20"/>
                <w:szCs w:val="20"/>
                <w:color w:val="auto"/>
              </w:rPr>
            </w:pPr>
            <w:r>
              <w:rPr>
                <w:rFonts w:ascii="Arial" w:cs="Arial" w:eastAsia="Arial" w:hAnsi="Arial"/>
                <w:sz w:val="16"/>
                <w:szCs w:val="16"/>
                <w:color w:val="auto"/>
              </w:rPr>
              <w:t>91,987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(12,907)</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(12,907)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(12,923)</w:t>
            </w:r>
          </w:p>
        </w:tc>
        <w:tc>
          <w:tcPr>
            <w:tcW w:w="0" w:type="dxa"/>
            <w:vAlign w:val="bottom"/>
          </w:tcPr>
          <w:p>
            <w:pPr>
              <w:spacing w:after="0"/>
              <w:rPr>
                <w:sz w:val="1"/>
                <w:szCs w:val="1"/>
                <w:color w:val="auto"/>
              </w:rPr>
            </w:pPr>
          </w:p>
        </w:tc>
      </w:tr>
      <w:tr>
        <w:trPr>
          <w:trHeight w:val="30"/>
        </w:trPr>
        <w:tc>
          <w:tcPr>
            <w:tcW w:w="38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25,618,918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102,261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(86,950</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341"/>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18"/>
                <w:szCs w:val="18"/>
                <w:color w:val="auto"/>
              </w:rPr>
            </w:pPr>
          </w:p>
        </w:tc>
        <w:tc>
          <w:tcPr>
            <w:tcW w:w="1500" w:type="dxa"/>
            <w:vAlign w:val="bottom"/>
            <w:gridSpan w:val="2"/>
          </w:tcPr>
          <w:p>
            <w:pPr>
              <w:jc w:val="center"/>
              <w:ind w:right="30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341"/>
              <w:spacing w:after="0"/>
              <w:rPr>
                <w:sz w:val="20"/>
                <w:szCs w:val="20"/>
                <w:color w:val="auto"/>
              </w:rPr>
            </w:pPr>
            <w:r>
              <w:rPr>
                <w:rFonts w:ascii="Arial" w:cs="Arial" w:eastAsia="Arial" w:hAnsi="Arial"/>
                <w:sz w:val="18"/>
                <w:szCs w:val="18"/>
                <w:color w:val="auto"/>
                <w:w w:val="90"/>
              </w:rPr>
              <w:t>Three Months Ended</w:t>
            </w:r>
          </w:p>
        </w:tc>
        <w:tc>
          <w:tcPr>
            <w:tcW w:w="1780" w:type="dxa"/>
            <w:vAlign w:val="bottom"/>
            <w:gridSpan w:val="3"/>
          </w:tcPr>
          <w:p>
            <w:pPr>
              <w:jc w:val="center"/>
              <w:ind w:right="21"/>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March 31,</w:t>
            </w:r>
          </w:p>
        </w:tc>
        <w:tc>
          <w:tcPr>
            <w:tcW w:w="280" w:type="dxa"/>
            <w:vAlign w:val="bottom"/>
          </w:tcPr>
          <w:p>
            <w:pPr>
              <w:spacing w:after="0"/>
              <w:rPr>
                <w:sz w:val="19"/>
                <w:szCs w:val="19"/>
                <w:color w:val="auto"/>
              </w:rPr>
            </w:pPr>
          </w:p>
        </w:tc>
        <w:tc>
          <w:tcPr>
            <w:tcW w:w="150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income (including noncontrolling interests)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(12,923)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loss (gain) from Eton, net</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10,850</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(gain) from Surface, net</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loss (gain) from Melt, net</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and disposal of assets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payment of consulting services</w:t>
            </w:r>
          </w:p>
        </w:tc>
        <w:tc>
          <w:tcPr>
            <w:tcW w:w="80" w:type="dxa"/>
            <w:vAlign w:val="bottom"/>
          </w:tcPr>
          <w:p>
            <w:pPr>
              <w:spacing w:after="0"/>
              <w:rPr>
                <w:sz w:val="18"/>
                <w:szCs w:val="18"/>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80" w:type="dxa"/>
            <w:vAlign w:val="bottom"/>
          </w:tcPr>
          <w:p>
            <w:pPr>
              <w:spacing w:after="0"/>
              <w:rPr>
                <w:sz w:val="20"/>
                <w:szCs w:val="20"/>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on sale and disposal of assets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80" w:type="dxa"/>
            <w:vAlign w:val="bottom"/>
          </w:tcPr>
          <w:p>
            <w:pPr>
              <w:spacing w:after="0"/>
              <w:rPr>
                <w:sz w:val="18"/>
                <w:szCs w:val="18"/>
                <w:color w:val="auto"/>
              </w:rPr>
            </w:pPr>
          </w:p>
        </w:tc>
        <w:tc>
          <w:tcPr>
            <w:tcW w:w="1940" w:type="dxa"/>
            <w:vAlign w:val="bottom"/>
            <w:gridSpan w:val="2"/>
          </w:tcPr>
          <w:p>
            <w:pPr>
              <w:jc w:val="right"/>
              <w:ind w:right="18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note payable</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6"/>
        </w:trPr>
        <w:tc>
          <w:tcPr>
            <w:tcW w:w="7440" w:type="dxa"/>
            <w:vAlign w:val="bottom"/>
          </w:tcPr>
          <w:p>
            <w:pPr>
              <w:ind w:left="360"/>
              <w:spacing w:after="0"/>
              <w:rPr>
                <w:sz w:val="20"/>
                <w:szCs w:val="20"/>
                <w:color w:val="auto"/>
              </w:rPr>
            </w:pPr>
            <w:r>
              <w:rPr>
                <w:rFonts w:ascii="Arial" w:cs="Arial" w:eastAsia="Arial" w:hAnsi="Arial"/>
                <w:sz w:val="18"/>
                <w:szCs w:val="18"/>
                <w:color w:val="auto"/>
              </w:rPr>
              <w:t>Net proceeds from exercise of warrants</w:t>
            </w:r>
          </w:p>
        </w:tc>
        <w:tc>
          <w:tcPr>
            <w:tcW w:w="80" w:type="dxa"/>
            <w:vAlign w:val="bottom"/>
          </w:tcPr>
          <w:p>
            <w:pPr>
              <w:spacing w:after="0"/>
              <w:rPr>
                <w:sz w:val="20"/>
                <w:szCs w:val="20"/>
                <w:color w:val="auto"/>
              </w:rPr>
            </w:pP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8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(825)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(2,573)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beginning of period</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4,949</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CASH, CASH EQUIVALENTS AND RESTRICTED CASH,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3,924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paid for interest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36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 obtained in exchange for lease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Changes in accrued property and equipment purchases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Acquisition of property, plant and equipment with finance lease obligations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equity positions in Eton Pharmaceuticals, Inc. (“Eton”), Surface Pharmaceuticals, Inc. (“Surface”), and Melt Pharmaceuticals, Inc. (“Melt”), all companies that began as subsidiaries of Harrow. More recently, the Company founded drug development subsidiaries Mayfield Pharmaceuticals, Inc. (“Mayfield”), Radley Pharmaceuticals, Inc. (“Radley”), and Stowe Pharmaceuticals, Inc. (“Stowe”). In 2020, Harrow created Visionology, Inc., which intends to launch an online eye health platform business. Harrow also owns royalty rights in various drug candidates being developed by Surface, Melt, Radley and Mayfield. The Company intends to continue to create, and hold equity and royalty rights in, new businesses that commercialize drug candidates that are internally developed or otherwise acquired or licensed from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2020 are not necessarily indicative of the results that may be expected for the year ending December 31, 2020 or for any other period. For further information, refer to the Company’s audited consolidated financial statements and footnotes thereto included in the Company’s Annual Report on Form 10-K for the year ended December 31, 2019.</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 owned subsidiaries, as well as Mayfield, 79% majority controlled, and Stowe, 70% majority controlled, each subsidiaries of Harrow as of March 31, 2020. The remaining 21% of Mayfield is owned by Elle Pharmaceutical, LLC (“Elle”), TGV-Health, LLC and its affiliated entities (collectively “TGV”) or other consultants. Mayfield was organized to develop women’s health-focused drug candidates. The remaining 30% of Stowe is owned by TGV. Stowe was organized to develop ophthalmic drug candidates. All inter-company accounts and transactions have been eliminated in consolidation.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it has a controlling financial interest. We consolidate subsidiaries in which we hold and/or control, directly or indirectly, more than 50% of the voting rights. All intercompany accounts and transactions have been eliminated in consolidation.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balance sheets at March 31, 2020 and December 31, 2019 and the condensed consolidated statements of operations, stockholders’ equity and cash flows for the periods ended March 31, 2020 and 2019 include our accounts and those of our wholly owned subsidiaries as well as Mayfield and Stowe.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risks and uncertainties as a result of the COVID-19 pandemic. On March 18, 2020, the Centers for Medicare &amp; Medicaid Services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recommendations, stay-at-home orders and other restrictive measures, and created significant volatility in financial markets.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the Company’s customers use its drugs in procedures impacted by the CMS guidance to limit elective procedures. In addition, the Company and our business partners need access to healthcare providers and facilities to conduct clinical trials and other activities required to achieve regulatory clearance of products under development.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reductions in elective procedures in response to CMS guidance have had, and will continue to have, an adverse impact, which may be material, to the Company’s financial condition, liquidity and results of operations. The severity of the impact of the COVID-19 pandemic on the Company’s business will depend on a number of factors, including, but not limited to, the duration and severity of the pandemic and the extent and severity of the impact on its customers, all of which are uncertain and cannot be predicted. As of the date of issuance of this Quarterly Report, the extent to which the COVID-19 pandemic may materially impact the Company’s financial condition, liquidity or results of operations is uncertain. For further information, refer to “Risk Factors” in Part II, Item 1A of this Quarterly Report.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operating losses of $628 and $556 for the three months ended March 31, 2020 and 2019, respectively, and had an accumulated deficit of $86,950 and $74,043 as of March 31, 2020 and December 31, 2019, respectively. In addition, the Company used cash in operating activities of $550 and $1,476 for the three months ended March 31, 2020 and 2019,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there is no assurance, management of the Company believes existing cash resources and restricted cash of $4,124 at March 31, 2020, along with $2,967 in aggregate proceeds received from loan arrangements in April 2020 (see Note 16),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2020 to the significant accounting policies described in the Company’s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as operating segments. The Company has identified two operating segments as reportable segments. See Note 15 for more information regarding the Company’s reportable segments.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stock options, unvested restricted stock units (“RSUs”) and warrants were 5,253,638 and 5,838,230 at March 31, 2020 and 2019, respectively, and, except for the three months ended March 31, 2019, are excluded from the calculation of diluted net income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March 31, 2020 and 2019 was 244,460 and 270,783,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income (loss) per share of common stock for the three months ended March 31,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gridSpan w:val="5"/>
          </w:tcPr>
          <w:p>
            <w:pPr>
              <w:ind w:left="200"/>
              <w:spacing w:after="0"/>
              <w:rPr>
                <w:sz w:val="20"/>
                <w:szCs w:val="20"/>
                <w:color w:val="auto"/>
              </w:rPr>
            </w:pPr>
            <w:r>
              <w:rPr>
                <w:rFonts w:ascii="Arial" w:cs="Arial" w:eastAsia="Arial" w:hAnsi="Arial"/>
                <w:sz w:val="18"/>
                <w:szCs w:val="18"/>
                <w:color w:val="auto"/>
              </w:rPr>
              <w:t>For the Three Months Ended March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 to Harrow Health, Inc.</w:t>
            </w:r>
          </w:p>
        </w:tc>
        <w:tc>
          <w:tcPr>
            <w:tcW w:w="5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(12,907)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Denominator – weighted average number of shares outstanding, basic</w:t>
            </w: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25,867,568</w:t>
            </w:r>
          </w:p>
        </w:tc>
        <w:tc>
          <w:tcPr>
            <w:tcW w:w="28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24,841,386</w:t>
            </w:r>
          </w:p>
        </w:tc>
        <w:tc>
          <w:tcPr>
            <w:tcW w:w="100" w:type="dxa"/>
            <w:vAlign w:val="bottom"/>
            <w:tcBorders>
              <w:bottom w:val="single" w:sz="8" w:color="CCEEFF"/>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basic</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For the three months ended March 31, 2019, the Company had net income. As a result, the Company computed diluted net income per share using the weighted-average number of common shares and dilutive common equivalent shares outstanding during those periods. Diluted common equivalent shares for the three months ended March 31, 2019,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Pr>
          <w:p>
            <w:pPr>
              <w:spacing w:after="0"/>
              <w:rPr>
                <w:sz w:val="20"/>
                <w:szCs w:val="20"/>
                <w:color w:val="auto"/>
              </w:rPr>
            </w:pPr>
          </w:p>
        </w:tc>
        <w:tc>
          <w:tcPr>
            <w:tcW w:w="1740" w:type="dxa"/>
            <w:vAlign w:val="bottom"/>
            <w:gridSpan w:val="3"/>
          </w:tcPr>
          <w:p>
            <w:pPr>
              <w:ind w:left="260"/>
              <w:spacing w:after="0"/>
              <w:rPr>
                <w:sz w:val="20"/>
                <w:szCs w:val="20"/>
                <w:color w:val="auto"/>
              </w:rPr>
            </w:pPr>
            <w:r>
              <w:rPr>
                <w:rFonts w:ascii="Arial" w:cs="Arial" w:eastAsia="Arial" w:hAnsi="Arial"/>
                <w:sz w:val="18"/>
                <w:szCs w:val="18"/>
                <w:color w:val="auto"/>
              </w:rPr>
              <w:t>March 31, 2019</w:t>
            </w:r>
          </w:p>
        </w:tc>
      </w:tr>
      <w:tr>
        <w:trPr>
          <w:trHeight w:val="216"/>
        </w:trPr>
        <w:tc>
          <w:tcPr>
            <w:tcW w:w="55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1,067,808</w:t>
            </w:r>
          </w:p>
        </w:tc>
        <w:tc>
          <w:tcPr>
            <w:tcW w:w="40" w:type="dxa"/>
            <w:vAlign w:val="bottom"/>
          </w:tcPr>
          <w:p>
            <w:pPr>
              <w:spacing w:after="0"/>
              <w:rPr>
                <w:sz w:val="18"/>
                <w:szCs w:val="18"/>
                <w:color w:val="auto"/>
              </w:rPr>
            </w:pPr>
          </w:p>
        </w:tc>
      </w:tr>
      <w:tr>
        <w:trPr>
          <w:trHeight w:val="249"/>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680,501</w:t>
            </w:r>
          </w:p>
        </w:tc>
        <w:tc>
          <w:tcPr>
            <w:tcW w:w="40" w:type="dxa"/>
            <w:vAlign w:val="bottom"/>
            <w:shd w:val="clear" w:color="auto" w:fill="CCEEFF"/>
          </w:tcPr>
          <w:p>
            <w:pPr>
              <w:spacing w:after="0"/>
              <w:rPr>
                <w:sz w:val="21"/>
                <w:szCs w:val="21"/>
                <w:color w:val="auto"/>
              </w:rPr>
            </w:pPr>
          </w:p>
        </w:tc>
      </w:tr>
      <w:tr>
        <w:trPr>
          <w:trHeight w:val="217"/>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Dilutive common equivalent shares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1,748,309</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diluted net income (loss) per share of common stock for the three months ended March 31,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80" w:type="dxa"/>
            <w:vAlign w:val="bottom"/>
            <w:gridSpan w:val="7"/>
          </w:tcPr>
          <w:p>
            <w:pPr>
              <w:ind w:left="260"/>
              <w:spacing w:after="0"/>
              <w:rPr>
                <w:sz w:val="20"/>
                <w:szCs w:val="20"/>
                <w:color w:val="auto"/>
              </w:rPr>
            </w:pPr>
            <w:r>
              <w:rPr>
                <w:rFonts w:ascii="Arial" w:cs="Arial" w:eastAsia="Arial" w:hAnsi="Arial"/>
                <w:sz w:val="18"/>
                <w:szCs w:val="18"/>
                <w:color w:val="auto"/>
              </w:rPr>
              <w:t>For the Three Months Ended March 31,</w:t>
            </w: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 to Harrow Health, Inc.</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(12,907)</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 weighted average number of shares outstanding, basic</w:t>
            </w: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25,867,568</w:t>
            </w:r>
          </w:p>
        </w:tc>
        <w:tc>
          <w:tcPr>
            <w:tcW w:w="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24,841,386</w:t>
            </w: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000" w:type="dxa"/>
            <w:vAlign w:val="bottom"/>
          </w:tcPr>
          <w:p>
            <w:pPr>
              <w:spacing w:after="0"/>
              <w:rPr>
                <w:sz w:val="20"/>
                <w:szCs w:val="20"/>
                <w:color w:val="auto"/>
              </w:rPr>
            </w:pPr>
            <w:r>
              <w:rPr>
                <w:rFonts w:ascii="Arial" w:cs="Arial" w:eastAsia="Arial" w:hAnsi="Arial"/>
                <w:sz w:val="18"/>
                <w:szCs w:val="18"/>
                <w:color w:val="auto"/>
              </w:rPr>
              <w:t>Dilutive common equivalent shares</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1,748,309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shares used for diluted earnings per share computation</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25,867,568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26,589,695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8"/>
                <w:szCs w:val="18"/>
                <w:b w:val="1"/>
                <w:bCs w:val="1"/>
                <w:color w:val="auto"/>
              </w:rPr>
              <w:t>Net (loss) income per share, diluted</w:t>
            </w:r>
          </w:p>
        </w:tc>
        <w:tc>
          <w:tcPr>
            <w:tcW w:w="9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3,500,000 shares of Eton common stock, which represents approximately 16.9% of the equity and voting interests of Eton as of March 31, 2020. At March 31, 2020, the last trading day of the period ended March 31, 2020</w:t>
      </w:r>
      <w:r>
        <w:rPr>
          <w:rFonts w:ascii="Arial" w:cs="Arial" w:eastAsia="Arial" w:hAnsi="Arial"/>
          <w:sz w:val="18"/>
          <w:szCs w:val="18"/>
          <w:b w:val="1"/>
          <w:bCs w:val="1"/>
          <w:color w:val="auto"/>
        </w:rPr>
        <w:t>,</w:t>
      </w:r>
      <w:r>
        <w:rPr>
          <w:rFonts w:ascii="Arial" w:cs="Arial" w:eastAsia="Arial" w:hAnsi="Arial"/>
          <w:sz w:val="18"/>
          <w:szCs w:val="18"/>
          <w:color w:val="auto"/>
        </w:rPr>
        <w:t xml:space="preserve"> the fair market value of Eton’s common stock was $4.10 per share. In accordance with the Accounting Standards Update (“ASU”) 2016-01, </w:t>
      </w:r>
      <w:r>
        <w:rPr>
          <w:rFonts w:ascii="Arial" w:cs="Arial" w:eastAsia="Arial" w:hAnsi="Arial"/>
          <w:sz w:val="18"/>
          <w:szCs w:val="18"/>
          <w:i w:val="1"/>
          <w:iCs w:val="1"/>
          <w:color w:val="auto"/>
        </w:rPr>
        <w:t>Financial Instruments-Overall (Subtopic 825-10): Recognition and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Assets and Financial Liabilities</w:t>
      </w:r>
      <w:r>
        <w:rPr>
          <w:rFonts w:ascii="Arial" w:cs="Arial" w:eastAsia="Arial" w:hAnsi="Arial"/>
          <w:sz w:val="18"/>
          <w:szCs w:val="18"/>
          <w:color w:val="auto"/>
        </w:rPr>
        <w:t>, the Company recorded an unrealized investment loss from its Eton common stock position of $10,850 and an</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investment gain of $6,580 during the three months ended March 31, 2020 and 2019, respectively, related to the change in fair market value of the Company’s investment in Eton during the measurement period. As of March 31, 2020, the fair market value of the Company’s investment in Eton was $14,350.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2018, the Company formed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January 2019, the Company deconsolidated Melt and recorded a gain of $5,810 and adjusted the carrying value in Melt to reflect the increased valuation of Melt and the Company’s new ownership interest in accordance with Accounting Standard Codification (“ASC”) 810-10-40-4(c),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The Company owns 3,500,000 common shares (which is approximately 44% of the equity interests as of March 31, 2020) of Melt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During the three months ended March 31, 2020 and 2019, the Company recorded equity in the net losses of Melt of $546 and $285, respectively. As of March 31, 2020, the carrying value of the Company’s investment in Melt was $3,422.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3,500,000 common shares (which is approximately 30% of the equity interests as of March 31, 2020)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losses of Surface of $339 and $243 during the three months ended March 31, 2020 and 2019, respectively. As of March 31, 2020, the carrying value of the Company’s investment in Surface was $3,408.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ASU 2016-13, Financial Instruments-Credit Losses: Measurement of Credit Losses on Financial Instruments,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The Company adopted ASU 2016-13 on January 1, 2020, and adoption of the standard did not have a material effect on the Company’s consolidated financial position, results of operations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improved the effectiveness of disclosure requirements for recurring and nonrecurring fair value measurements. The standard removes, modifies, and adds certain disclosure requirements. The Company adopted ASU 2018-13 on January 1, 2020, and adoption of the standard did not have a material effect on the Company’s consolidated financial position, results of operations and cash flows.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adopted ASU 2017-04 on January 1, 2020, and adoption of the standard did not have a material effect on the Company’s consolidated financial position,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 part of its initiative to reduce complexity in accounting standards. The amendments in the ASU are effective for fiscal years beginning after December 15, 2020, including interim periods therein. Early adoption of the standard is permitted. The Company does not expect ASU 2019-12 to have a material impact on its consolidated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Revenues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A contract exists with a customer at the time the prescription or order is received by the Company.</w:t>
      </w:r>
    </w:p>
    <w:p>
      <w:pPr>
        <w:spacing w:after="0" w:line="46" w:lineRule="exact"/>
        <w:rPr>
          <w:rFonts w:ascii="Arial" w:cs="Arial" w:eastAsia="Arial" w:hAnsi="Arial"/>
          <w:sz w:val="16"/>
          <w:szCs w:val="16"/>
          <w:color w:val="auto"/>
        </w:rPr>
      </w:pPr>
    </w:p>
    <w:p>
      <w:pPr>
        <w:ind w:left="980" w:hanging="324"/>
        <w:spacing w:after="0" w:line="26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ind w:left="980" w:hanging="324"/>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Revenue disaggregated by revenue source for the three months ended March 31, 2020 and 2019,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41"/>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6"/>
        </w:trPr>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40" w:type="dxa"/>
            <w:vAlign w:val="bottom"/>
            <w:shd w:val="clear" w:color="auto" w:fill="CCEEFF"/>
          </w:tcPr>
          <w:p>
            <w:pPr>
              <w:spacing w:after="0"/>
              <w:rPr>
                <w:sz w:val="18"/>
                <w:szCs w:val="18"/>
                <w:color w:val="auto"/>
              </w:rPr>
            </w:pPr>
          </w:p>
        </w:tc>
      </w:tr>
      <w:tr>
        <w:trPr>
          <w:trHeight w:val="236"/>
        </w:trPr>
        <w:tc>
          <w:tcPr>
            <w:tcW w:w="3920" w:type="dxa"/>
            <w:vAlign w:val="bottom"/>
          </w:tcPr>
          <w:p>
            <w:pPr>
              <w:spacing w:after="0"/>
              <w:rPr>
                <w:sz w:val="20"/>
                <w:szCs w:val="20"/>
                <w:color w:val="auto"/>
              </w:rPr>
            </w:pPr>
            <w:r>
              <w:rPr>
                <w:rFonts w:ascii="Arial" w:cs="Arial" w:eastAsia="Arial" w:hAnsi="Arial"/>
                <w:sz w:val="18"/>
                <w:szCs w:val="18"/>
                <w:color w:val="auto"/>
              </w:rPr>
              <w:t>License revenues</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March 31, 2020 and December 31, 2019, was $60 and $57, respectively. All deferred revenue and customer deposit amounts at December 31, 2019 were recognized as revenue during the three months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5% of net sales of the Melt Products while any patent rights remain outstanding, as well as other conditions. In January and March 2019, the Company entered into the Melt Series A Preferred Stock Agreement.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Company was due $754 from Melt for reimbursable expenses and amounts due under the Melt MSA and are included in prepaid expenses and other current assets on the accompanying condensed consolidated balance sheets. During the three months ended March 31, 2020, Melt paid the Company $0.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Three Months</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1,235</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4500" w:type="dxa"/>
            <w:vAlign w:val="bottom"/>
          </w:tcPr>
          <w:p>
            <w:pPr>
              <w:spacing w:after="0"/>
              <w:rPr>
                <w:sz w:val="19"/>
                <w:szCs w:val="19"/>
                <w:color w:val="auto"/>
              </w:rPr>
            </w:pPr>
          </w:p>
        </w:tc>
      </w:tr>
      <w:tr>
        <w:trPr>
          <w:trHeight w:val="241"/>
        </w:trPr>
        <w:tc>
          <w:tcPr>
            <w:tcW w:w="42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450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4500" w:type="dxa"/>
            <w:vAlign w:val="bottom"/>
          </w:tcPr>
          <w:p>
            <w:pPr>
              <w:spacing w:after="0"/>
              <w:rPr>
                <w:sz w:val="18"/>
                <w:szCs w:val="18"/>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Non current assets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4500" w:type="dxa"/>
            <w:vAlign w:val="bottom"/>
          </w:tcPr>
          <w:p>
            <w:pPr>
              <w:spacing w:after="0"/>
              <w:rPr>
                <w:sz w:val="20"/>
                <w:szCs w:val="20"/>
                <w:color w:val="auto"/>
              </w:rPr>
            </w:pP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45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4500" w:type="dxa"/>
            <w:vAlign w:val="bottom"/>
          </w:tcPr>
          <w:p>
            <w:pPr>
              <w:spacing w:after="0"/>
              <w:rPr>
                <w:sz w:val="18"/>
                <w:szCs w:val="18"/>
                <w:color w:val="auto"/>
              </w:rPr>
            </w:pP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4,562</w:t>
            </w:r>
          </w:p>
        </w:tc>
        <w:tc>
          <w:tcPr>
            <w:tcW w:w="4500" w:type="dxa"/>
            <w:vAlign w:val="bottom"/>
          </w:tcPr>
          <w:p>
            <w:pPr>
              <w:spacing w:after="0"/>
              <w:rPr>
                <w:sz w:val="20"/>
                <w:szCs w:val="20"/>
                <w:color w:val="auto"/>
              </w:rPr>
            </w:pP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45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9"/>
        </w:trPr>
        <w:tc>
          <w:tcPr>
            <w:tcW w:w="4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13</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entered into an asset purchase and license agreement in 2017, and amended it in April 2018 (the “Surface License Agreements”) with Surface. Pursuant to the terms of the Surface License Agreements, the Company assigned and licensed to Surface certain intellectual property and related rights to develop, formulate, make, sell, and sub-license ophthalmic formulations (collectively, the “Surface Products”). Surface is required to make royalty payments to the Company of 4%-6% of net sales of the Surface Products while any patent rights remain outstanding.</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the Company owned 3,500,000 shares of Surface common stock (approximately 30% of the issued and outstanding equity interests). A Company director, Richard L. Lindstrom,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Three Months</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1,131</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40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40" w:type="dxa"/>
            <w:vAlign w:val="bottom"/>
            <w:shd w:val="clear" w:color="auto" w:fill="CCEEFF"/>
          </w:tcPr>
          <w:p>
            <w:pPr>
              <w:spacing w:after="0"/>
              <w:rPr>
                <w:sz w:val="18"/>
                <w:szCs w:val="18"/>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8"/>
                <w:szCs w:val="18"/>
                <w:color w:val="auto"/>
              </w:rPr>
              <w:t>Non current assets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r>
      <w:tr>
        <w:trPr>
          <w:trHeight w:val="236"/>
        </w:trPr>
        <w:tc>
          <w:tcPr>
            <w:tcW w:w="4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14,277</w:t>
            </w:r>
          </w:p>
        </w:tc>
      </w:tr>
      <w:tr>
        <w:trPr>
          <w:trHeight w:val="23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2020 and December 31, 2019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4500" w:type="dxa"/>
            <w:vAlign w:val="bottom"/>
          </w:tcPr>
          <w:p>
            <w:pPr>
              <w:spacing w:after="0"/>
              <w:rPr>
                <w:sz w:val="19"/>
                <w:szCs w:val="19"/>
                <w:color w:val="auto"/>
              </w:rPr>
            </w:pPr>
          </w:p>
        </w:tc>
      </w:tr>
      <w:tr>
        <w:trPr>
          <w:trHeight w:val="241"/>
        </w:trPr>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500" w:type="dxa"/>
            <w:vAlign w:val="bottom"/>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450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4500" w:type="dxa"/>
            <w:vAlign w:val="bottom"/>
          </w:tcPr>
          <w:p>
            <w:pPr>
              <w:spacing w:after="0"/>
              <w:rPr>
                <w:sz w:val="18"/>
                <w:szCs w:val="18"/>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500" w:type="dxa"/>
            <w:vAlign w:val="bottom"/>
          </w:tcPr>
          <w:p>
            <w:pPr>
              <w:spacing w:after="0"/>
              <w:rPr>
                <w:sz w:val="21"/>
                <w:szCs w:val="21"/>
                <w:color w:val="auto"/>
              </w:rPr>
            </w:pPr>
          </w:p>
        </w:tc>
      </w:tr>
      <w:tr>
        <w:trPr>
          <w:trHeight w:val="217"/>
        </w:trPr>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45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0"/>
        </w:trPr>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14</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PREPAID EXPENSES AND OTHER 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Melt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Deposits and other current assets</w:t>
            </w:r>
          </w:p>
        </w:tc>
        <w:tc>
          <w:tcPr>
            <w:tcW w:w="22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Property, plant and equipment, net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Computer software and hardware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1,758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Lab and pharmacy equipment</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5,616</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10,990</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(5,843)</w:t>
            </w: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2020 and 2019, depreciation and amortization related to the property, plant and equipment was $448 and $390,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NOTE 9. INTANGIBLE ASSETS AND GOODWILL</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40" w:type="dxa"/>
            <w:vAlign w:val="bottom"/>
            <w:gridSpan w:val="6"/>
          </w:tcPr>
          <w:p>
            <w:pPr>
              <w:spacing w:after="0"/>
              <w:rPr>
                <w:sz w:val="20"/>
                <w:szCs w:val="20"/>
                <w:color w:val="auto"/>
              </w:rPr>
            </w:pPr>
            <w:r>
              <w:rPr>
                <w:rFonts w:ascii="Arial" w:cs="Arial" w:eastAsia="Arial" w:hAnsi="Arial"/>
                <w:sz w:val="18"/>
                <w:szCs w:val="18"/>
                <w:color w:val="auto"/>
                <w:w w:val="99"/>
              </w:rPr>
              <w:t>The Company’s intangible assets at March 31, 2020 consisted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6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6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41"/>
              <w:spacing w:after="0"/>
              <w:rPr>
                <w:sz w:val="20"/>
                <w:szCs w:val="20"/>
                <w:color w:val="auto"/>
              </w:rPr>
            </w:pPr>
            <w:r>
              <w:rPr>
                <w:rFonts w:ascii="Arial" w:cs="Arial" w:eastAsia="Arial" w:hAnsi="Arial"/>
                <w:sz w:val="18"/>
                <w:szCs w:val="18"/>
                <w:color w:val="auto"/>
                <w:w w:val="96"/>
              </w:rPr>
              <w:t>Accumulated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Net</w:t>
            </w:r>
          </w:p>
        </w:tc>
      </w:tr>
      <w:tr>
        <w:trPr>
          <w:trHeight w:val="237"/>
        </w:trPr>
        <w:tc>
          <w:tcPr>
            <w:tcW w:w="26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540" w:type="dxa"/>
            <w:vAlign w:val="bottom"/>
            <w:gridSpan w:val="2"/>
          </w:tcPr>
          <w:p>
            <w:pPr>
              <w:jc w:val="right"/>
              <w:ind w:right="481"/>
              <w:spacing w:after="0"/>
              <w:rPr>
                <w:sz w:val="20"/>
                <w:szCs w:val="20"/>
                <w:color w:val="auto"/>
              </w:rPr>
            </w:pPr>
            <w:r>
              <w:rPr>
                <w:rFonts w:ascii="Arial" w:cs="Arial" w:eastAsia="Arial" w:hAnsi="Arial"/>
                <w:sz w:val="18"/>
                <w:szCs w:val="18"/>
                <w:color w:val="auto"/>
                <w:w w:val="97"/>
              </w:rPr>
              <w:t>amortization</w:t>
            </w:r>
          </w:p>
        </w:tc>
        <w:tc>
          <w:tcPr>
            <w:tcW w:w="12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Impairment</w:t>
            </w:r>
          </w:p>
        </w:tc>
        <w:tc>
          <w:tcPr>
            <w:tcW w:w="240" w:type="dxa"/>
            <w:vAlign w:val="bottom"/>
          </w:tcPr>
          <w:p>
            <w:pPr>
              <w:spacing w:after="0"/>
              <w:rPr>
                <w:sz w:val="20"/>
                <w:szCs w:val="20"/>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Carrying value</w:t>
            </w:r>
          </w:p>
        </w:tc>
      </w:tr>
      <w:tr>
        <w:trPr>
          <w:trHeight w:val="216"/>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Licenses</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3-15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Non-competition clause</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7"/>
        </w:trPr>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months ended March 31, 2020 and 2019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16"/>
        </w:trPr>
        <w:tc>
          <w:tcPr>
            <w:tcW w:w="4860" w:type="dxa"/>
            <w:vAlign w:val="bottom"/>
          </w:tcPr>
          <w:p>
            <w:pPr>
              <w:spacing w:after="0"/>
              <w:rPr>
                <w:sz w:val="18"/>
                <w:szCs w:val="18"/>
                <w:color w:val="auto"/>
              </w:rPr>
            </w:pP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4860" w:type="dxa"/>
            <w:vAlign w:val="bottom"/>
          </w:tcPr>
          <w:p>
            <w:pPr>
              <w:spacing w:after="0"/>
              <w:rPr>
                <w:sz w:val="19"/>
                <w:szCs w:val="19"/>
                <w:color w:val="auto"/>
              </w:rPr>
            </w:pPr>
          </w:p>
        </w:tc>
        <w:tc>
          <w:tcPr>
            <w:tcW w:w="1720" w:type="dxa"/>
            <w:vAlign w:val="bottom"/>
          </w:tcPr>
          <w:p>
            <w:pPr>
              <w:jc w:val="center"/>
              <w:ind w:left="9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7"/>
        </w:trPr>
        <w:tc>
          <w:tcPr>
            <w:tcW w:w="486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2020</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72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Licenses</w:t>
            </w:r>
          </w:p>
        </w:tc>
        <w:tc>
          <w:tcPr>
            <w:tcW w:w="172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Trade name</w:t>
            </w:r>
          </w:p>
        </w:tc>
        <w:tc>
          <w:tcPr>
            <w:tcW w:w="172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7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17"/>
        </w:trPr>
        <w:tc>
          <w:tcPr>
            <w:tcW w:w="4860" w:type="dxa"/>
            <w:vAlign w:val="bottom"/>
            <w:tcBorders>
              <w:top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45</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2020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Remainder of 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0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1,440</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NOTE 10. ACCOUNTS PAYABLE AND ACCRUED EXPENSES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0"/>
                <w:szCs w:val="20"/>
                <w:color w:val="auto"/>
              </w:rPr>
            </w:pPr>
            <w:r>
              <w:rPr>
                <w:rFonts w:ascii="Arial" w:cs="Arial" w:eastAsia="Arial" w:hAnsi="Arial"/>
                <w:sz w:val="18"/>
                <w:szCs w:val="18"/>
                <w:color w:val="auto"/>
                <w:w w:val="96"/>
              </w:rPr>
              <w:t>Accounts payable and accrued expenses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December 31,</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(7,702)</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16</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are not achieved. The SWK Loan is secured by substantially all of the Company’s assets, including its intellectual property rights. The SWK Loan was subsequently amended in May 2019 and again in April 2020 (see Note 16). The SWK Loan bears an interest rate that is equal to the three-month London Inter-Bank Offered Rate (subject to a minimum of 2.00%), plus an applicable margin of 10.00% (the “Margin Rate”); provided that, if, two days prior to a payment date, the Company provides SWK evidence that the Company has achieved a leverage ratio as of such date of less than 4.00:1:00, the Margin Rate shall equal 9.00%; and if the Company has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future minimum payments under the Company’s note payable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4,121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3,828</w:t>
            </w:r>
          </w:p>
        </w:tc>
      </w:tr>
      <w:tr>
        <w:trPr>
          <w:trHeight w:val="236"/>
        </w:trPr>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7,506</w:t>
            </w:r>
          </w:p>
        </w:tc>
      </w:tr>
      <w:tr>
        <w:trPr>
          <w:trHeight w:val="216"/>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020" w:type="dxa"/>
            <w:vAlign w:val="bottom"/>
          </w:tcPr>
          <w:p>
            <w:pPr>
              <w:spacing w:after="0"/>
              <w:rPr>
                <w:sz w:val="20"/>
                <w:szCs w:val="20"/>
                <w:color w:val="auto"/>
              </w:rPr>
            </w:pPr>
            <w:r>
              <w:rPr>
                <w:rFonts w:ascii="Arial" w:cs="Arial" w:eastAsia="Arial" w:hAnsi="Arial"/>
                <w:sz w:val="18"/>
                <w:szCs w:val="18"/>
                <w:color w:val="auto"/>
              </w:rPr>
              <w:t>Less: amount representing estimated interest</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(3,493)</w:t>
            </w:r>
          </w:p>
        </w:tc>
      </w:tr>
      <w:tr>
        <w:trPr>
          <w:trHeight w:val="216"/>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02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r>
      <w:tr>
        <w:trPr>
          <w:trHeight w:val="216"/>
        </w:trPr>
        <w:tc>
          <w:tcPr>
            <w:tcW w:w="60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02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(2,546)</w:t>
            </w:r>
          </w:p>
        </w:tc>
      </w:tr>
      <w:tr>
        <w:trPr>
          <w:trHeight w:val="229"/>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debt discount amortization related to the note payable was $160.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adopted Topic 842 on January 1, 2019. Topic 842 allows the Company to elect a package 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 Another practical expedient allows the Company to use hindsight in determining the lease term when considering lessee options to extend or terminate the lease and to purchase the underlying asset. The Company has elected to utilize the package of practical expedients and has not elected the hindsight methodology in its implementation of Topic 842.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to adopt this standard using the optional modified retrospective transition method and recognized a cumulative-effect adjustment to the condensed consolidated balance sheet on the date of adoption. Comparative periods have not been restated. With the adoption of Topic 842, the Company’s condensed consolidated balance sheets now contains the following line items: Right-of-use assets, Operating lease liabilities—short-term and Operating lease liabilities—long-term.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 determined that it held the following significant operating leases of office and laboratory space as of January 1, 2019:</w:t>
      </w:r>
    </w:p>
    <w:p>
      <w:pPr>
        <w:spacing w:after="0" w:line="225"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4,500 square feet of office and lab space in Irvine, California that expires in December 2020, with an option to extend the term for up to two five-year periods. As part of the Company’s restructuring of the Park Compounding, Inc. (“Park”) business, the Company assessed its obligations under this lease. As of the date of this Quarterly Report, the Company expects to sublease this space and has determined that there is a practical ability to do so, and as a result did not recognize any impairment costs related to this lease and the Company’s right to use asset;</w:t>
      </w:r>
    </w:p>
    <w:p>
      <w:pPr>
        <w:spacing w:after="0" w:line="18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extensions within the San Diego, California and Ledgewood, New Jersey operating lease agreements were included within the Company’s calculation of the new lease standard as the Company is reasonably certain it will exercise its option to extend these leases. The Company has elected to not recognize right-of-use assets and lease liabilities arising from short-term leases, which are leases that, at the commencement date, have a lease term of 12 months or less and do not include an option to purchase the underlying asset that the lessee is reasonably certain to exercise.</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previously classified capital leases are now classified as finance leases under the new standard. The Company has determined that the identified finance leases did not contain non-lease components and require no further allocation of the total lease cost. The Company has determined that the identified operating leases did contain non-lease components and elected an accounting policy to combine non-lease and lease components to determine the total lease cost. Additionally, the operating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March 31, 2020, the weighted average incremental borrowing rate and the weighted average remaining lease term for the operating leases held by the Company were 6.32% and 10.01 years, respectively.</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adoption of Topic 842, the Company recorded a $6,325 increase in operating lease right-of-use assets, a $388 decrease in accounts payable and accrued expenses and a $6,712 increase in operating lease liability. The Company did not record any cumulative effect adjustments to opening stockholders’ equity. As of March 31, 2020, right-of-use assets and liabilities arising from operating leases were $6,431 and $6,846, respectively. During the three months ended March 31, 2020 and 2019, cash paid for amounts included for the operating lease liabilities was $271 and $223 and the Company recorded operating lease expense of $278 and $234 included in selling, general and administrative expenses,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as of March 31, 2020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Operating Leases</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2021</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2023</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4,465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(2,512)</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2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700" w:type="dxa"/>
            <w:vAlign w:val="bottom"/>
            <w:vMerge w:val="restart"/>
          </w:tcPr>
          <w:p>
            <w:pPr>
              <w:jc w:val="right"/>
              <w:ind w:right="139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 also has an additional finance lease that is included in its lease accounting but is not considered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non-cancelable finance leases as of March 31, 2020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Finance Leases</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4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4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4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7"/>
        </w:trPr>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the weighted average incremental borrowing rate and the weighted average remaining lease term for the finance lease held by the Company were 6.36% and 3.83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depreciation expense related to the equipment held under the finance lease obligation was $2.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2020, cash paid and expense recognized for interest expense related to the finance lease obligation was $1.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February 2020, the Company accrued for the issuance of 15,000 shares of its restricted common stock, with a fair value of $83, as consideration for commission expenses incurred during the three months ended March 31, 2020. Issuance of these shares had not occurred as of March 31,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issued 91,987 shares of its common stock underlying RSUs issued to a director that resigned. The RSUs had previously vested, including 2,429 RSUs during the three months ended March 31, 2020, but the issuance and delivery of the shares were deferred until the director resigned.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2020, 9,715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March 31, 2020,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585,406 shares available for future issuances under the 2017 Plan at March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three months ended March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left="274"/>
              <w:spacing w:after="0"/>
              <w:rPr>
                <w:sz w:val="20"/>
                <w:szCs w:val="20"/>
                <w:color w:val="auto"/>
              </w:rPr>
            </w:pPr>
            <w:r>
              <w:rPr>
                <w:rFonts w:ascii="Arial" w:cs="Arial" w:eastAsia="Arial" w:hAnsi="Arial"/>
                <w:sz w:val="18"/>
                <w:szCs w:val="18"/>
                <w:b w:val="1"/>
                <w:bCs w:val="1"/>
                <w:color w:val="auto"/>
                <w:w w:val="87"/>
              </w:rPr>
              <w:t>Avg.</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Number of shares</w:t>
            </w:r>
          </w:p>
        </w:tc>
        <w:tc>
          <w:tcPr>
            <w:tcW w:w="160" w:type="dxa"/>
            <w:vAlign w:val="bottom"/>
          </w:tcPr>
          <w:p>
            <w:pPr>
              <w:spacing w:after="0"/>
              <w:rPr>
                <w:sz w:val="20"/>
                <w:szCs w:val="20"/>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2,656,683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299,500</w:t>
            </w:r>
          </w:p>
        </w:tc>
        <w:tc>
          <w:tcPr>
            <w:tcW w:w="1020" w:type="dxa"/>
            <w:vAlign w:val="bottom"/>
            <w:gridSpan w:val="2"/>
          </w:tcPr>
          <w:p>
            <w:pPr>
              <w:jc w:val="right"/>
              <w:ind w:right="69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(3,717)</w:t>
            </w:r>
          </w:p>
        </w:tc>
        <w:tc>
          <w:tcPr>
            <w:tcW w:w="1020" w:type="dxa"/>
            <w:vAlign w:val="bottom"/>
            <w:gridSpan w:val="2"/>
          </w:tcPr>
          <w:p>
            <w:pPr>
              <w:jc w:val="right"/>
              <w:ind w:right="69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2.61</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2020</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2,952,466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gridSpan w:val="2"/>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5.49</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gridSpan w:val="2"/>
            <w:vMerge w:val="restart"/>
          </w:tcPr>
          <w:p>
            <w:pPr>
              <w:jc w:val="right"/>
              <w:ind w:right="694"/>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4.52</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5.59</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1,691,501</w:t>
            </w:r>
          </w:p>
        </w:tc>
        <w:tc>
          <w:tcPr>
            <w:tcW w:w="20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72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11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2,833,869</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694"/>
              <w:spacing w:after="0" w:line="19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5.42</w:t>
            </w:r>
          </w:p>
        </w:tc>
        <w:tc>
          <w:tcPr>
            <w:tcW w:w="16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5.32</w:t>
            </w:r>
          </w:p>
        </w:tc>
        <w:tc>
          <w:tcPr>
            <w:tcW w:w="3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2020, based on the closing price of the Company’s common stock of $3.82 on that date.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March 31, 2020,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2020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 and in the event of certain modifications to the option award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rate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5.8 - 6.1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 - 67%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1.32% - 1.64%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Options Outstanding</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6"/>
          </w:tcPr>
          <w:p>
            <w:pPr>
              <w:ind w:left="96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29"/>
        </w:trPr>
        <w:tc>
          <w:tcPr>
            <w:tcW w:w="160" w:type="dxa"/>
            <w:vAlign w:val="bottom"/>
          </w:tcPr>
          <w:p>
            <w:pPr>
              <w:spacing w:after="0"/>
              <w:rPr>
                <w:sz w:val="19"/>
                <w:szCs w:val="19"/>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Range of</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9"/>
                <w:szCs w:val="19"/>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Exercise</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160" w:type="dxa"/>
            <w:vAlign w:val="bottom"/>
          </w:tcPr>
          <w:p>
            <w:pPr>
              <w:spacing w:after="0"/>
              <w:rPr>
                <w:sz w:val="20"/>
                <w:szCs w:val="20"/>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Exercise Prices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Life in Years</w:t>
            </w:r>
          </w:p>
        </w:tc>
        <w:tc>
          <w:tcPr>
            <w:tcW w:w="260" w:type="dxa"/>
            <w:vAlign w:val="bottom"/>
          </w:tcPr>
          <w:p>
            <w:pPr>
              <w:spacing w:after="0"/>
              <w:rPr>
                <w:sz w:val="20"/>
                <w:szCs w:val="20"/>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Exercisable</w:t>
            </w: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 $2.60</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780,190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2.76 - $4.66</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481,655</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6.05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3.94</w:t>
            </w: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446,211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5.49 - $6.36</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440,350</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6.64 - $8.99</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1,245,241</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3.51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7.85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360,741</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49"/>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1.47 - $42.80</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2,952,466</w:t>
            </w: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gridSpan w:val="3"/>
          </w:tcPr>
          <w:p>
            <w:pPr>
              <w:jc w:val="right"/>
              <w:ind w:right="320"/>
              <w:spacing w:after="0"/>
              <w:rPr>
                <w:sz w:val="20"/>
                <w:szCs w:val="20"/>
                <w:color w:val="auto"/>
              </w:rPr>
            </w:pPr>
            <w:r>
              <w:rPr>
                <w:rFonts w:ascii="Arial" w:cs="Arial" w:eastAsia="Arial" w:hAnsi="Arial"/>
                <w:sz w:val="18"/>
                <w:szCs w:val="18"/>
                <w:color w:val="auto"/>
              </w:rPr>
              <w:t>5.30</w:t>
            </w: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5.49</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1,691,501</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0"/>
        </w:trPr>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there was approximately $4,887 of total unrecognized compensation expense related to unvested stock options granted under the Plans. That expense is expected to be recognized over the weighted-average remaining vesting period of 1.75 years. The stock-based compensation expense for all stock options was $263 during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111,000 RSUs with a fair market value of $810 were issued to certain employees; the RSUs vest in full on the third anniversary of the grant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granted 10,000 RSUs to a new member of its board of directors, with a fair market value of $39 which vests on the one year anniversary of date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5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Grant Date Fair</w:t>
            </w:r>
          </w:p>
        </w:tc>
      </w:tr>
      <w:tr>
        <w:trPr>
          <w:trHeight w:val="241"/>
        </w:trPr>
        <w:tc>
          <w:tcPr>
            <w:tcW w:w="578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Number of RSUs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RSUs granted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121,000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r>
      <w:tr>
        <w:trPr>
          <w:trHeight w:val="20"/>
        </w:trPr>
        <w:tc>
          <w:tcPr>
            <w:tcW w:w="5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total unrecognized compensation expense related to unvested RSUs was approximately $1,621, which is expected to be recognized over a weighted-average period of 0.5 years, based on estimated and actual vesting schedules of the applicable RSUs. The stock-based compensation for RSUs during the three months ended March 31, 2020 and 2019 was $259 and $709,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three months ended March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8"/>
              </w:rPr>
              <w:t>Number of Shares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Subject to Warrants</w:t>
            </w: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 Avg.</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Warrants outstanding - January 1, 2020</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780,386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020" w:type="dxa"/>
            <w:vAlign w:val="bottom"/>
            <w:gridSpan w:val="3"/>
          </w:tcPr>
          <w:p>
            <w:pPr>
              <w:spacing w:after="0"/>
              <w:rPr>
                <w:sz w:val="20"/>
                <w:szCs w:val="20"/>
                <w:color w:val="auto"/>
              </w:rPr>
            </w:pPr>
            <w:r>
              <w:rPr>
                <w:rFonts w:ascii="Arial" w:cs="Arial" w:eastAsia="Arial" w:hAnsi="Arial"/>
                <w:sz w:val="18"/>
                <w:szCs w:val="18"/>
                <w:color w:val="auto"/>
              </w:rPr>
              <w:t>Expired</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2020</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60" w:type="dxa"/>
            <w:vAlign w:val="bottom"/>
            <w:gridSpan w:val="7"/>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March 31,</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60" w:type="dxa"/>
            <w:vAlign w:val="bottom"/>
            <w:gridSpan w:val="7"/>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60" w:type="dxa"/>
            <w:vAlign w:val="bottom"/>
            <w:gridSpan w:val="7"/>
            <w:vMerge w:val="restart"/>
          </w:tcPr>
          <w:p>
            <w:pPr>
              <w:spacing w:after="0"/>
              <w:rPr>
                <w:sz w:val="20"/>
                <w:szCs w:val="20"/>
                <w:color w:val="auto"/>
              </w:rPr>
            </w:pPr>
            <w:r>
              <w:rPr>
                <w:rFonts w:ascii="Arial" w:cs="Arial" w:eastAsia="Arial" w:hAnsi="Arial"/>
                <w:sz w:val="18"/>
                <w:szCs w:val="18"/>
                <w:color w:val="auto"/>
              </w:rPr>
              <w:t>Warrants outstanding and exercisable as of March 31, 2020 are as follows:</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020" w:type="dxa"/>
            <w:vAlign w:val="bottom"/>
            <w:gridSpan w:val="3"/>
          </w:tcPr>
          <w:p>
            <w:pPr>
              <w:ind w:left="600"/>
              <w:spacing w:after="0"/>
              <w:rPr>
                <w:sz w:val="20"/>
                <w:szCs w:val="20"/>
                <w:color w:val="auto"/>
              </w:rPr>
            </w:pPr>
            <w:r>
              <w:rPr>
                <w:rFonts w:ascii="Arial" w:cs="Arial" w:eastAsia="Arial" w:hAnsi="Arial"/>
                <w:sz w:val="18"/>
                <w:szCs w:val="18"/>
                <w:b w:val="1"/>
                <w:bCs w:val="1"/>
                <w:color w:val="auto"/>
              </w:rPr>
              <w:t>Warrant Series</w:t>
            </w:r>
          </w:p>
        </w:tc>
        <w:tc>
          <w:tcPr>
            <w:tcW w:w="18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Issue Date</w:t>
            </w:r>
          </w:p>
        </w:tc>
        <w:tc>
          <w:tcPr>
            <w:tcW w:w="2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89"/>
              </w:rPr>
              <w:t>5/11/2015</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Settlement warrants</w:t>
            </w:r>
          </w:p>
        </w:tc>
        <w:tc>
          <w:tcPr>
            <w:tcW w:w="1600" w:type="dxa"/>
            <w:vAlign w:val="bottom"/>
          </w:tcPr>
          <w:p>
            <w:pPr>
              <w:jc w:val="center"/>
              <w:ind w:right="330"/>
              <w:spacing w:after="0"/>
              <w:rPr>
                <w:sz w:val="20"/>
                <w:szCs w:val="20"/>
                <w:color w:val="auto"/>
              </w:rPr>
            </w:pPr>
            <w:r>
              <w:rPr>
                <w:rFonts w:ascii="Arial" w:cs="Arial" w:eastAsia="Arial" w:hAnsi="Arial"/>
                <w:sz w:val="18"/>
                <w:szCs w:val="18"/>
                <w:color w:val="auto"/>
                <w:w w:val="92"/>
              </w:rPr>
              <w:t>8/16/2016</w:t>
            </w:r>
          </w:p>
        </w:tc>
        <w:tc>
          <w:tcPr>
            <w:tcW w:w="24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2"/>
              </w:rPr>
              <w:t>8/16/2021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60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2"/>
              </w:rPr>
              <w:t>7/19/2017</w:t>
            </w:r>
          </w:p>
        </w:tc>
        <w:tc>
          <w:tcPr>
            <w:tcW w:w="24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615,386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7/19/2024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780,386</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Mayfield re-purchased 650,000 shares of its common stock from Elle, for an aggregate purchase price of $1.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Mayfield issued 475,000 shares of its restricted common stock that vest upon various performance-based milestones and service periods to consultants of Mayfield, including Mayfield’s CEO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500,000 shares of Mayfield’s restricted common stock were forfeited by a consultant.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p>
      <w:pPr>
        <w:jc w:val="center"/>
        <w:ind w:left="142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142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21"/>
                <w:szCs w:val="21"/>
                <w:color w:val="auto"/>
              </w:rPr>
            </w:pPr>
          </w:p>
        </w:tc>
      </w:tr>
      <w:tr>
        <w:trPr>
          <w:trHeight w:val="217"/>
        </w:trPr>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$55 and $15 were made during the three months ended March 31, 2020 and 2019, respectively. $29 and $22 was incurred as royalty expense during the three months ended March 31, 2020 and 2019, respectively, and included in accounts payable to Dr. Lindstrom.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$7 in cash during the three months ended March 31, 2020, and an additional $38 was payable to Dr. Lindstrom at March 31, 2020. The Company incurred $38 for royalty expenses related to the Lindstrom APA during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sales and marketing representation services to Harrow in select geographies in the U.S., in connection with our ophthalmic compounded formulations.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sales and marketing agreements, the Company is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$83 and $75 of stock-based payments were recorded and $603 and $542 were incurred under these agreements for commission expenses during the three months ended March 31, 2020 and 2019, respectively. As of March 31, 2020 the Company has recorded $83 related to the stock-based payments in accounts payable and accrued expenses, and will record the amount as additional paid-in-capital upon the issuance of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$144 and $191 were incurred under these agreements as royalty expenses and included in accounts payable at March 31, 2020 and 2019,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its two operating segments is based on segment contribution. The Company’s reportable segments consist of (i) its commercial stage pharmaceutical compounding business (Pharmaceutical Compounding), generally including the operations of ImprimisRx and Park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9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three months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right"/>
              <w:ind w:right="109"/>
              <w:spacing w:after="0"/>
              <w:rPr>
                <w:sz w:val="20"/>
                <w:szCs w:val="20"/>
                <w:color w:val="auto"/>
              </w:rPr>
            </w:pPr>
            <w:r>
              <w:rPr>
                <w:rFonts w:ascii="Arial" w:cs="Arial" w:eastAsia="Arial" w:hAnsi="Arial"/>
                <w:sz w:val="18"/>
                <w:szCs w:val="18"/>
                <w:color w:val="auto"/>
              </w:rPr>
              <w:t>For the Three Months Ended March 31, 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Pharmaceutical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401"/>
              <w:spacing w:after="0"/>
              <w:rPr>
                <w:sz w:val="20"/>
                <w:szCs w:val="20"/>
                <w:color w:val="auto"/>
              </w:rPr>
            </w:pPr>
            <w:r>
              <w:rPr>
                <w:rFonts w:ascii="Arial" w:cs="Arial" w:eastAsia="Arial" w:hAnsi="Arial"/>
                <w:sz w:val="18"/>
                <w:szCs w:val="18"/>
                <w:color w:val="auto"/>
                <w:w w:val="90"/>
              </w:rPr>
              <w:t>Pharmaceutical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Compounding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401"/>
              <w:spacing w:after="0"/>
              <w:rPr>
                <w:sz w:val="20"/>
                <w:szCs w:val="20"/>
                <w:color w:val="auto"/>
              </w:rPr>
            </w:pPr>
            <w:r>
              <w:rPr>
                <w:rFonts w:ascii="Arial" w:cs="Arial" w:eastAsia="Arial" w:hAnsi="Arial"/>
                <w:sz w:val="18"/>
                <w:szCs w:val="18"/>
                <w:color w:val="auto"/>
                <w:w w:val="93"/>
              </w:rPr>
              <w:t>Drug Development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(3,626)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4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right"/>
              <w:ind w:right="109"/>
              <w:spacing w:after="0"/>
              <w:rPr>
                <w:sz w:val="20"/>
                <w:szCs w:val="20"/>
                <w:color w:val="auto"/>
              </w:rPr>
            </w:pPr>
            <w:r>
              <w:rPr>
                <w:rFonts w:ascii="Arial" w:cs="Arial" w:eastAsia="Arial" w:hAnsi="Arial"/>
                <w:sz w:val="18"/>
                <w:szCs w:val="18"/>
                <w:color w:val="auto"/>
              </w:rPr>
              <w:t>For the Three Months Ended March 31, 2019</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Pharmaceutical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401"/>
              <w:spacing w:after="0"/>
              <w:rPr>
                <w:sz w:val="20"/>
                <w:szCs w:val="20"/>
                <w:color w:val="auto"/>
              </w:rPr>
            </w:pPr>
            <w:r>
              <w:rPr>
                <w:rFonts w:ascii="Arial" w:cs="Arial" w:eastAsia="Arial" w:hAnsi="Arial"/>
                <w:sz w:val="18"/>
                <w:szCs w:val="18"/>
                <w:color w:val="auto"/>
                <w:w w:val="90"/>
              </w:rPr>
              <w:t>Pharmaceutical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Compounding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401"/>
              <w:spacing w:after="0"/>
              <w:rPr>
                <w:sz w:val="20"/>
                <w:szCs w:val="20"/>
                <w:color w:val="auto"/>
              </w:rPr>
            </w:pPr>
            <w:r>
              <w:rPr>
                <w:rFonts w:ascii="Arial" w:cs="Arial" w:eastAsia="Arial" w:hAnsi="Arial"/>
                <w:sz w:val="18"/>
                <w:szCs w:val="18"/>
                <w:color w:val="auto"/>
                <w:w w:val="93"/>
              </w:rPr>
              <w:t>Drug Development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5,715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4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6"/>
        </w:trPr>
        <w:tc>
          <w:tcPr>
            <w:tcW w:w="4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80" w:type="dxa"/>
            <w:vAlign w:val="bottom"/>
            <w:gridSpan w:val="2"/>
            <w:vMerge w:val="restart"/>
          </w:tcPr>
          <w:p>
            <w:pPr>
              <w:ind w:left="1420"/>
              <w:spacing w:after="0"/>
              <w:rPr>
                <w:sz w:val="20"/>
                <w:szCs w:val="20"/>
                <w:color w:val="auto"/>
              </w:rPr>
            </w:pPr>
            <w:r>
              <w:rPr>
                <w:rFonts w:ascii="Arial" w:cs="Arial" w:eastAsia="Arial" w:hAnsi="Arial"/>
                <w:sz w:val="18"/>
                <w:szCs w:val="18"/>
                <w:color w:val="auto"/>
              </w:rPr>
              <w:t>26</w:t>
            </w: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122"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March 31, 2020 and December 31, 2019 are located in the U.S.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No customer accounted for more than 10% of the Company’s total pharmacy sales for the three months ended March 31, 2020 and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78% and 67% of active pharmaceutical ingredient purchases during the three months ended March 31,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2020 through the filing date of this Quarterly Report. Based on its evaluation, no events other than those described below need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SWK Loan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 2020, the Company and several of its wholly owned subsidiaries entered into a second amendment (the “SWK Amendment”) to the SWK Loan, with SWK. A summary of the material changes contained in the SWK Amendment are as follows:</w:t>
      </w:r>
    </w:p>
    <w:p>
      <w:pPr>
        <w:spacing w:after="0" w:line="170"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SWK agreed to make available to the Company, and the Company drew down on, an additional principal amount of one million dollars ($1,000,000);</w:t>
      </w:r>
    </w:p>
    <w:p>
      <w:pPr>
        <w:spacing w:after="0" w:line="248" w:lineRule="exact"/>
        <w:rPr>
          <w:rFonts w:ascii="Arial" w:cs="Arial" w:eastAsia="Arial" w:hAnsi="Arial"/>
          <w:sz w:val="16"/>
          <w:szCs w:val="16"/>
          <w:color w:val="auto"/>
        </w:rPr>
      </w:pPr>
    </w:p>
    <w:p>
      <w:pPr>
        <w:ind w:left="340" w:hanging="332"/>
        <w:spacing w:after="0" w:line="277" w:lineRule="auto"/>
        <w:tabs>
          <w:tab w:leader="none" w:pos="4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70" w:lineRule="exact"/>
        <w:rPr>
          <w:rFonts w:ascii="Arial" w:cs="Arial" w:eastAsia="Arial" w:hAnsi="Arial"/>
          <w:sz w:val="18"/>
          <w:szCs w:val="18"/>
          <w:color w:val="auto"/>
        </w:rPr>
      </w:pPr>
    </w:p>
    <w:p>
      <w:pPr>
        <w:ind w:left="340" w:hanging="332"/>
        <w:spacing w:after="0" w:line="277" w:lineRule="auto"/>
        <w:tabs>
          <w:tab w:leader="none" w:pos="4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payment due May 14, 2020 will be paid in kind by increasing the principal amount of the term loans by an amount equal to the interest that has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the Company intends to use proceeds from the PPP Loan for such qualifying expenses, in particular maintaining continuity of its payroll and workforce (including staff critical to the timely production and dispensing of medicines the Company produces), no assurance can be provided that the Company will obtain forgiveness of the PPP Loan in whole or in part.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2019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one of the nation’s leading ophthalmology pharmaceutical businesses, ImprimisRx. In addition to wholly owning ImprimisRx, we also have equity positions in Eton Pharmaceuticals, Inc. (“Eton”), Surface Pharmaceuticals, Inc. (“Surface”), and Melt Pharmaceuticals, Inc. (“Melt”), all companies that began as subsidiaries of Harrow. More recently, we founded drug development subsidiaries Mayfield Pharmaceuticals, Inc. (“Mayfield”), Radley Pharmaceuticals, Inc. (“Radley”), and Stowe Pharmaceuticals, Inc. (“Stowe”). During 2020, we intend to launch a new business called Visionology.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(“FDA”) guidance documents, in our FDA-registered NJOF outsourcing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Visionology is expected to be an online eye health platform. Visionology will leverage our experience in the ophthalmic pharmaceutical business as well as our relationships with eyecare professionals across the United States. We expect to launch a proof-of-concept model for Visionology during the summer of 2020 within a certain region of the U.S., and if successful, expand the launch on a nationwide basis later in 2020 and/or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707"/>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ownership interests in Eton, Surface, Melt, Mayfield, Stowe and Radley and hold royalty interests in certain of their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Mayfield, and Stowe,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and ear.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2,500,000 shares of Stowe common stock, and control 70% of the equity and voting interests issued and outstanding of Stowe at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pharmaceutical company focused on consequential products that address the conspicuous unmet needs of patients. Its development programs focus on using known molecules in dosage forms for new indications, and by developing new chemical entities with known mechanisms of action. Mayfield recently licensed worldwide rights to a first-in-class antimicrobial drug candidate, called MAY-66, which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 at the closing of a deconsolidating transaction.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Mayfield common stock, and control 79% of the equity and voting interests issued and outstanding of Mayfield at March 31, 2020. We are currently pursuing a deconsolidating transaction for Mayfield. Once deconsolidated, we expect Mayfield to be run by an experienced life science executive, that we have recently contracted 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 Inc.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Radley, a consolidated subsidiary of Harrow, is a development-stage pharmaceutical company focused on the development of proprietary drug candidates focused on rare diseases. Radley currently has three drug programs in its pipeline. During January 2020, and prior to initiating significant development activities and costs related to these drug programs, we met with the FDA to establish and understand the expected clinical and regulatory path to approval for Radley’s lead drug program. Conceptually, the FDA agreed with our clinical program design, and we are currently considering options related to the next steps of the drug candidates development. We are also pursuing investigator-initiated studies for some of Radley’s drug candidates with two well-known healthcare institutions based in the New York and Boston areas. We believe this approach will allow us to better understand and weigh the economic costs, clinical feasibility and potential benefits associated with pursuing development activities associated with these drug programs. Radley is also pursuing additional asset acquisition and licensing opportunities with a focus in oncology-related therapies.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is less than 20% of the equity and voting interests issued and outstanding of Eton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renowned ophthalmologist Dr. Richard Lindstrom.</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fourth quarter of 2019, Surface filed an investigational new drug application (“IND”) for its drug program SURF-201. SURF-201 is a novel steroid topical eye drop drug candidate for treating pain and inflammation post-ocular surgery. Surface submitted an IND for its lead drug candidate, SURF-100, in May 2020, for treating signs and symptoms associated with chronic dry eye disease. Surface also filed a third IND during the first half of 2020. We expect Surface may release certain clinical data related to these programs near the end of 2020 and beginning of 2021, however such clinical programs and related data may be delayed as a result of the ongoing COVID-19 pandemic.</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is approximately 30% of the equity and voting interests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5% of net sales of MELT-100, while any patent rights remain outstanding, subject to other conditions.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MELT-100 is a novel, sublingually delivered, non-IV, opioid-free drug candidate being developed for procedural sedation. Melt is expecting to file an IND and begin its clinical program for MELT-100 in the summer of 2020, and if successful, begin enrollment for its Phase 3 studies for MELT-100 during 2021.</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2019, Melt closed an offering of its Series A Preferred Stock and we lost our controlling interest in it. We own 3,500,000 shares of Melt common stock, which is approximately 44% of the equity and voting interests issued and outstanding of Melt as of March 31, 2020.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are making efforts to receive reimbursement and/or optimize the pricing for some of our currently available pharmaceutical compounded formulations, including applying for transitional pass-through reimbursement status for one of our formulations. Pass-through status allows for separate payment (i.e., outside the bundled payment) under Medicare Part B for new drugs and other medical technologies that meet well-established criteria specified by federal regulations governing CMS spending. We expect to hear from CMS before July 1, 2020, if we will be granted pass-through status for one of these formulations. Any efforts to attain optimized pricing or reimbursement for these or any of our other proprietary formulations could fail, which could make our products less attractive or unavailable to some patients or could reduce our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2020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notes to our condensed consolidated financial statements included in this report for additional information about each of these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the pandemic and business disruptions, first and foremost, we have prioritized the health and safety of our employees, customers, suppliers and others with whom we partner in our business activities. We have instructed employees to work from home when possible and to maintain recommended physical distancing when working in our facilities. We also have eliminated non-essential in-person contact with customers, suppliers and other third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Many of the Company’s customers use its drugs in procedures impacted by the CMS guidance to limit elective procedures. In addition, the Company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Given the unprecedented and dynamic nature of the COVID-19 pandemic, we cannot reasonably estimate the impacts it may have on our financial condition, results of operations or cash flows in the future. However, we expect that reductions in elective procedures in response to CMS guidance will have an adverse impact, which may be material, on our future revenues, profitability and cash flows. The extent and duration of that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April 2020, the Company and several of its wholly owned subsidiaries entered into a second amendment (the “SWK Amendment”) to the term loan and security agreement dated as of July 19, 2017, as amended (the “SWK Loan”), with SWK Funding LLC, as lender and collateral agent, and certain other lenders (collectively, “SWK”). A summary of the material changes contained in the SWK Amendment are as follows:</w:t>
      </w:r>
    </w:p>
    <w:p>
      <w:pPr>
        <w:spacing w:after="0" w:line="165" w:lineRule="exact"/>
        <w:rPr>
          <w:sz w:val="20"/>
          <w:szCs w:val="20"/>
          <w:color w:val="auto"/>
        </w:rPr>
      </w:pPr>
    </w:p>
    <w:p>
      <w:pPr>
        <w:ind w:left="260" w:hanging="198"/>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$1,000,000;</w:t>
      </w:r>
    </w:p>
    <w:p>
      <w:pPr>
        <w:spacing w:after="0" w:line="225" w:lineRule="exact"/>
        <w:rPr>
          <w:rFonts w:ascii="Arial" w:cs="Arial" w:eastAsia="Arial" w:hAnsi="Arial"/>
          <w:sz w:val="18"/>
          <w:szCs w:val="18"/>
          <w:color w:val="auto"/>
        </w:rPr>
      </w:pPr>
    </w:p>
    <w:p>
      <w:pPr>
        <w:ind w:left="260" w:hanging="198"/>
        <w:spacing w:after="0" w:line="27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70" w:lineRule="exact"/>
        <w:rPr>
          <w:rFonts w:ascii="Arial" w:cs="Arial" w:eastAsia="Arial" w:hAnsi="Arial"/>
          <w:sz w:val="18"/>
          <w:szCs w:val="18"/>
          <w:color w:val="auto"/>
        </w:rPr>
      </w:pPr>
    </w:p>
    <w:p>
      <w:pPr>
        <w:ind w:left="260" w:hanging="198"/>
        <w:spacing w:after="0" w:line="277"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payment due May 14, 2020 will be paid in-kind by increasing the principal amount of the term loans by an amount equal to the interest that has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we entered into an unsecured promissory note and related Business Loan Agreement with Renasant Bank, as lender, for a loan (the “PPP Loan”) in the principal amount of $1,967,100 and received cash proceeds of the same amount, pursuant to the Paycheck Protection Program (the “PPP”) under the Federal Coronavirus Aid, Relief, and Economic Security Act (the “CARES Act”), which was enacted March 27, 2020. The PPP is administered by the U.S. Small Business Administration.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Note, until the maturity date.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the we intend to use proceeds from the PPP Loan for such qualifying expenses, in particular maintaining continuity of our payroll and workforce (including staff critical to the timely production and dispensing of medicines we make), no assurance can be provided that we will obtain forgiveness of the PPP Loan in whole or in part.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months ended March 31, 2020 and 2019,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37"/>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Variance</w:t>
            </w:r>
          </w:p>
        </w:tc>
        <w:tc>
          <w:tcPr>
            <w:tcW w:w="60" w:type="dxa"/>
            <w:vAlign w:val="bottom"/>
            <w:tcBorders>
              <w:bottom w:val="single" w:sz="8" w:color="CCEEFF"/>
            </w:tcBorders>
          </w:tcPr>
          <w:p>
            <w:pPr>
              <w:spacing w:after="0"/>
              <w:rPr>
                <w:sz w:val="20"/>
                <w:szCs w:val="20"/>
                <w:color w:val="auto"/>
              </w:rPr>
            </w:pPr>
          </w:p>
        </w:tc>
      </w:tr>
      <w:tr>
        <w:trPr>
          <w:trHeight w:val="216"/>
        </w:trPr>
        <w:tc>
          <w:tcPr>
            <w:tcW w:w="3320" w:type="dxa"/>
            <w:vAlign w:val="bottom"/>
            <w:shd w:val="clear" w:color="auto" w:fill="CCEEFF"/>
          </w:tcPr>
          <w:p>
            <w:pPr>
              <w:jc w:val="right"/>
              <w:ind w:right="1870"/>
              <w:spacing w:after="0"/>
              <w:rPr>
                <w:sz w:val="20"/>
                <w:szCs w:val="20"/>
                <w:color w:val="auto"/>
              </w:rPr>
            </w:pPr>
            <w:r>
              <w:rPr>
                <w:rFonts w:ascii="Arial" w:cs="Arial" w:eastAsia="Arial" w:hAnsi="Arial"/>
                <w:sz w:val="18"/>
                <w:szCs w:val="18"/>
                <w:b w:val="1"/>
                <w:bCs w:val="1"/>
                <w:color w:val="auto"/>
                <w:w w:val="86"/>
              </w:rPr>
              <w:t>Product sales,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w:t>
            </w:r>
          </w:p>
        </w:tc>
        <w:tc>
          <w:tcPr>
            <w:tcW w:w="60" w:type="dxa"/>
            <w:vAlign w:val="bottom"/>
            <w:shd w:val="clear" w:color="auto" w:fill="CCEEFF"/>
          </w:tcPr>
          <w:p>
            <w:pPr>
              <w:spacing w:after="0"/>
              <w:rPr>
                <w:sz w:val="18"/>
                <w:szCs w:val="18"/>
                <w:color w:val="auto"/>
              </w:rPr>
            </w:pPr>
          </w:p>
        </w:tc>
      </w:tr>
      <w:tr>
        <w:trPr>
          <w:trHeight w:val="237"/>
        </w:trPr>
        <w:tc>
          <w:tcPr>
            <w:tcW w:w="3320" w:type="dxa"/>
            <w:vAlign w:val="bottom"/>
          </w:tcPr>
          <w:p>
            <w:pPr>
              <w:jc w:val="right"/>
              <w:ind w:right="1930"/>
              <w:spacing w:after="0"/>
              <w:rPr>
                <w:sz w:val="20"/>
                <w:szCs w:val="20"/>
                <w:color w:val="auto"/>
              </w:rPr>
            </w:pPr>
            <w:r>
              <w:rPr>
                <w:rFonts w:ascii="Arial" w:cs="Arial" w:eastAsia="Arial" w:hAnsi="Arial"/>
                <w:sz w:val="18"/>
                <w:szCs w:val="18"/>
                <w:b w:val="1"/>
                <w:bCs w:val="1"/>
                <w:color w:val="auto"/>
                <w:w w:val="84"/>
              </w:rPr>
              <w:t>License revenues</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4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Borders>
              <w:top w:val="single" w:sz="8" w:color="CCEEFF"/>
              <w:bottom w:val="single" w:sz="8" w:color="CCEEFF"/>
            </w:tcBorders>
            <w:shd w:val="clear" w:color="auto" w:fill="CCEEFF"/>
          </w:tcPr>
          <w:p>
            <w:pPr>
              <w:jc w:val="right"/>
              <w:ind w:right="193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revenues between periods was largely attributable to the COVID-19 pandemic and CMS guidance to limit elective procedures. Our gross ophthalmology-related sales were approximately $10,994,000 for the three months ended March 31, 2020, compared to $10,976,000 during the same period last year. Net revenues generated from NJOF totaled $7,935,000 and $7,398,000 during the three months ended March 31,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36"/>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3,626,000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our cost of sales between periods was largely attributable to a decrease in unit volumes sold and partially offset by continued improved utilization of capacity at our compounding facilities.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Variance</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8,191,000</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8,392,000</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69.4</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68.3</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0.6</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gross margin between periods is largely attributable to increased efficiencies in our production process, extension of beyond using dating, or BUD, of some of our products, utilization of capacities as a result of increased output and an increase in sales prices.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36"/>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8,416,000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selling, general and administrative expenses between periods was largely attributable to decreased legal expenses incurred associated with ongoing litigation, and sales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37"/>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between periods was primarily attributable to formulation development studies for new ophthalmic formulations and clinical programs related to our drug development segment during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$560,000 for the three months ended March 31, 2020, compared to $603,000 the same period last year. The decrease during the period ending March 31, 2020 compared to the same period in 2019 was primarily due to interest expense recognition related to a decrease in the amortization of our finance lease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March 31, 2020, we recorded a loss of $546,000 for our share of losses based on our ownership of Melt. During the three months ended March 31, 2019, we recorded a net gain of $5,525,000 related to our investment in Melt. We recorded a gain of $5,810,000 for the deconsolidation of Melt, and a loss of $285,000 for our share of losses based on our ownership of Melt. We began using equity method accounting for our investment in Melt beginning on January 30, 2019, the date we no longer had a controlling interest, prior to that date, their losses were consolidated within our statements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Investment Loss from Surface,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2020 and 2019, we recorded a loss of $339,000 and $243,000, respectively, for our share of losses based on our ownership of Surface.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a loss of $(10,850,000) and gain of $6,580,000 related to the change in fair market value of Eton’s common stock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2019, we recorded other income, net of $630,000. This was the result of income of $630,000 related to expenses that were paid by us and will be reimbursed by Melt following its deconsolidation. There were no similar amounts during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6"/>
          </w:tcPr>
          <w:p>
            <w:pPr>
              <w:ind w:left="2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Harrow Health, Inc.</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Net (loss) income per share, basic</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diluted</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(0.50)</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92" w:lineRule="exact"/>
        <w:rPr>
          <w:sz w:val="20"/>
          <w:szCs w:val="20"/>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more information about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March 31, 2020 was $4,124,000, compared to $4,949,000 at December 31, 2019. Since inception, July 24, 1998, through March 31, 2020, we have incurred aggregate losses of $86,950,000.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90"/>
        <w:spacing w:after="0" w:line="271" w:lineRule="auto"/>
        <w:rPr>
          <w:sz w:val="20"/>
          <w:szCs w:val="20"/>
          <w:color w:val="auto"/>
        </w:rPr>
      </w:pPr>
      <w:r>
        <w:rPr>
          <w:rFonts w:ascii="Arial" w:cs="Arial" w:eastAsia="Arial" w:hAnsi="Arial"/>
          <w:sz w:val="17"/>
          <w:szCs w:val="17"/>
          <w:color w:val="auto"/>
        </w:rPr>
        <w:t>As of the date of this Quarterly Report, we believe that cash and cash equivalents of $3,924,000 and restricted investments of $200,000, totaling approximately $4,124,000 at March 31, 2020, along with $1,000,000 from the April draw down on the SWK Loan and $1,967,100 from the PPP Loan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90"/>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21" w:lineRule="exact"/>
        <w:rPr>
          <w:sz w:val="20"/>
          <w:szCs w:val="20"/>
          <w:color w:val="auto"/>
        </w:rPr>
      </w:pPr>
    </w:p>
    <w:p>
      <w:pPr>
        <w:jc w:val="center"/>
        <w:ind w:left="37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37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960" w:type="dxa"/>
            <w:vAlign w:val="bottom"/>
            <w:gridSpan w:val="2"/>
          </w:tcPr>
          <w:p>
            <w:pPr>
              <w:jc w:val="right"/>
              <w:ind w:right="91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(550,000)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(1,476,000)</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(273,000)</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(324,000)</w:t>
            </w:r>
          </w:p>
        </w:tc>
      </w:tr>
      <w:tr>
        <w:trPr>
          <w:trHeight w:val="236"/>
        </w:trPr>
        <w:tc>
          <w:tcPr>
            <w:tcW w:w="46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(773,000)</w:t>
            </w: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(825,000)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68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4,949,000</w:t>
            </w:r>
          </w:p>
        </w:tc>
        <w:tc>
          <w:tcPr>
            <w:tcW w:w="4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6,838,000</w:t>
            </w: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was $(550,000), compared to $(1,476,000) in operating activities during the same period in the prior year. The decrease in net cash used in operating activities during the periods was mainly attributed to deferral of bonus payments and other accrued expenses as part of the actions taken by the Company in response to the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three months ended March 31, 2020 and 2019 was $(273,000) and $(324,000), respectively. Cash used in investing activities in 2020 and 2019 was primarily associated with equipment purchases and upgrades and investments in our intellectual property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cash used in financing activities during the three months ended March 31, 2020 and 2019 was $(2,000) and $(773,000), respectively. Cash used in financing activities during the three months ended March 31, 2020 was related to principal payments on our finance lease.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sources of cash consist of cash provided by operating activities from our pharmaceutical compounding business. We may also sell some or all of our ownership interests in Eton, Surface, Melt or our other subsidiaries. We produced cash from operations during 2018 and 2019; however, we currently are experiencing a downturn in revenues mostly as a result of the COVID-19 pandemic which will have an impact on our ability to produce cash in the current year. In addition, prior to 2017, we had not generated sufficient revenues to support our operations and may not be able to do so in the future.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changing trends and overall economic outlook in light of the COVID-19 pandemic, including the related interim stay-at-home orders and bans on elective surgeries, have created uncertainty surrounding our operating outlook and may impact our future operating results.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both"/>
        <w:ind w:firstLine="723"/>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2020. Based on this evaluation, our principal executive officer and principal financial officer have concluded that our disclosure controls and procedures were effective to achieve their stated purpose as of March 31, 2020,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March 31, 2020,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 termination obligations to be litigated. NDS is seeking unspecified damages, interest, attorney’s fees and other costs.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Erick is seeking unspecified damages, interest, attorney’s fees and other costs.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as well as the risk factors and the other information in our Annual Report on Form 10-K including our audited financial statements and the related notes and “Management’s Discussion and Analysis of Financial Condition and Results of Operations” when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spacing w:after="0" w:line="308" w:lineRule="auto"/>
        <w:rPr>
          <w:sz w:val="20"/>
          <w:szCs w:val="20"/>
          <w:color w:val="auto"/>
        </w:rPr>
      </w:pPr>
      <w:r>
        <w:rPr>
          <w:rFonts w:ascii="Arial" w:cs="Arial" w:eastAsia="Arial" w:hAnsi="Arial"/>
          <w:sz w:val="17"/>
          <w:szCs w:val="17"/>
          <w:b w:val="1"/>
          <w:bCs w:val="1"/>
          <w:i w:val="1"/>
          <w:iCs w:val="1"/>
          <w:color w:val="auto"/>
        </w:rPr>
        <w:t>The COVID-19 pandemic has had an adverse effect on our business and results of operations and is expected to continue to have further adverse effects, which could be material, on our business, results of operations, financial condition, liquidity, and capital investments.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 employees working from home when possible and employees in our facilities increasing physical distancing.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18, 2020, the Centers for Medicare &amp; Medicaid Services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have strictly limited access to their facilities during the pandemic. We cannot predict the duration or scope of the pandemic, actions that may be taken by governments and businesses in response to the pandemic, or the impacts of the pandemic on healthcare systems. The impacts of the pandemic may include, but are not limited to:</w:t>
      </w:r>
    </w:p>
    <w:p>
      <w:pPr>
        <w:spacing w:after="0" w:line="192"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revenues from our customers, including our major customers, whose products are impacted by CMS guidance to limit elective medical procedures;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Diminished ability or willingness of third parties to market, distribute and sell our products, due to reduced demand from, or lack of access to, healthcare facilities and providers;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Diminished or lost access to third party service providers that we use in our research and development or marketing efforts;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cash flow from our operations due to reductions in revenues or collections from our customers and increases in operating costs related to actions we have taken in response to the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business productivity due to inefficiencies in employees working from home or increasing physical distancing and other pandemic response protocols in our production facilities;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source sufficient components used in our products due to disruptions in supply chains;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Diminished ability to identify, evaluate and acquire, or effectively integrate, complementary businesses, products, materials or technologies due to travel restrictions, physical distancing protocols, and lack of access to third party service providers related to our development activities;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manufacturing capacity, which could lead to failures to meet product delivery commitments, or increased operating costs if one of our facilities were to experience a COVID-19 outbreak;</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assessing and securing intellectual property rights due to lack of access to, or delayed responsiveness of, third party service providers or governmental agencies;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Diminished ability to retain personnel over concerns about workplace exposure to COVID-19, or to hire and effectively train new personnel, due to physical distancing protocols;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or other assets due to reductions in the fair value of our reporting units.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and other factors relating to, or arising from, the pandemic could have material adverse effects on our business, results of operations, cash flows, financial condition, and capital investments. Actual or anticipated adverse effects on our cash flows or financial condition may lead us to seek additional funding.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We cannot be certain that additional funding will be available on acceptable terms, if at all. If we do not have, or are not able to obtain, sufficient funds, we may have to delay development or commercialization of our products or otherwise curtail our operations. Any of these events could materially harm our business and operating results.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Our operations, and those of contract research organizations (or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cell line storage facilities are affected by a man-made or natural disaster or other business interruption.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Certification of Mark L. Baum, principal executive officer, pursuant to Rule 13a-14(a) or 15d-14(a) of the Securities and Exchange Act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1934, as adopted pursuant to Section 302 of the Sarbanes- Oxley Act of 2002.</w:t>
              </w:r>
            </w:hyperlink>
          </w:p>
        </w:tc>
        <w:tc>
          <w:tcPr>
            <w:tcW w:w="45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Exchange Act of 1934, as adopted pursuant to Section 302 of the Sarbanes- 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line="20" w:lineRule="exact"/>
              <w:rPr>
                <w:sz w:val="1"/>
                <w:szCs w:val="1"/>
                <w:color w:val="auto"/>
              </w:rPr>
            </w:pPr>
          </w:p>
        </w:tc>
        <w:tc>
          <w:tcPr>
            <w:tcW w:w="68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pursuant to 18 U.S.C. Section 1350, as adopted pursuant to Section 906 of the Sarbanes-Oxley Act of 2002, executed by Mark</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 Baum, principal executive officer, and Andrew R. Boll, principal financial and accounting officer.</w:t>
              </w:r>
            </w:hyperlink>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101.INS*</w:t>
            </w:r>
          </w:p>
        </w:tc>
        <w:tc>
          <w:tcPr>
            <w:tcW w:w="7240" w:type="dxa"/>
            <w:vAlign w:val="bottom"/>
            <w:gridSpan w:val="3"/>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00" w:type="dxa"/>
            <w:vAlign w:val="bottom"/>
            <w:gridSpan w:val="2"/>
            <w:vMerge w:val="continue"/>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00" w:hanging="1092"/>
        <w:spacing w:after="0" w:line="277" w:lineRule="auto"/>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March 31, 2020, has been formatted in Inline XBRL.</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  (Principal Financial and Accounting Officer)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Andrew R. Boll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March 31, 2020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2020-05-11T15:48:57Z</dcterms:created>
  <dcterms:modified xsi:type="dcterms:W3CDTF">2020-05-11T15:48:57Z</dcterms:modified>
</cp:coreProperties>
</file>