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(Amendment No. __)</w:t>
      </w:r>
    </w:p>
    <w:p>
      <w:pPr>
        <w:spacing w:after="0" w:line="1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23" w:lineRule="exact"/>
        <w:rPr>
          <w:sz w:val="24"/>
          <w:szCs w:val="24"/>
          <w:color w:val="auto"/>
        </w:rPr>
      </w:pPr>
    </w:p>
    <w:p>
      <w:pPr>
        <w:ind w:right="5200" w:firstLine="8"/>
        <w:spacing w:after="0" w:line="21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20955</wp:posOffset>
            </wp:positionV>
            <wp:extent cx="325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289560</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Person(s) Filing Proxy Statement, if other than the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140" w:hanging="322"/>
        <w:spacing w:after="0" w:line="250" w:lineRule="auto"/>
        <w:tabs>
          <w:tab w:leader="none" w:pos="1116"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660" w:firstLine="8"/>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2790190</wp:posOffset>
            </wp:positionH>
            <wp:positionV relativeFrom="page">
              <wp:posOffset>337820</wp:posOffset>
            </wp:positionV>
            <wp:extent cx="1981200"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81200" cy="900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You are cordially invited to attend the 2016 Annual Meeting of Stockholders of Imprimis Pharmaceuticals, Inc., which will be held at the San Diego Marriott Del Mar Hotel, 11966 El Camino Real, San Diego, California 92130, on June 10, 2016, at 9:00 a.m. local time. We hope you will be able to attend the meeting in person.</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Imprimis Pharmaceuticals,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/s/ Mark L. Baum</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Mark L. Baum</w:t>
      </w:r>
    </w:p>
    <w:p>
      <w:pPr>
        <w:jc w:val="center"/>
        <w:ind w:left="3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723265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2790190</wp:posOffset>
            </wp:positionH>
            <wp:positionV relativeFrom="page">
              <wp:posOffset>337820</wp:posOffset>
            </wp:positionV>
            <wp:extent cx="1981200"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81200" cy="90043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10,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NOTICE IS HEREBY GIVEN that the Annual Meeting of Stockholders of Imprimis Pharmaceuticals, Inc. (the “Company”) will be held on June 10, 2016 at 9:00 a.m., at the San Diego Marriott Del Mar Hotel, 11966 El Camino Real, San Diego, California 92130, for the following purposes:</w:t>
      </w:r>
    </w:p>
    <w:p>
      <w:pPr>
        <w:spacing w:after="0" w:line="147" w:lineRule="exact"/>
        <w:rPr>
          <w:sz w:val="20"/>
          <w:szCs w:val="20"/>
          <w:color w:val="auto"/>
        </w:rPr>
      </w:pPr>
    </w:p>
    <w:p>
      <w:pPr>
        <w:ind w:left="1140" w:hanging="22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to the Board of Directors the six (6) director nominees named in the accompanying proxy statement to serve until the 2017 annual meeting of stockholders and until their successors are duly elected and qualified.</w:t>
      </w:r>
    </w:p>
    <w:p>
      <w:pPr>
        <w:spacing w:after="0" w:line="197" w:lineRule="exact"/>
        <w:rPr>
          <w:rFonts w:ascii="Arial" w:cs="Arial" w:eastAsia="Arial" w:hAnsi="Arial"/>
          <w:sz w:val="18"/>
          <w:szCs w:val="18"/>
          <w:color w:val="auto"/>
        </w:rPr>
      </w:pPr>
    </w:p>
    <w:p>
      <w:pPr>
        <w:ind w:left="1140" w:right="20" w:hanging="22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2016.</w:t>
      </w:r>
    </w:p>
    <w:p>
      <w:pPr>
        <w:spacing w:after="0" w:line="197" w:lineRule="exact"/>
        <w:rPr>
          <w:rFonts w:ascii="Arial" w:cs="Arial" w:eastAsia="Arial" w:hAnsi="Arial"/>
          <w:sz w:val="18"/>
          <w:szCs w:val="18"/>
          <w:color w:val="auto"/>
        </w:rPr>
      </w:pPr>
    </w:p>
    <w:p>
      <w:pPr>
        <w:ind w:left="1140" w:hanging="2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252" w:lineRule="exact"/>
        <w:rPr>
          <w:rFonts w:ascii="Arial" w:cs="Arial" w:eastAsia="Arial" w:hAnsi="Arial"/>
          <w:sz w:val="18"/>
          <w:szCs w:val="18"/>
          <w:color w:val="auto"/>
        </w:rPr>
      </w:pPr>
    </w:p>
    <w:p>
      <w:pPr>
        <w:ind w:left="1140" w:hanging="2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21, 2016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/s/ Mark L. Baum</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2790190</wp:posOffset>
            </wp:positionH>
            <wp:positionV relativeFrom="page">
              <wp:posOffset>337820</wp:posOffset>
            </wp:positionV>
            <wp:extent cx="1981200"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81200" cy="90043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10,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enclosed proxy is solicited on behalf of the Board of Directors (the “Board” or “Board of Directors”) for use at the Annual Meeting of Stockholders (the “Annual Meeting”) of Imprimis Pharmaceuticals, Inc. (referred to herein as the “Company,” “we,” “us” or “our”), to be held on June 10, 2016, at 9:00 a.m. local time at the San Diego Marriott Del Mar Hotel, 11966 El Camino Real, San Diego, California 92130,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2015 (the “Annual Report”), the Notice and a proxy card, to our stockholders on or about April 27,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2015 ANNUAL MEETING OF STOCKHOLDERS TO BE HELD ON JUNE 10, 2016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www.iproxydirect.com/IMMY.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21, 2016, will be entitled to notice of and to vote at the Annual Meeting and any postponement or adjournment thereof. At the close of business on April 21, 2016, the Company had 13,105,678 shares of common stock outstanding and entitled to vote, held by 129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w:t>
            </w:r>
          </w:p>
        </w:tc>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Vote Required</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Broker Discretionary</w:t>
            </w:r>
          </w:p>
        </w:tc>
        <w:tc>
          <w:tcPr>
            <w:tcW w:w="0" w:type="dxa"/>
            <w:vAlign w:val="bottom"/>
          </w:tcPr>
          <w:p>
            <w:pPr>
              <w:spacing w:after="0"/>
              <w:rPr>
                <w:sz w:val="1"/>
                <w:szCs w:val="1"/>
                <w:color w:val="auto"/>
              </w:rPr>
            </w:pPr>
          </w:p>
        </w:tc>
      </w:tr>
      <w:tr>
        <w:trPr>
          <w:trHeight w:val="178"/>
        </w:trPr>
        <w:tc>
          <w:tcPr>
            <w:tcW w:w="800" w:type="dxa"/>
            <w:vAlign w:val="bottom"/>
            <w:gridSpan w:val="2"/>
            <w:vMerge w:val="continue"/>
          </w:tcPr>
          <w:p>
            <w:pPr>
              <w:spacing w:after="0"/>
              <w:rPr>
                <w:sz w:val="15"/>
                <w:szCs w:val="15"/>
                <w:color w:val="auto"/>
              </w:rPr>
            </w:pPr>
          </w:p>
        </w:tc>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Voting Allowed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88"/>
              </w:rPr>
              <w:t>Proposal 1</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Election of six directors</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Plurality of Votes Cast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88"/>
              </w:rPr>
              <w:t>Proposal 2</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Ratification of auditors for the 2016 fiscal year</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Majority of Votes Cast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w w:val="88"/>
              </w:rPr>
              <w:t>Proposal 3</w:t>
            </w:r>
          </w:p>
        </w:tc>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Advisory vote to approve executive compensation</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Majority of Votes Cast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With respect to Proposal 1, you may vote FOR or ABSTAIN. Abstentions and broker non-votes, if any, will have no effect on the outcome of Proposal 1. With respect to Proposals 2 and 3, you may vote FOR, AGAINST or ABSTAIN. Abstentions, if any, will have the same effect as an AGAINST vote for Proposals 2 and 3. Broker non-votes with respect to Proposal 3 will have will no effect on the outcome of the vote. Broker non-votes are not expected to result from Proposal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1240" w:hanging="260"/>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980" w:right="20"/>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written notice to our Corporate Secretary at 12264 El Camino Real, Suite 350, San Diego, California 92130 before the proxy is used; or</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currently consists of six directors. Our Board has selected six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2015 annual meeting of stockholders. At the Annual Meeting, stockholders will elect six directors to serve until the 2017 annual meeting of stockholders and until the directors’ respective successors are elected and qualified or their earlier death, resignation or removal.</w:t>
      </w:r>
    </w:p>
    <w:p>
      <w:pPr>
        <w:spacing w:after="0" w:line="21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Board has selected the following six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 Set forth below are the names, ages and certain other information of each director nominee as of April 27,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5"/>
                <w:szCs w:val="15"/>
                <w:color w:val="auto"/>
              </w:rPr>
            </w:pPr>
          </w:p>
        </w:tc>
        <w:tc>
          <w:tcPr>
            <w:tcW w:w="752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Position &amp; Committees</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Robert J. Kammer</w:t>
            </w:r>
          </w:p>
        </w:tc>
        <w:tc>
          <w:tcPr>
            <w:tcW w:w="8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68</w:t>
            </w: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Director; Audit Committee, Compensation Committee*</w:t>
            </w: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William H. Nelson</w:t>
            </w:r>
          </w:p>
        </w:tc>
        <w:tc>
          <w:tcPr>
            <w:tcW w:w="800" w:type="dxa"/>
            <w:vAlign w:val="bottom"/>
            <w:gridSpan w:val="2"/>
          </w:tcPr>
          <w:p>
            <w:pPr>
              <w:jc w:val="center"/>
              <w:ind w:left="50"/>
              <w:spacing w:after="0" w:line="201" w:lineRule="exact"/>
              <w:rPr>
                <w:sz w:val="20"/>
                <w:szCs w:val="20"/>
                <w:color w:val="auto"/>
              </w:rPr>
            </w:pPr>
            <w:r>
              <w:rPr>
                <w:rFonts w:ascii="Arial" w:cs="Arial" w:eastAsia="Arial" w:hAnsi="Arial"/>
                <w:sz w:val="18"/>
                <w:szCs w:val="18"/>
                <w:color w:val="auto"/>
                <w:w w:val="89"/>
              </w:rPr>
              <w:t>70</w:t>
            </w:r>
          </w:p>
        </w:tc>
        <w:tc>
          <w:tcPr>
            <w:tcW w:w="1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rPr>
              <w:t>Director; Audit Committee, Compensation Committee, Nomination and Corporate Governance</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Committee*</w:t>
            </w: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Stephen G. Austin</w:t>
            </w:r>
          </w:p>
        </w:tc>
        <w:tc>
          <w:tcPr>
            <w:tcW w:w="8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63</w:t>
            </w:r>
          </w:p>
        </w:tc>
        <w:tc>
          <w:tcPr>
            <w:tcW w:w="12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Director; Audit Committee*, Nomination and Corporate Governance Committee</w:t>
            </w: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Anthony J. Principi</w:t>
            </w:r>
          </w:p>
        </w:tc>
        <w:tc>
          <w:tcPr>
            <w:tcW w:w="8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Director; Compensation Committee, Nomination and Corporate Governance Committee</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Chairman of the committee.</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Mark L. Baum, J.D. </w:t>
      </w:r>
      <w:r>
        <w:rPr>
          <w:rFonts w:ascii="Arial" w:cs="Arial" w:eastAsia="Arial" w:hAnsi="Arial"/>
          <w:sz w:val="17"/>
          <w:szCs w:val="17"/>
          <w:color w:val="auto"/>
        </w:rPr>
        <w:t>is a founder, member of the board of directors and Chief Executive Officer of Imprimis Pharmaceuticals, Inc. In 2011, Mr. Baum led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restructuring and reorganization of Imprimis and since that time the Company has raised nearly $45 million to build and support the growth of the Company.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serves on the board of directors for Ideal Power, Inc., where he is also chairman of the audit committee. Mr. Baum is a senior advisor to Curology, Inc., a privately held venture capital backed dermatology focused business. Mr. Baum brings to the Imprimis Board years of public company executive experience, including knowledge of securities laws, reporting requirements and public company finance-related issues. Mr. Baum is an active participant in the national drug pricing and accessibility discussion, contributing through interviews for television, radio and print and advocating for policy changes to help ease the burden to patients and payors resulting from current drug pricing policies.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 April</w:t>
      </w:r>
      <w:r>
        <w:rPr>
          <w:rFonts w:ascii="Arial" w:cs="Arial" w:eastAsia="Arial" w:hAnsi="Arial"/>
          <w:sz w:val="17"/>
          <w:szCs w:val="17"/>
          <w:b w:val="1"/>
          <w:bCs w:val="1"/>
          <w:color w:val="auto"/>
        </w:rPr>
        <w:t xml:space="preserve"> </w:t>
      </w:r>
      <w:r>
        <w:rPr>
          <w:rFonts w:ascii="Arial" w:cs="Arial" w:eastAsia="Arial" w:hAnsi="Arial"/>
          <w:sz w:val="17"/>
          <w:szCs w:val="17"/>
          <w:color w:val="auto"/>
        </w:rPr>
        <w:t>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has also served as associate director of the Minnesota Lions Eye Bank since 1987 and he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board member of the University of Minnesota Foundation, chairing the Ophthalmology and Visual Neurosciences Division.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William H. Nelson </w:t>
      </w:r>
      <w:r>
        <w:rPr>
          <w:rFonts w:ascii="Arial" w:cs="Arial" w:eastAsia="Arial" w:hAnsi="Arial"/>
          <w:sz w:val="16"/>
          <w:szCs w:val="16"/>
          <w:color w:val="auto"/>
        </w:rPr>
        <w:t>has served as our director since September 2014. Mr. Nelson served as the President and the Chief Executive Officer of Intermountain</w:t>
      </w:r>
      <w:r>
        <w:rPr>
          <w:rFonts w:ascii="Arial" w:cs="Arial" w:eastAsia="Arial" w:hAnsi="Arial"/>
          <w:sz w:val="16"/>
          <w:szCs w:val="16"/>
          <w:b w:val="1"/>
          <w:bCs w:val="1"/>
          <w:color w:val="auto"/>
        </w:rPr>
        <w:t xml:space="preserve"> </w:t>
      </w:r>
      <w:r>
        <w:rPr>
          <w:rFonts w:ascii="Arial" w:cs="Arial" w:eastAsia="Arial" w:hAnsi="Arial"/>
          <w:sz w:val="16"/>
          <w:szCs w:val="16"/>
          <w:color w:val="auto"/>
        </w:rPr>
        <w:t>Healthcare, an integrated nonprofit healthcare system with hospitals, clinics, and an insurance organization, from 1999 until his retirement in early 2009. Mr. Nelson also served as Chief Operating Officer of Intermountain Healthcare from 1995 to 1998 and Chief Financial Officer from 1976 to 1995. Prior to that, Mr. Nelson was an auditor for Ernst and Ernst (now Ernst &amp; Young) from 1971 to 1976. Mr. Nelson serves on the boards of the Utah Symphony &amp; Opera, Utah Youth Village and other non-profit community based organizations and has served on the boards of Beneficial Life Insurance, United Way of the Greater Salt Lake Area and the Healthcare Research and Development Institute. Mr. Nelson received his Bachelors of Science degree in Accounting from Brigham Young University, his MBA degree from University of Southern California and became a licensed Certified Public Accountant in 1973 (currently inactive). Mr. Nelson brings valuable healthcare industry and management experience to the Board.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a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Anthony G. Principi, J.D</w:t>
      </w:r>
      <w:r>
        <w:rPr>
          <w:rFonts w:ascii="Arial" w:cs="Arial" w:eastAsia="Arial" w:hAnsi="Arial"/>
          <w:sz w:val="16"/>
          <w:szCs w:val="16"/>
          <w:color w:val="auto"/>
        </w:rPr>
        <w:t>., has served as a director since September 2015. Mr. Principi is the Chairman of THE SPECTRUM group and served as the CEO</w:t>
      </w:r>
      <w:r>
        <w:rPr>
          <w:rFonts w:ascii="Arial" w:cs="Arial" w:eastAsia="Arial" w:hAnsi="Arial"/>
          <w:sz w:val="16"/>
          <w:szCs w:val="16"/>
          <w:b w:val="1"/>
          <w:bCs w:val="1"/>
          <w:color w:val="auto"/>
        </w:rPr>
        <w:t xml:space="preserve"> </w:t>
      </w:r>
      <w:r>
        <w:rPr>
          <w:rFonts w:ascii="Arial" w:cs="Arial" w:eastAsia="Arial" w:hAnsi="Arial"/>
          <w:sz w:val="16"/>
          <w:szCs w:val="16"/>
          <w:color w:val="auto"/>
        </w:rPr>
        <w:t>and president of The Principi Group, LLC before its merger with THE SPECTRUM group.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Engility Holdings, Inc. and GetWellNetwork®, Inc. Mr. Principi previously served as Executive Chairman of QTC Management, the largest provider of medical and disability evaluations to the federal government, and also served on the board of directors of Perot Systems, Inc. Mr. Principi received a Bachelor of Science from the U.S. Naval Academy and a Juris Doctor from Seton Hall University School of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2016,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2015 and 2014,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60,550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185,950</w:t>
            </w:r>
          </w:p>
        </w:tc>
        <w:tc>
          <w:tcPr>
            <w:tcW w:w="10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122,098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and the acquisition audits of our wholly owned subsidiaries. There were no fees billed by or paid to our principal accountant during the years ended December 31, 2015 and 2014 for tax compliance, tax advice or tax planning services or for financial information systems design and implementation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2015 and 2014 were pre-approved by our Audit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Board of Directors currently consists of the following six members: Dr. Robert J. Kammer (Chairman); Stephen G. Austin; Dr. Richard L. Lindstrom; Anthony G. Principi, Mark L. Baum and William H. Nelson. The Board has determined that (i) Mr. Austin, Dr. Lindstrom, Mr. Principi and Mr. Nelson, comprising a majority of our current Board, are “independent” directors, as that term is defined by Nasdaq Marketplace Rule 5605(a)(2). Mr. Baum is not independent because he currently serves as our Chief Executive Officer, and Dr. Kammer is not independent because of previous advisory relationships with the Company that concluded in 2013. We believe Dr. Kammer will meet the definition of an independent director in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Securities Exchange Act of 1934, as amended (the “Exchange Act”). Stockholders may obtain a copy of our Bylaws by writing to our Corporate Secretary at Imprimis Pharmaceuticals, Inc., c/o Corporate Secretary, 12264 El Camino Real, Suite 350, San Diego, California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Imprimis Pharmaceuticals,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2015, the Board held seven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2015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Audit Committee is currently composed of Messrs. Stephen Austin (Chairman), Richard Lindstrom and William Nelson. Our Board has affirmatively determined that each member of the Audit Committee in 2015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and William Nelson each qualify as an “audit committee financial expert” as such term is defined in Regulation S-K under the Securities Act of 1933. The Audit Committee held four meetings in 2015.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Compensation Committee is currently composed of Messrs. Richard Lindstrom (Chairman), Anthony Principi and William Nelson. Stephen Austin served on our Compensation Committee in 2015, and in November 2015, Mr. Principi was nominated to replace him on the committee in an effort to balance certain committee duties between our directors. Our Board has affirmatively determined that each member of the Compensation Committee during 2015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eleven meetings in 2015.</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http://imprimispharma.investorroom.com.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Nomination and Corporate Governance Committee is currently composed of Messrs. William Nelson (Chairman), Stephen Austin and Anthony Principi. Richard Lindstrom served on our Nomination and Corporate Governance Committee during 2015, and in November 2015, Mr. Principi was nominated to replace him on the committee in an effort to balance certain committee duties between our directors. Our Board has affirmatively determined that each member of the Nomination and Corporate Governance Committee during 2015 was independent under Nasdaq Marketplace Rule 5605(a)(2), and that each current member of the Nomination and Corporate Governance Committee is independent under Nasdaq Marketplace Rule 5605(a)(2). The Nomination and Corporate Governance Committee held four meetings in 2015.</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Nomination and Corporate Governance Committee acts pursuant to a written charter that has been adopted by the Board, which is available for review on our website at http://imprimispharma.investorroom.com.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separated Chairman of the Board and Chief Executive Officer positions are augmented by our independent directors, who comprise all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committees and meet regularly in executive session without Dr. Kammer, Mr. Baum or other members of our management present to ensure that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maintains an appropriate level of independent oversight of management.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8"/>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Board/Committee</w:t>
            </w:r>
          </w:p>
        </w:tc>
        <w:tc>
          <w:tcPr>
            <w:tcW w:w="120" w:type="dxa"/>
            <w:vAlign w:val="bottom"/>
          </w:tcPr>
          <w:p>
            <w:pPr>
              <w:spacing w:after="0"/>
              <w:rPr>
                <w:sz w:val="15"/>
                <w:szCs w:val="15"/>
                <w:color w:val="auto"/>
              </w:rPr>
            </w:pPr>
          </w:p>
        </w:tc>
        <w:tc>
          <w:tcPr>
            <w:tcW w:w="7760" w:type="dxa"/>
            <w:vAlign w:val="bottom"/>
          </w:tcPr>
          <w:p>
            <w:pPr>
              <w:spacing w:after="0"/>
              <w:rPr>
                <w:sz w:val="20"/>
                <w:szCs w:val="20"/>
                <w:color w:val="auto"/>
              </w:rPr>
            </w:pPr>
            <w:r>
              <w:rPr>
                <w:rFonts w:ascii="Arial" w:cs="Arial" w:eastAsia="Arial" w:hAnsi="Arial"/>
                <w:sz w:val="14"/>
                <w:szCs w:val="14"/>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3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Full Board</w:t>
            </w:r>
          </w:p>
        </w:tc>
        <w:tc>
          <w:tcPr>
            <w:tcW w:w="120" w:type="dxa"/>
            <w:vAlign w:val="bottom"/>
            <w:shd w:val="clear" w:color="auto" w:fill="CCEEFF"/>
          </w:tcPr>
          <w:p>
            <w:pPr>
              <w:spacing w:after="0"/>
              <w:rPr>
                <w:sz w:val="17"/>
                <w:szCs w:val="17"/>
                <w:color w:val="auto"/>
              </w:rPr>
            </w:pPr>
          </w:p>
        </w:tc>
        <w:tc>
          <w:tcPr>
            <w:tcW w:w="77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4"/>
              </w:rPr>
              <w:t>Risks and exposures associated with our business strategy and other current matters that may present</w:t>
            </w: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material risk to our financial performance, operations, prospects or reputation.</w:t>
            </w: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Audit Committee</w:t>
            </w:r>
          </w:p>
        </w:tc>
        <w:tc>
          <w:tcPr>
            <w:tcW w:w="1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1"/>
              </w:rPr>
              <w:t>Overall policies with respect to risk assessment and risk management, material pending legal proceedings</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involving the Company and other contingent liabilities, any potential related party or conflict of interest</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transactions, as well as other risks and exposures that may have a material impact on our financial</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statements.</w:t>
            </w: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spacing w:after="0"/>
              <w:rPr>
                <w:sz w:val="17"/>
                <w:szCs w:val="17"/>
                <w:color w:val="auto"/>
              </w:rPr>
            </w:pPr>
          </w:p>
        </w:tc>
        <w:tc>
          <w:tcPr>
            <w:tcW w:w="7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Risks and exposures associated with management succession planning and executive compensation</w:t>
            </w: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programs and arrangements, including incentive plans.</w:t>
            </w: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Nomination and Corporate Governance</w:t>
            </w:r>
          </w:p>
        </w:tc>
        <w:tc>
          <w:tcPr>
            <w:tcW w:w="1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89"/>
              </w:rPr>
              <w:t>Risks and exposures associated with director succession planning, corporate governance, and overall board</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1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effectiveness.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the beginning of 2014, there have been no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2015, all executive officers, directors and greater than 10% beneficial owners of our common stock complied with the reporting requirements of Section 16(a) of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Executive officers are appointed by our Board and serve at its discretion. Set forth below is information regarding our executive officers as of April 27,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120" w:type="dxa"/>
            <w:vAlign w:val="bottom"/>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1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Andrew R. Boll</w:t>
            </w:r>
          </w:p>
        </w:tc>
        <w:tc>
          <w:tcPr>
            <w:tcW w:w="1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12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56</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Andrew R. Boll, CFA, CMA </w:t>
      </w:r>
      <w:r>
        <w:rPr>
          <w:rFonts w:ascii="Arial" w:cs="Arial" w:eastAsia="Arial" w:hAnsi="Arial"/>
          <w:sz w:val="18"/>
          <w:szCs w:val="18"/>
          <w:color w:val="auto"/>
        </w:rPr>
        <w:t>started with Imprimis in December 2011 as a consultant until he was hired as Vice President of Accounting and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 of Imprimis in February 2012. He has served as Imprimis’ Chief Financial Officer since his promotion in February 2015 and oversees the Company’s accounting and financial reporting, investor relations, human resources and other operational departments. Mr. Boll has several years of experience in finance and accounting roles, including significant experience working with small capitalization companies and focusing on restructured and reorganized businesses. From November 2007 to November 2011, Mr. Boll worked for BCGU, LLC, a privately held fund manager specializing in micro-cap, small-cap and venture type investment opportunities. There he provided financial and accounting consulting services to public and private company clients. From 2004 to 2007, Mr. Boll held various accounting roles at Welsh Companies, LLC, a privately held commercial real estate company, its fund and its other subsidiaries. Mr. Boll is a CFA charterholder, Certified Management Accountant and earned his Bachelor of Science degree in Corporate and Public Finance. He is a member of the Institute of Management Accountants, the CFA Institute, and the CFA Society of San Diego.</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John P. Saharek </w:t>
      </w:r>
      <w:r>
        <w:rPr>
          <w:rFonts w:ascii="Arial" w:cs="Arial" w:eastAsia="Arial" w:hAnsi="Arial"/>
          <w:sz w:val="17"/>
          <w:szCs w:val="17"/>
          <w:color w:val="auto"/>
        </w:rPr>
        <w:t>started with Imprimis as our Vice President of Commercialization, Ophthalmology in November 2013 until his promotion to Chief</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Officer in February 2015. Mr. Saharek oversees all of the Company’s commercial activities, including marketing, sales and customer care departments. He is a senior healthcare industry executive with over 30 years of experience developing and commercializing pharmaceutical, biotech, surgical device and diagnostic product portfolios. Before joining the Company, he was the Head of U.S. Marketing and Strategy (April 2013 to October 2013) and National Director, Sales and Reimbursement (July 2011 to April 2013) for ThromboGenics Inc., a biotherapeutics company, where he worked on developing the commercial strategy and building a team to launch a new biologic into the U.S. market. Prior to that he was Vice President, Business Development at SurModics Inc., a provider of medical device coatings and in vitro diagnostic products, from March 2006 to July 2011, where he worked with large and small pharmaceutical companies on multi-platform drug delivery initiatives in the U.S. and internationally. Earlier in his career, he held positions in marketing and sales at a number of companies, including his tenure with Bausch &amp; Lomb. Mr. Saharek has a Master’s degree in Business Administration from the University of Hartford and a Bachelor’s degree from Central Connecticut State University.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1" w:right="239" w:bottom="32"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Dodd-Frank Wall Street Reform and Consumer Protection Act of 2010 (the “Dodd-Frank Act”) added Section 14A to Securities Exchange Act of 1934, as amended (the “Exchange Act”), which enables our stockholders to vote to approve, on an advisory, non-binding basis, the compensation of our named executive officers as disclosed in this proxy statement in accordance with the Securities and Exchange Commission’s (“SEC”) rules.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2016 Annual Meeting of Stockholders pursuant to the compensation disclosure rules of the Securities and Exchange Commission.”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this proposal requires the affirmative vote of a majority of the voting power present at a meeting at which a quorum is present.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have the same effect as a vote against this proposal.</w:t>
      </w:r>
    </w:p>
    <w:p>
      <w:pPr>
        <w:spacing w:after="0" w:line="207" w:lineRule="exact"/>
        <w:rPr>
          <w:sz w:val="20"/>
          <w:szCs w:val="20"/>
          <w:color w:val="auto"/>
        </w:rPr>
      </w:pPr>
    </w:p>
    <w:p>
      <w:pPr>
        <w:jc w:val="center"/>
        <w:ind w:left="260" w:right="2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ind w:left="4460"/>
        <w:spacing w:after="0"/>
        <w:rPr>
          <w:sz w:val="20"/>
          <w:szCs w:val="20"/>
          <w:color w:val="auto"/>
        </w:rPr>
      </w:pPr>
      <w:r>
        <w:rPr>
          <w:rFonts w:ascii="Arial" w:cs="Arial" w:eastAsia="Arial" w:hAnsi="Arial"/>
          <w:sz w:val="18"/>
          <w:szCs w:val="18"/>
          <w:b w:val="1"/>
          <w:bCs w:val="1"/>
          <w:color w:val="auto"/>
        </w:rPr>
        <w:t>DIRECTOR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Fiscal Year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cash compensation program for 2015 provided for a single annual retainer fee of $40,000 for all non-employee directors, with no additional payments for serving on committees or in leadership positions.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Year Ending December 31, 2016</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the first quarter of 2016, the Compensation Committee and Board of Directors established a standard director compensation program. A summary of the non-employee director compensation arrangements for 2016 (effective January 1, 2016) is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Retainer and</w:t>
            </w:r>
          </w:p>
        </w:tc>
        <w:tc>
          <w:tcPr>
            <w:tcW w:w="0" w:type="dxa"/>
            <w:vAlign w:val="bottom"/>
          </w:tcPr>
          <w:p>
            <w:pPr>
              <w:spacing w:after="0"/>
              <w:rPr>
                <w:sz w:val="1"/>
                <w:szCs w:val="1"/>
                <w:color w:val="auto"/>
              </w:rPr>
            </w:pPr>
          </w:p>
        </w:tc>
      </w:tr>
      <w:tr>
        <w:trPr>
          <w:trHeight w:val="208"/>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Annual Board Retainer Fee:</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Meeting Fees</w:t>
            </w:r>
          </w:p>
        </w:tc>
        <w:tc>
          <w:tcPr>
            <w:tcW w:w="0" w:type="dxa"/>
            <w:vAlign w:val="bottom"/>
          </w:tcPr>
          <w:p>
            <w:pPr>
              <w:spacing w:after="0"/>
              <w:rPr>
                <w:sz w:val="1"/>
                <w:szCs w:val="1"/>
                <w:color w:val="auto"/>
              </w:rPr>
            </w:pPr>
          </w:p>
        </w:tc>
      </w:tr>
      <w:tr>
        <w:trPr>
          <w:trHeight w:val="216"/>
        </w:trPr>
        <w:tc>
          <w:tcPr>
            <w:tcW w:w="680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All non-employee directors</w:t>
            </w:r>
          </w:p>
        </w:tc>
        <w:tc>
          <w:tcPr>
            <w:tcW w:w="3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Annual Chairman Retainer Fees*:</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3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Audit Committee Chairman</w:t>
            </w:r>
          </w:p>
        </w:tc>
        <w:tc>
          <w:tcPr>
            <w:tcW w:w="3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Chairman</w:t>
            </w:r>
          </w:p>
        </w:tc>
        <w:tc>
          <w:tcPr>
            <w:tcW w:w="3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Corporate Governance Committee Chairman</w:t>
            </w:r>
          </w:p>
        </w:tc>
        <w:tc>
          <w:tcPr>
            <w:tcW w:w="3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Audit Committee</w:t>
            </w:r>
          </w:p>
        </w:tc>
        <w:tc>
          <w:tcPr>
            <w:tcW w:w="3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3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Corporate Governance Committee</w:t>
            </w:r>
          </w:p>
        </w:tc>
        <w:tc>
          <w:tcPr>
            <w:tcW w:w="3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These fees are in addition to the Annual Board Retainer Fee, as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2015, the Company granted an aggregate of 25,124 restricted stock unit awards (“RSUs”) (6,281 RSUs per director) to its non-employee directors, with an aggregate value of approximately $200,000.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also made initial RSU grants to directors that joined the Board during the 2015 year, including: 4,573 RSUs to Mr. Principi in September 2015 with a value of approximately $34,900 and 4,469 RSUs to Dr. Lindstrom in August 2015 with a value of approximately $35,500.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compensation earned by or awarded or paid in 2015 to the individuals who served as our non-employee directors during such period. Dr. Richard L. Lindstrom was appointed to the Board effective January 1, 2015 and Mr. Principi was appointed to the Board effective September 1, 2015. All compensation received by Mr. Baum, is disclosed in the Summary Compensation Table below. Mr. Baum did not receive any additional compensation for his services as a director.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Fees Earned or</w:t>
            </w:r>
          </w:p>
        </w:tc>
        <w:tc>
          <w:tcPr>
            <w:tcW w:w="12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 ($)</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 ($)</w:t>
            </w:r>
          </w:p>
        </w:tc>
        <w:tc>
          <w:tcPr>
            <w:tcW w:w="18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Paid in Cash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(1)(2)</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49,997(3)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Stephen Austin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49,997(3)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William H. Nelson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49,997(3)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Richard L. Lindstrom</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85,526(3)(4)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Anthony J. Principi</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13,333</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34,938(5)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40" w:hanging="232"/>
        <w:spacing w:after="0" w:line="288"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in 2015, measured in accordance with FASB Accounting Standards Codification (“ASC”) Topic 718 (“Topic 718”) and without adjustment for estimated forfeitures. For a discussion of the assumptions used to calculate the value of equity awards, refer to Note 11 to our consolidated financial statements for the fiscal year ended December 31, 2015 included in the Annual Report.</w:t>
      </w: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2015 by each non-employee director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Shares Underlying</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 Options</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Underlying RSUs</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Stephen G. Austin</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17,123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William H. Nelson</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Richard L. Lindstrom</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Anthony J. Principi</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40" w:right="20" w:hanging="232"/>
        <w:spacing w:after="0" w:line="256"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awards of 6,281 RSUs granted to non-employee directors in May 2015.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jc w:val="both"/>
        <w:ind w:left="240" w:hanging="232"/>
        <w:spacing w:after="0" w:line="250"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4,469 RSUs granted to Dr. Lindstrom in August 2015, as an initial equity grant, and vests in full on January 1, 2016 subject to the director’s continued service, but the issuance and delivery of the shares subject to the RSUs are deferred until the director resigns or otherwise terminates his service as a director.</w:t>
      </w:r>
    </w:p>
    <w:p>
      <w:pPr>
        <w:spacing w:after="0" w:line="1" w:lineRule="exact"/>
        <w:rPr>
          <w:rFonts w:ascii="Arial" w:cs="Arial" w:eastAsia="Arial" w:hAnsi="Arial"/>
          <w:sz w:val="18"/>
          <w:szCs w:val="18"/>
          <w:color w:val="auto"/>
        </w:rPr>
      </w:pPr>
    </w:p>
    <w:p>
      <w:pPr>
        <w:jc w:val="both"/>
        <w:ind w:left="240" w:hanging="232"/>
        <w:spacing w:after="0" w:line="255"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awards of 4,573 RSUs granted to Mr. Principi in September 2015, as an initial equity grant.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5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58" w:lineRule="exact"/>
        <w:rPr>
          <w:sz w:val="20"/>
          <w:szCs w:val="20"/>
          <w:color w:val="auto"/>
        </w:rPr>
      </w:pPr>
    </w:p>
    <w:p>
      <w:pPr>
        <w:ind w:left="1140" w:hanging="196"/>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97" w:lineRule="exact"/>
        <w:rPr>
          <w:rFonts w:ascii="Arial" w:cs="Arial" w:eastAsia="Arial" w:hAnsi="Arial"/>
          <w:sz w:val="18"/>
          <w:szCs w:val="18"/>
          <w:color w:val="auto"/>
        </w:rPr>
      </w:pPr>
    </w:p>
    <w:p>
      <w:pPr>
        <w:ind w:left="1140" w:hanging="19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52" w:lineRule="exact"/>
        <w:rPr>
          <w:rFonts w:ascii="Arial" w:cs="Arial" w:eastAsia="Arial" w:hAnsi="Arial"/>
          <w:sz w:val="18"/>
          <w:szCs w:val="18"/>
          <w:color w:val="auto"/>
        </w:rPr>
      </w:pPr>
    </w:p>
    <w:p>
      <w:pPr>
        <w:ind w:left="1140" w:hanging="196"/>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97" w:lineRule="exact"/>
        <w:rPr>
          <w:rFonts w:ascii="Arial" w:cs="Arial" w:eastAsia="Arial" w:hAnsi="Arial"/>
          <w:sz w:val="18"/>
          <w:szCs w:val="18"/>
          <w:color w:val="auto"/>
        </w:rPr>
      </w:pPr>
    </w:p>
    <w:p>
      <w:pPr>
        <w:ind w:left="1140" w:hanging="19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5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9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Compensation Committee also has historically focused on the Company’s financial and working capital condition when making compensation decisions and approving performance objectives. Because the Company has historically sought to preserve cash and currently does not operate at a profit,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6" w:right="239" w:bottom="1031"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accordance with its charter, the Compensation Committee is responsible for, among other things, reviewing and evaluating our executive officer compensation program, including, among other things: (i) determining the objectives of the executive officer compensation program and reviewing and recommending to the Board the program as a whole and the elements of compensation that comprise the program to be consistent with such objectives;</w:t>
      </w:r>
    </w:p>
    <w:p>
      <w:pPr>
        <w:jc w:val="both"/>
        <w:ind w:firstLine="8"/>
        <w:spacing w:after="0" w:line="253" w:lineRule="auto"/>
        <w:tabs>
          <w:tab w:leader="none" w:pos="274"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other executive officers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Consultants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2015, the Compensation Committee retained the services of an external compensation consultant, Radford, an Aon Hewitt Company (“Radford”). The mandate of the consultant is to assist the Compensation Committee in its review of executive and director compensation practices, including the competitiveness of pay levels, executive compensation design,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decision to engage Radford was not made or recommended by the Company’s management. The Compensation Committee, after a review of the factors set forth in Section 10C-1of the Securities Exchange Act of 1934 and NASDAQ requirements, has determined that the work performed by Radford in 2015 and continuing to be performed in 2016 does not present any conflicts of interest.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the fourth quarter of 2015, and the Compensation Committee, with the assistance of Radford,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2015 peer group, the Compensation Committee and Radford focused on biotechnology and pharmaceutical companies with commercial products NDA’s filed, lead products in late phase 3 development, or in the beginning stages of revenue recognition, with market capitalizations ranging from $40 million to $200 million and employee headcounts ranging from 30 to 300 employees. Our current list of peer companies is comprised of the following companies: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AcelRx Pharmaceuticals, Inc.</w:t>
            </w:r>
          </w:p>
        </w:tc>
        <w:tc>
          <w:tcPr>
            <w:tcW w:w="3720" w:type="dxa"/>
            <w:vAlign w:val="bottom"/>
          </w:tcPr>
          <w:p>
            <w:pPr>
              <w:ind w:left="820"/>
              <w:spacing w:after="0"/>
              <w:rPr>
                <w:sz w:val="20"/>
                <w:szCs w:val="20"/>
                <w:color w:val="auto"/>
              </w:rPr>
            </w:pPr>
            <w:r>
              <w:rPr>
                <w:rFonts w:ascii="Arial" w:cs="Arial" w:eastAsia="Arial" w:hAnsi="Arial"/>
                <w:sz w:val="18"/>
                <w:szCs w:val="18"/>
                <w:color w:val="auto"/>
              </w:rPr>
              <w:t>Biodel</w:t>
            </w:r>
          </w:p>
        </w:tc>
        <w:tc>
          <w:tcPr>
            <w:tcW w:w="4720" w:type="dxa"/>
            <w:vAlign w:val="bottom"/>
          </w:tcPr>
          <w:p>
            <w:pPr>
              <w:ind w:left="920"/>
              <w:spacing w:after="0"/>
              <w:rPr>
                <w:sz w:val="20"/>
                <w:szCs w:val="20"/>
                <w:color w:val="auto"/>
              </w:rPr>
            </w:pPr>
            <w:r>
              <w:rPr>
                <w:rFonts w:ascii="Arial" w:cs="Arial" w:eastAsia="Arial" w:hAnsi="Arial"/>
                <w:sz w:val="18"/>
                <w:szCs w:val="18"/>
                <w:color w:val="auto"/>
              </w:rPr>
              <w:t>Omeros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ADMA Biologics</w:t>
            </w:r>
          </w:p>
        </w:tc>
        <w:tc>
          <w:tcPr>
            <w:tcW w:w="3720" w:type="dxa"/>
            <w:vAlign w:val="bottom"/>
          </w:tcPr>
          <w:p>
            <w:pPr>
              <w:ind w:left="820"/>
              <w:spacing w:after="0"/>
              <w:rPr>
                <w:sz w:val="20"/>
                <w:szCs w:val="20"/>
                <w:color w:val="auto"/>
              </w:rPr>
            </w:pPr>
            <w:r>
              <w:rPr>
                <w:rFonts w:ascii="Arial" w:cs="Arial" w:eastAsia="Arial" w:hAnsi="Arial"/>
                <w:sz w:val="18"/>
                <w:szCs w:val="18"/>
                <w:color w:val="auto"/>
              </w:rPr>
              <w:t>Biota Pharmaceuticals, Inc.</w:t>
            </w:r>
          </w:p>
        </w:tc>
        <w:tc>
          <w:tcPr>
            <w:tcW w:w="4720" w:type="dxa"/>
            <w:vAlign w:val="bottom"/>
          </w:tcPr>
          <w:p>
            <w:pPr>
              <w:ind w:left="920"/>
              <w:spacing w:after="0"/>
              <w:rPr>
                <w:sz w:val="20"/>
                <w:szCs w:val="20"/>
                <w:color w:val="auto"/>
              </w:rPr>
            </w:pPr>
            <w:r>
              <w:rPr>
                <w:rFonts w:ascii="Arial" w:cs="Arial" w:eastAsia="Arial" w:hAnsi="Arial"/>
                <w:sz w:val="18"/>
                <w:szCs w:val="18"/>
                <w:color w:val="auto"/>
              </w:rPr>
              <w:t>OncoGenex Pharmaceuticals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Alderyra Therapeutics</w:t>
            </w:r>
          </w:p>
        </w:tc>
        <w:tc>
          <w:tcPr>
            <w:tcW w:w="3720" w:type="dxa"/>
            <w:vAlign w:val="bottom"/>
          </w:tcPr>
          <w:p>
            <w:pPr>
              <w:ind w:left="820"/>
              <w:spacing w:after="0"/>
              <w:rPr>
                <w:sz w:val="20"/>
                <w:szCs w:val="20"/>
                <w:color w:val="auto"/>
              </w:rPr>
            </w:pPr>
            <w:r>
              <w:rPr>
                <w:rFonts w:ascii="Arial" w:cs="Arial" w:eastAsia="Arial" w:hAnsi="Arial"/>
                <w:sz w:val="18"/>
                <w:szCs w:val="18"/>
                <w:color w:val="auto"/>
              </w:rPr>
              <w:t>Caladrius Biosciences</w:t>
            </w:r>
          </w:p>
        </w:tc>
        <w:tc>
          <w:tcPr>
            <w:tcW w:w="4720" w:type="dxa"/>
            <w:vAlign w:val="bottom"/>
          </w:tcPr>
          <w:p>
            <w:pPr>
              <w:ind w:left="920"/>
              <w:spacing w:after="0"/>
              <w:rPr>
                <w:sz w:val="20"/>
                <w:szCs w:val="20"/>
                <w:color w:val="auto"/>
              </w:rPr>
            </w:pPr>
            <w:r>
              <w:rPr>
                <w:rFonts w:ascii="Arial" w:cs="Arial" w:eastAsia="Arial" w:hAnsi="Arial"/>
                <w:sz w:val="18"/>
                <w:szCs w:val="18"/>
                <w:color w:val="auto"/>
              </w:rPr>
              <w:t>Peregrine Pharmaceuticals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Alimera Sciences</w:t>
            </w:r>
          </w:p>
        </w:tc>
        <w:tc>
          <w:tcPr>
            <w:tcW w:w="3720" w:type="dxa"/>
            <w:vAlign w:val="bottom"/>
          </w:tcPr>
          <w:p>
            <w:pPr>
              <w:ind w:left="820"/>
              <w:spacing w:after="0"/>
              <w:rPr>
                <w:sz w:val="20"/>
                <w:szCs w:val="20"/>
                <w:color w:val="auto"/>
              </w:rPr>
            </w:pPr>
            <w:r>
              <w:rPr>
                <w:rFonts w:ascii="Arial" w:cs="Arial" w:eastAsia="Arial" w:hAnsi="Arial"/>
                <w:sz w:val="18"/>
                <w:szCs w:val="18"/>
                <w:color w:val="auto"/>
              </w:rPr>
              <w:t>Cytori Therapeutics</w:t>
            </w:r>
          </w:p>
        </w:tc>
        <w:tc>
          <w:tcPr>
            <w:tcW w:w="4720" w:type="dxa"/>
            <w:vAlign w:val="bottom"/>
          </w:tcPr>
          <w:p>
            <w:pPr>
              <w:ind w:left="920"/>
              <w:spacing w:after="0"/>
              <w:rPr>
                <w:sz w:val="20"/>
                <w:szCs w:val="20"/>
                <w:color w:val="auto"/>
              </w:rPr>
            </w:pPr>
            <w:r>
              <w:rPr>
                <w:rFonts w:ascii="Arial" w:cs="Arial" w:eastAsia="Arial" w:hAnsi="Arial"/>
                <w:sz w:val="18"/>
                <w:szCs w:val="18"/>
                <w:color w:val="auto"/>
              </w:rPr>
              <w:t>Repros Therapeutics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Apricus Biosciences</w:t>
            </w:r>
          </w:p>
        </w:tc>
        <w:tc>
          <w:tcPr>
            <w:tcW w:w="3720" w:type="dxa"/>
            <w:vAlign w:val="bottom"/>
          </w:tcPr>
          <w:p>
            <w:pPr>
              <w:ind w:left="820"/>
              <w:spacing w:after="0"/>
              <w:rPr>
                <w:sz w:val="20"/>
                <w:szCs w:val="20"/>
                <w:color w:val="auto"/>
              </w:rPr>
            </w:pPr>
            <w:r>
              <w:rPr>
                <w:rFonts w:ascii="Arial" w:cs="Arial" w:eastAsia="Arial" w:hAnsi="Arial"/>
                <w:sz w:val="18"/>
                <w:szCs w:val="18"/>
                <w:color w:val="auto"/>
              </w:rPr>
              <w:t>Histogenics</w:t>
            </w:r>
          </w:p>
        </w:tc>
        <w:tc>
          <w:tcPr>
            <w:tcW w:w="4720" w:type="dxa"/>
            <w:vAlign w:val="bottom"/>
          </w:tcPr>
          <w:p>
            <w:pPr>
              <w:ind w:left="920"/>
              <w:spacing w:after="0"/>
              <w:rPr>
                <w:sz w:val="20"/>
                <w:szCs w:val="20"/>
                <w:color w:val="auto"/>
              </w:rPr>
            </w:pPr>
            <w:r>
              <w:rPr>
                <w:rFonts w:ascii="Arial" w:cs="Arial" w:eastAsia="Arial" w:hAnsi="Arial"/>
                <w:sz w:val="18"/>
                <w:szCs w:val="18"/>
                <w:color w:val="auto"/>
              </w:rPr>
              <w:t>Vital Therapies</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Aradigm</w:t>
            </w:r>
          </w:p>
        </w:tc>
        <w:tc>
          <w:tcPr>
            <w:tcW w:w="3720" w:type="dxa"/>
            <w:vAlign w:val="bottom"/>
          </w:tcPr>
          <w:p>
            <w:pPr>
              <w:ind w:left="820"/>
              <w:spacing w:after="0"/>
              <w:rPr>
                <w:sz w:val="20"/>
                <w:szCs w:val="20"/>
                <w:color w:val="auto"/>
              </w:rPr>
            </w:pPr>
            <w:r>
              <w:rPr>
                <w:rFonts w:ascii="Arial" w:cs="Arial" w:eastAsia="Arial" w:hAnsi="Arial"/>
                <w:sz w:val="18"/>
                <w:szCs w:val="18"/>
                <w:color w:val="auto"/>
              </w:rPr>
              <w:t>InSite Vision</w:t>
            </w:r>
          </w:p>
        </w:tc>
        <w:tc>
          <w:tcPr>
            <w:tcW w:w="472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AVEO Pharmaceuticals, Inc.</w:t>
            </w:r>
          </w:p>
        </w:tc>
        <w:tc>
          <w:tcPr>
            <w:tcW w:w="3720" w:type="dxa"/>
            <w:vAlign w:val="bottom"/>
          </w:tcPr>
          <w:p>
            <w:pPr>
              <w:ind w:left="820"/>
              <w:spacing w:after="0"/>
              <w:rPr>
                <w:sz w:val="20"/>
                <w:szCs w:val="20"/>
                <w:color w:val="auto"/>
              </w:rPr>
            </w:pPr>
            <w:r>
              <w:rPr>
                <w:rFonts w:ascii="Arial" w:cs="Arial" w:eastAsia="Arial" w:hAnsi="Arial"/>
                <w:sz w:val="18"/>
                <w:szCs w:val="18"/>
                <w:color w:val="auto"/>
              </w:rPr>
              <w:t>Ocular Therapeutix</w:t>
            </w:r>
          </w:p>
        </w:tc>
        <w:tc>
          <w:tcPr>
            <w:tcW w:w="4720" w:type="dxa"/>
            <w:vAlign w:val="bottom"/>
          </w:tcPr>
          <w:p>
            <w:pPr>
              <w:spacing w:after="0"/>
              <w:rPr>
                <w:sz w:val="20"/>
                <w:szCs w:val="20"/>
                <w:color w:val="auto"/>
              </w:rPr>
            </w:pPr>
          </w:p>
        </w:tc>
      </w:tr>
      <w:tr>
        <w:trPr>
          <w:trHeight w:val="608"/>
        </w:trPr>
        <w:tc>
          <w:tcPr>
            <w:tcW w:w="2980" w:type="dxa"/>
            <w:vAlign w:val="bottom"/>
          </w:tcPr>
          <w:p>
            <w:pPr>
              <w:spacing w:after="0"/>
              <w:rPr>
                <w:sz w:val="24"/>
                <w:szCs w:val="24"/>
                <w:color w:val="auto"/>
              </w:rPr>
            </w:pPr>
          </w:p>
        </w:tc>
        <w:tc>
          <w:tcPr>
            <w:tcW w:w="3720" w:type="dxa"/>
            <w:vAlign w:val="bottom"/>
          </w:tcPr>
          <w:p>
            <w:pPr>
              <w:ind w:left="2640"/>
              <w:spacing w:after="0"/>
              <w:rPr>
                <w:sz w:val="20"/>
                <w:szCs w:val="20"/>
                <w:color w:val="auto"/>
              </w:rPr>
            </w:pPr>
            <w:r>
              <w:rPr>
                <w:rFonts w:ascii="Arial" w:cs="Arial" w:eastAsia="Arial" w:hAnsi="Arial"/>
                <w:sz w:val="18"/>
                <w:szCs w:val="18"/>
                <w:color w:val="auto"/>
              </w:rPr>
              <w:t>13</w:t>
            </w:r>
          </w:p>
        </w:tc>
        <w:tc>
          <w:tcPr>
            <w:tcW w:w="4720" w:type="dxa"/>
            <w:vAlign w:val="bottom"/>
          </w:tcPr>
          <w:p>
            <w:pPr>
              <w:spacing w:after="0"/>
              <w:rPr>
                <w:sz w:val="24"/>
                <w:szCs w:val="24"/>
                <w:color w:val="auto"/>
              </w:rPr>
            </w:pPr>
          </w:p>
        </w:tc>
      </w:tr>
      <w:tr>
        <w:trPr>
          <w:trHeight w:val="118"/>
        </w:trPr>
        <w:tc>
          <w:tcPr>
            <w:tcW w:w="298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both"/>
        <w:ind w:firstLine="648"/>
        <w:spacing w:after="0" w:line="273" w:lineRule="auto"/>
        <w:rPr>
          <w:sz w:val="20"/>
          <w:szCs w:val="20"/>
          <w:color w:val="auto"/>
        </w:rPr>
      </w:pPr>
      <w:r>
        <w:rPr>
          <w:rFonts w:ascii="Arial" w:cs="Arial" w:eastAsia="Arial" w:hAnsi="Arial"/>
          <w:sz w:val="17"/>
          <w:szCs w:val="17"/>
          <w:color w:val="auto"/>
        </w:rPr>
        <w:t>In addition to adopting the above group of peer companies in 2015 (the “2015 peer group”), the Compensation Committee engaged Radford to conduct a comprehensive benchmarking study reporting on compensation levels and practices, including equity, relative to the 2015 peer group. An Executive Compensation Assessment report was prepared by Radford in December 2015 that provided a competitive assessment of the Company’s executive compensation program as compared to the market data for base salaries, target total cash compensation and equity compensation of the 2015 peer group. In consideration of the benchmarking data in Radford’s competitive assessment of the Company’s executive compensation programs and the Company’s performance in 2015, adjustments to compensation were made in the second quarter of 2016, as described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2015, our executive compensation program consisted of the following forms of compensation, each of which are described in greater detail:</w:t>
      </w:r>
    </w:p>
    <w:p>
      <w:pPr>
        <w:spacing w:after="0" w:line="264" w:lineRule="exact"/>
        <w:rPr>
          <w:sz w:val="20"/>
          <w:szCs w:val="20"/>
          <w:color w:val="auto"/>
        </w:rPr>
      </w:pPr>
    </w:p>
    <w:p>
      <w:pPr>
        <w:ind w:left="700" w:hanging="23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Committee’s choice of this target percentile reflects consideration of our stockholders’ interests in paying what is necessary to achieve our corporate goals, while conserving cash as much as practicable. We believe that, given the industry in which we operate, our current working capital needs and our compensation philosophy and objectives, base salaries at this level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205" w:lineRule="exact"/>
        <w:rPr>
          <w:sz w:val="20"/>
          <w:szCs w:val="20"/>
          <w:color w:val="auto"/>
        </w:rPr>
      </w:pPr>
    </w:p>
    <w:p>
      <w:pPr>
        <w:ind w:left="700" w:hanging="23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225" w:lineRule="exact"/>
        <w:rPr>
          <w:rFonts w:ascii="Arial" w:cs="Arial" w:eastAsia="Arial" w:hAnsi="Arial"/>
          <w:sz w:val="18"/>
          <w:szCs w:val="18"/>
          <w:color w:val="auto"/>
        </w:rPr>
      </w:pPr>
    </w:p>
    <w:p>
      <w:pPr>
        <w:ind w:left="700" w:hanging="23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assists the Compensation Committee in its annual review of the base salaries of other executive officers based on the foregoing criteria.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provides executive officers with annual performance-based cash bonuses, which are specifically designed to reward executives for overall corporate performance as well as individual performance in a given year. Corporate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2015 target annual incentive bonus levels ranged from 45% to 50% of base salary for our named executive officers. We believe these target bonus levels for our executive officers are appropriate and consistent with our pay-for-performance compensation philosophy. At the end of each fiscal year, individual and corporate performance are measured versus plan and a percentage of target is fixed, which then determines the size of the total bonus pool from which annual bonus incentives are to be paid to executive officers. All cash bonuses are awarded retrospectively.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48"/>
        <w:spacing w:after="0" w:line="287" w:lineRule="auto"/>
        <w:rPr>
          <w:sz w:val="20"/>
          <w:szCs w:val="20"/>
          <w:color w:val="auto"/>
        </w:rPr>
      </w:pPr>
      <w:r>
        <w:rPr>
          <w:rFonts w:ascii="Arial" w:cs="Arial" w:eastAsia="Arial" w:hAnsi="Arial"/>
          <w:sz w:val="16"/>
          <w:szCs w:val="16"/>
          <w:color w:val="auto"/>
        </w:rPr>
        <w:t>Under this plan, corporate and individual goals are established at the beginning of each fiscal year by the Compensation Committee with input from senior management. For 2015 and 2016, executive officers, except for the Chief Executive Officer, are assigned annual incentive bonus targets with 50%-60% of the bonus attributed to corporate performance and 40%-50% based on individual performance. For 2015 and 2016,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2015 were 45% of annual base salary for our Chief Executive Officer and 50% for all other executive officers, and in 2016, 65% for our Chief Executive Officer and 50% for all other executive officers.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2015, our Chief Executive Officer a cash incentive bonus equal to 34% of his annual base salary, our Chief Financial Officer a cash incentive bonus equal to 40% of his annual base salary and our Chief Commercial Officer a cash incentive bonus equal to 30% of his annual base salary.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or restricted stock awards, which may also be granted as awards of RSUs. The Compensation Committee does not have a stated policy regarding the issuance of equity grants, however, historically our executive officers have been granted service/time based vesting equity awards and certain executive officers have also been granted options and RSUs that contain performance/market based vesting conditions. The Compensation Committee grants stock options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Program</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Changes in Compensation for 2016</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Executive Compensation Assessment report prepared by Radford in December 2015 provided a competitive assessment of the Company’s compensation practices as compared to that of the 2015 peer group. The Compensation Committee has determined to aim and set its executives’ base salaries and total target based cash compensation amounts (base salary plus target bonus) for 2016, in aggregate, at levels near the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(the bottom quartile) of salaries of executives with similar roles as compared to the 2015 peer group and set its executives equity compensation levels near the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(the upper quartile) of level of the Company’s equity guidelines. The Compensation Committee focused on the Company’s financial and working capital condition when making these compensation decisions. The current pay structure allows the Company to preserve cash, while, we believe, providing competitive compensation packages to its executives, and more closely align them near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in total direct compensation (cash and equity in aggregate) of their counterparts within the 2015 peer group. The Company also entered into new employment agreements in April 2016 with its executive officers as further described below which provides for uniform employment agreements with its executives and, we believe, are representative of market based terms and conditions. The April 2016 employment agreements also eliminated provisions described in prior employment agreements related to gross-up payments equal to the amount of any excise tax owed by an executive as a result of any severance payments related to a change of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compensation earned by or awarded or paid to our named executive officers for 2015, which consist of all individuals serving as our principal executive officer in 2015 and our next most highly compensated executive officer who was serving as an executive officer at the end of 2015. Mr. Saharek’s compensation information for 2014 and up until his appointment as our Chief Commercial Officer effective February 1, 2015, is not included in the table below, as he was not an executive officer of the Company prior to then.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240" w:type="dxa"/>
            <w:vAlign w:val="bottom"/>
            <w:vMerge w:val="restart"/>
          </w:tcPr>
          <w:p>
            <w:pPr>
              <w:spacing w:after="0"/>
              <w:rPr>
                <w:sz w:val="14"/>
                <w:szCs w:val="14"/>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Stock Awards(1)</w:t>
            </w:r>
          </w:p>
        </w:tc>
        <w:tc>
          <w:tcPr>
            <w:tcW w:w="22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Option Awards(1)</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Non-Equity Plan</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Compensation (2)</w:t>
            </w:r>
          </w:p>
        </w:tc>
        <w:tc>
          <w:tcPr>
            <w:tcW w:w="200" w:type="dxa"/>
            <w:vAlign w:val="bottom"/>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Compensation(3)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7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338,870</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2,783,577</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114,369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Executive Officer</w:t>
            </w:r>
          </w:p>
        </w:tc>
        <w:tc>
          <w:tcPr>
            <w:tcW w:w="7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2014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327,456</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94,718</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203,980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7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196,178</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449,570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Financial Officer(4)</w:t>
            </w:r>
          </w:p>
        </w:tc>
        <w:tc>
          <w:tcPr>
            <w:tcW w:w="7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2014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154,125</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45,514</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7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201,315</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534,600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Chief Commercial Officer(5)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60" w:hanging="211"/>
        <w:spacing w:after="0" w:line="254" w:lineRule="auto"/>
        <w:rPr>
          <w:sz w:val="20"/>
          <w:szCs w:val="20"/>
          <w:color w:val="auto"/>
        </w:rPr>
      </w:pPr>
      <w:r>
        <w:rPr>
          <w:rFonts w:ascii="Arial" w:cs="Arial" w:eastAsia="Arial" w:hAnsi="Arial"/>
          <w:sz w:val="18"/>
          <w:szCs w:val="18"/>
          <w:color w:val="auto"/>
        </w:rPr>
        <w:t>(1)Reflects the dollar amount of the grant date fair value of awards granted during the respective fiscal years, measured in accordance with Topic 718 and without adjustment for estimated forfeitures. For a discussion of the assumptions used to calculate the value of equity awards, refer to Note 11 to our consolidated financial statements for the year ended December 31, 2015 included in the Annual Report. For information about the material terms of each equity award, see the table entitled “Outstanding Equity Awards at Fiscal Year End” below.</w:t>
      </w:r>
    </w:p>
    <w:p>
      <w:pPr>
        <w:spacing w:after="0" w:line="2" w:lineRule="exact"/>
        <w:rPr>
          <w:sz w:val="20"/>
          <w:szCs w:val="20"/>
          <w:color w:val="auto"/>
        </w:rPr>
      </w:pPr>
    </w:p>
    <w:p>
      <w:pPr>
        <w:jc w:val="both"/>
        <w:ind w:left="260" w:hanging="252"/>
        <w:spacing w:after="0" w:line="250"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w:t>
      </w:r>
    </w:p>
    <w:p>
      <w:pPr>
        <w:spacing w:after="0" w:line="9" w:lineRule="exact"/>
        <w:rPr>
          <w:rFonts w:ascii="Arial" w:cs="Arial" w:eastAsia="Arial" w:hAnsi="Arial"/>
          <w:sz w:val="18"/>
          <w:szCs w:val="18"/>
          <w:color w:val="auto"/>
        </w:rPr>
      </w:pPr>
    </w:p>
    <w:p>
      <w:pPr>
        <w:ind w:left="260" w:hanging="252"/>
        <w:spacing w:after="0" w:line="250"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Compensation information for Mr. Boll is related to compensation for his service as our Vice President of Accounting and Public Reporting up until he was appointed as the Company’s Chief Financial Officer in February 2015.</w:t>
      </w: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Saharek was appointed as the Company’s Chief Commercial Officer in February 2015.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certain information regarding outstanding equity awards held by our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53"/>
              <w:spacing w:after="0" w:line="126"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Market Value</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Awards:</w:t>
            </w: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 or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Units of Stock</w:t>
            </w: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Options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Have Not</w:t>
            </w: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4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Have Not Vested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Vested(1)</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Vested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Vested(1)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Mark L. Baum</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1/25/2022</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60,000(3)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3/31/2017</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3/31/2017</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150,000(5)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5/2/2023</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5,133(6)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2/10/2024</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7/31/2020</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200,000(8)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1,386,000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1,050,000(9)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7,276,500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15,000(10)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2/1/2016</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75,000(11)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4/1/2023</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2,467(12)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2/10/2024</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30,000(13)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207,900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157,500(14)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John P. Saharek</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12,500(15)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11/12/2023</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2,186(16)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3/3/2024</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22,500(17)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2/1/2025</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30,000(18)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207,900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right="20" w:hanging="211"/>
        <w:spacing w:after="0" w:line="258" w:lineRule="auto"/>
        <w:rPr>
          <w:sz w:val="20"/>
          <w:szCs w:val="20"/>
          <w:color w:val="auto"/>
        </w:rPr>
      </w:pPr>
      <w:r>
        <w:rPr>
          <w:rFonts w:ascii="Arial" w:cs="Arial" w:eastAsia="Arial" w:hAnsi="Arial"/>
          <w:sz w:val="18"/>
          <w:szCs w:val="18"/>
          <w:color w:val="auto"/>
        </w:rPr>
        <w:t>(1)Calculated by multiplying the number of unvested shares by $6.93, the closing price per share of our common stock on The NASDAQ Capital Market on December 31, 2015 (which was the last business day of our 2015 fiscal year).</w:t>
      </w:r>
    </w:p>
    <w:p>
      <w:pPr>
        <w:spacing w:after="0" w:line="1" w:lineRule="exact"/>
        <w:rPr>
          <w:sz w:val="20"/>
          <w:szCs w:val="20"/>
          <w:color w:val="auto"/>
        </w:rPr>
      </w:pPr>
    </w:p>
    <w:p>
      <w:pPr>
        <w:jc w:val="both"/>
        <w:ind w:left="260" w:hanging="252"/>
        <w:spacing w:after="0" w:line="250"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“Plan”) as compensation for his services, including his service as Chairman of the Board. The option vested in 12 equal monthly installments of 10,417 shares commencing on January 25, 2012.</w:t>
      </w:r>
    </w:p>
    <w:p>
      <w:pPr>
        <w:spacing w:after="0" w:line="1" w:lineRule="exact"/>
        <w:rPr>
          <w:rFonts w:ascii="Arial" w:cs="Arial" w:eastAsia="Arial" w:hAnsi="Arial"/>
          <w:sz w:val="18"/>
          <w:szCs w:val="18"/>
          <w:color w:val="auto"/>
        </w:rPr>
      </w:pPr>
    </w:p>
    <w:p>
      <w:pPr>
        <w:jc w:val="both"/>
        <w:ind w:left="260" w:hanging="252"/>
        <w:spacing w:after="0" w:line="250"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in connection with his appointment as our Chief Executive Officer. The option vested over a two-year period, with 15,000 shares vesting immediately upon issuance and an additional 1,875 shares vesting monthly for the 24 months thereafter.</w:t>
      </w:r>
    </w:p>
    <w:p>
      <w:pPr>
        <w:spacing w:after="0" w:line="1" w:lineRule="exact"/>
        <w:rPr>
          <w:rFonts w:ascii="Arial" w:cs="Arial" w:eastAsia="Arial" w:hAnsi="Arial"/>
          <w:sz w:val="18"/>
          <w:szCs w:val="18"/>
          <w:color w:val="auto"/>
        </w:rPr>
      </w:pPr>
    </w:p>
    <w:p>
      <w:pPr>
        <w:ind w:left="260" w:hanging="252"/>
        <w:spacing w:after="0" w:line="250"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Plan in connection with his services as a director. The option vested in four equal quarterly installments of 6,250 shares commencing on June 30, 2012.</w:t>
      </w:r>
    </w:p>
    <w:p>
      <w:pPr>
        <w:jc w:val="both"/>
        <w:ind w:left="260" w:hanging="252"/>
        <w:spacing w:after="0" w:line="250"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Plan in connection with his services as our Chief Executive Officer and pursuant to the terms of his employment agreement with us. The option vests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ind w:left="260" w:hanging="252"/>
        <w:spacing w:after="0" w:line="265"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an option granted to Mr. Baum on February 10, 2014 under the Plan in connection with his services as our Chief Executive Officer. The option vests in three equal annual installments of 5,133 shares over three years commencing on the one-year anniversary of the date of grant.</w:t>
      </w:r>
    </w:p>
    <w:p>
      <w:pPr>
        <w:ind w:left="260" w:right="20" w:hanging="252"/>
        <w:spacing w:after="0" w:line="261"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July 30, 2015 under the Plan in connection with his services as our Chief Executive Officer. The option vests upon achieving certain stock price targets as described further below over a five-year period:</w:t>
      </w:r>
    </w:p>
    <w:p>
      <w:pPr>
        <w:spacing w:after="0" w:line="229" w:lineRule="exact"/>
        <w:rPr>
          <w:sz w:val="20"/>
          <w:szCs w:val="20"/>
          <w:color w:val="auto"/>
        </w:rPr>
      </w:pPr>
    </w:p>
    <w:tbl>
      <w:tblPr>
        <w:tblLayout w:type="fixed"/>
        <w:tblInd w:w="4000" w:type="dxa"/>
        <w:tblCellMar>
          <w:top w:w="0" w:type="dxa"/>
          <w:left w:w="0" w:type="dxa"/>
          <w:bottom w:w="0" w:type="dxa"/>
          <w:right w:w="0" w:type="dxa"/>
        </w:tblCellMar>
      </w:tblPr>
      <w:tr>
        <w:trPr>
          <w:trHeight w:val="186"/>
        </w:trPr>
        <w:tc>
          <w:tcPr>
            <w:tcW w:w="1680" w:type="dxa"/>
            <w:vAlign w:val="bottom"/>
          </w:tcPr>
          <w:p>
            <w:pPr>
              <w:ind w:left="28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Target Share Price</w:t>
            </w:r>
          </w:p>
        </w:tc>
      </w:tr>
      <w:tr>
        <w:trPr>
          <w:trHeight w:val="33"/>
        </w:trPr>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6"/>
        </w:trPr>
        <w:tc>
          <w:tcPr>
            <w:tcW w:w="1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100,000 shares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$9.00 or greater</w:t>
            </w:r>
          </w:p>
        </w:tc>
      </w:tr>
      <w:tr>
        <w:trPr>
          <w:trHeight w:val="216"/>
        </w:trPr>
        <w:tc>
          <w:tcPr>
            <w:tcW w:w="1680" w:type="dxa"/>
            <w:vAlign w:val="bottom"/>
          </w:tcPr>
          <w:p>
            <w:pPr>
              <w:ind w:left="300"/>
              <w:spacing w:after="0"/>
              <w:rPr>
                <w:sz w:val="20"/>
                <w:szCs w:val="20"/>
                <w:color w:val="auto"/>
              </w:rPr>
            </w:pPr>
            <w:r>
              <w:rPr>
                <w:rFonts w:ascii="Arial" w:cs="Arial" w:eastAsia="Arial" w:hAnsi="Arial"/>
                <w:sz w:val="18"/>
                <w:szCs w:val="18"/>
                <w:color w:val="auto"/>
              </w:rPr>
              <w:t>100,000 shares</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$10.00 or greater</w:t>
            </w:r>
          </w:p>
        </w:tc>
      </w:tr>
      <w:tr>
        <w:trPr>
          <w:trHeight w:val="216"/>
        </w:trPr>
        <w:tc>
          <w:tcPr>
            <w:tcW w:w="1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100,000 shares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 or greater</w:t>
            </w:r>
          </w:p>
        </w:tc>
      </w:tr>
      <w:tr>
        <w:trPr>
          <w:trHeight w:val="216"/>
        </w:trPr>
        <w:tc>
          <w:tcPr>
            <w:tcW w:w="1680" w:type="dxa"/>
            <w:vAlign w:val="bottom"/>
          </w:tcPr>
          <w:p>
            <w:pPr>
              <w:ind w:left="300"/>
              <w:spacing w:after="0"/>
              <w:rPr>
                <w:sz w:val="20"/>
                <w:szCs w:val="20"/>
                <w:color w:val="auto"/>
              </w:rPr>
            </w:pPr>
            <w:r>
              <w:rPr>
                <w:rFonts w:ascii="Arial" w:cs="Arial" w:eastAsia="Arial" w:hAnsi="Arial"/>
                <w:sz w:val="18"/>
                <w:szCs w:val="18"/>
                <w:color w:val="auto"/>
              </w:rPr>
              <w:t>100,000 shares</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$14.00 or greater</w:t>
            </w:r>
          </w:p>
        </w:tc>
      </w:tr>
      <w:tr>
        <w:trPr>
          <w:trHeight w:val="216"/>
        </w:trPr>
        <w:tc>
          <w:tcPr>
            <w:tcW w:w="1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100,000 shares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 or greater</w:t>
            </w:r>
          </w:p>
        </w:tc>
      </w:tr>
    </w:tbl>
    <w:p>
      <w:pPr>
        <w:jc w:val="both"/>
        <w:ind w:left="240" w:hanging="232"/>
        <w:spacing w:after="0" w:line="250"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May 2, 2013 under the Plan in connection with his services as our Chief Executive Officer and pursuant to the terms of his employment agreement with us. The RSUs vest in full on May 2, 2016 contingent upon continuous service to the Company through such date.</w:t>
      </w:r>
    </w:p>
    <w:p>
      <w:pPr>
        <w:spacing w:after="0" w:line="1" w:lineRule="exact"/>
        <w:rPr>
          <w:rFonts w:ascii="Arial" w:cs="Arial" w:eastAsia="Arial" w:hAnsi="Arial"/>
          <w:sz w:val="18"/>
          <w:szCs w:val="18"/>
          <w:color w:val="auto"/>
        </w:rPr>
      </w:pPr>
    </w:p>
    <w:p>
      <w:pPr>
        <w:jc w:val="both"/>
        <w:ind w:left="240" w:hanging="232"/>
        <w:spacing w:after="0" w:line="255"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May 2, 2013 under the Plan in connection with his services as our Chief Executive Officer and pursuant to the terms of his employment agreement with us. The RSUs vest upon achieving and maintaining certain stock price targets ranging from $10 to $30 a share over a three-year period.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both"/>
        <w:ind w:left="320" w:hanging="312"/>
        <w:spacing w:after="0" w:line="271"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to Mr. Boll on February 1, 2012 under the Plan in connection with his appointment as our Vice President, Accounting and Public Reporting (and currently as our Chief Financial Officer). The option vests in equal monthly installments of 416 shares over the 36-month period following the date of grant.</w:t>
      </w:r>
    </w:p>
    <w:p>
      <w:pPr>
        <w:jc w:val="both"/>
        <w:ind w:left="320" w:hanging="312"/>
        <w:spacing w:after="0" w:line="265"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to Mr. Boll on April 1, 2013 under the Plan in connection with his service as our Vice President, Accounting and Public Reporting (and currently as our Chief Financial Officer). The option vests in 12 equal quarterly installments of 7,500 shares over three years commencing on the three-month anniversary of the date of grant.</w:t>
      </w:r>
    </w:p>
    <w:p>
      <w:pPr>
        <w:jc w:val="both"/>
        <w:ind w:left="320" w:hanging="312"/>
        <w:spacing w:after="0" w:line="265"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to Mr. Boll on February 10, 2014 under the Plan in connection with his services as our Vice President, Accounting and Public Reporting (and currently as our Chief Financial Officer). The option vests in three equal annual installments of 2,467 shares over three years commencing on the one-year anniversary of the date of grant.</w:t>
      </w:r>
    </w:p>
    <w:p>
      <w:pPr>
        <w:jc w:val="both"/>
        <w:ind w:left="320" w:hanging="312"/>
        <w:spacing w:after="0" w:line="265"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award of RSUs granted to Mr. Boll on February 1, 2015 under the Plan in connection with his services as our Chief Financial Officer and pursuant to the terms of his employment agreement with us. The RSUs vest in full on February 1, 2018 contingent upon continuous service to the Company through such date.</w:t>
      </w:r>
    </w:p>
    <w:p>
      <w:pPr>
        <w:jc w:val="both"/>
        <w:ind w:left="320" w:hanging="312"/>
        <w:spacing w:after="0" w:line="265"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award of RSUs granted to Mr. Boll on February 1, 2015 under the Plan in connection with his services as our Chief Financial Officer and pursuant to the terms of his employment agreement with us. The RSUs vest upon achieving and maintaining certain stock price targets ranging from $10 to $30 a share over a three-year period.</w:t>
      </w:r>
    </w:p>
    <w:p>
      <w:pPr>
        <w:jc w:val="both"/>
        <w:ind w:left="320" w:hanging="312"/>
        <w:spacing w:after="0" w:line="265"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to Mr. Saharek on November 12, 2013 under the Plan in connection with his appointment as our Vice President of Commercialization, Ophthalmology (and currently as our Chief Commercial Officer).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jc w:val="both"/>
        <w:ind w:left="320" w:hanging="312"/>
        <w:spacing w:after="0" w:line="265"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to Mr. Saharek on March 3, 2014 under the Plan in connection with his appointment as our Vice President of Commercialization, Ophthalmology (and currently as our Chief Commercial Officer)..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ind w:left="320" w:hanging="312"/>
        <w:spacing w:after="0" w:line="281"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an option granted to Mr. Saharek on February 1, 2015 under the Plan in connection with his service as our Chief Commercial Officer. The option vests in 12 equal quarterly installments of 7,500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320" w:hanging="312"/>
        <w:spacing w:after="0" w:line="277"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award of RSUs granted to Mr. Saharek on February 1, 2015 under the Plan in connection with his services as our Chief Commercial Officer and pursuant to the terms of his employment agreement with us. The RSUs vest in full on February 1, 2018 contingent upon continuous service to the Company through such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180,000 options to purchase our common stock; (ii) 200,000 restricted stock units subject to time-based vesting; and (iii) 1,050,000 restricted stock units subject to performance-based vesting if the Company achieves and maintains certain stock price targets.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we entered into a new employment agreement (the “Baum Agreement”) with Mr. Baum with respect to his employment as Chief Executive Officer. This new agreement replaces his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180,000 options to purchase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CEO Involuntary Termination</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Tranche</w:t>
            </w:r>
          </w:p>
        </w:tc>
        <w:tc>
          <w:tcPr>
            <w:tcW w:w="180" w:type="dxa"/>
            <w:vAlign w:val="bottom"/>
          </w:tcPr>
          <w:p>
            <w:pPr>
              <w:spacing w:after="0"/>
              <w:rPr>
                <w:sz w:val="14"/>
                <w:szCs w:val="14"/>
                <w:color w:val="auto"/>
              </w:rPr>
            </w:pPr>
          </w:p>
        </w:tc>
        <w:tc>
          <w:tcPr>
            <w:tcW w:w="272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4"/>
                <w:szCs w:val="14"/>
                <w:color w:val="auto"/>
              </w:rPr>
            </w:pP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Target Share Price</w:t>
            </w:r>
          </w:p>
        </w:tc>
        <w:tc>
          <w:tcPr>
            <w:tcW w:w="180" w:type="dxa"/>
            <w:vAlign w:val="bottom"/>
          </w:tcPr>
          <w:p>
            <w:pPr>
              <w:spacing w:after="0"/>
              <w:rPr>
                <w:sz w:val="14"/>
                <w:szCs w:val="14"/>
                <w:color w:val="auto"/>
              </w:rPr>
            </w:pPr>
          </w:p>
        </w:tc>
        <w:tc>
          <w:tcPr>
            <w:tcW w:w="2740" w:type="dxa"/>
            <w:vAlign w:val="bottom"/>
          </w:tcPr>
          <w:p>
            <w:pPr>
              <w:ind w:left="180"/>
              <w:spacing w:after="0"/>
              <w:rPr>
                <w:sz w:val="20"/>
                <w:szCs w:val="20"/>
                <w:color w:val="auto"/>
              </w:rPr>
            </w:pPr>
            <w:r>
              <w:rPr>
                <w:rFonts w:ascii="Arial" w:cs="Arial" w:eastAsia="Arial" w:hAnsi="Arial"/>
                <w:sz w:val="14"/>
                <w:szCs w:val="14"/>
                <w:b w:val="1"/>
                <w:bCs w:val="1"/>
                <w:color w:val="auto"/>
              </w:rPr>
              <w:t>Stock Price Appreciation as of Date of</w:t>
            </w:r>
          </w:p>
        </w:tc>
        <w:tc>
          <w:tcPr>
            <w:tcW w:w="0" w:type="dxa"/>
            <w:vAlign w:val="bottom"/>
          </w:tcPr>
          <w:p>
            <w:pPr>
              <w:spacing w:after="0"/>
              <w:rPr>
                <w:sz w:val="1"/>
                <w:szCs w:val="1"/>
                <w:color w:val="auto"/>
              </w:rPr>
            </w:pPr>
          </w:p>
        </w:tc>
      </w:tr>
      <w:tr>
        <w:trPr>
          <w:trHeight w:val="105"/>
        </w:trPr>
        <w:tc>
          <w:tcPr>
            <w:tcW w:w="2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Grant(1)</w:t>
            </w:r>
          </w:p>
        </w:tc>
        <w:tc>
          <w:tcPr>
            <w:tcW w:w="0" w:type="dxa"/>
            <w:vAlign w:val="bottom"/>
          </w:tcPr>
          <w:p>
            <w:pPr>
              <w:spacing w:after="0"/>
              <w:rPr>
                <w:sz w:val="1"/>
                <w:szCs w:val="1"/>
                <w:color w:val="auto"/>
              </w:rPr>
            </w:pPr>
          </w:p>
        </w:tc>
      </w:tr>
      <w:tr>
        <w:trPr>
          <w:trHeight w:val="73"/>
        </w:trPr>
        <w:tc>
          <w:tcPr>
            <w:tcW w:w="27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Tranche 1</w:t>
            </w:r>
          </w:p>
        </w:tc>
        <w:tc>
          <w:tcPr>
            <w:tcW w:w="180" w:type="dxa"/>
            <w:vAlign w:val="bottom"/>
            <w:shd w:val="clear" w:color="auto" w:fill="CCEEFF"/>
          </w:tcPr>
          <w:p>
            <w:pPr>
              <w:spacing w:after="0"/>
              <w:rPr>
                <w:sz w:val="18"/>
                <w:szCs w:val="18"/>
                <w:color w:val="auto"/>
              </w:rPr>
            </w:pPr>
          </w:p>
        </w:tc>
        <w:tc>
          <w:tcPr>
            <w:tcW w:w="2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200,000 shares</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$9.00 or greater</w:t>
            </w:r>
          </w:p>
        </w:tc>
        <w:tc>
          <w:tcPr>
            <w:tcW w:w="29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126%</w:t>
            </w:r>
          </w:p>
        </w:tc>
        <w:tc>
          <w:tcPr>
            <w:tcW w:w="0" w:type="dxa"/>
            <w:vAlign w:val="bottom"/>
          </w:tcPr>
          <w:p>
            <w:pPr>
              <w:spacing w:after="0"/>
              <w:rPr>
                <w:sz w:val="1"/>
                <w:szCs w:val="1"/>
                <w:color w:val="auto"/>
              </w:rPr>
            </w:pP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color w:val="auto"/>
                <w:w w:val="88"/>
              </w:rPr>
              <w:t>Tranche 2</w:t>
            </w:r>
          </w:p>
        </w:tc>
        <w:tc>
          <w:tcPr>
            <w:tcW w:w="180" w:type="dxa"/>
            <w:vAlign w:val="bottom"/>
          </w:tcPr>
          <w:p>
            <w:pPr>
              <w:spacing w:after="0"/>
              <w:rPr>
                <w:sz w:val="18"/>
                <w:szCs w:val="18"/>
                <w:color w:val="auto"/>
              </w:rPr>
            </w:pPr>
          </w:p>
        </w:tc>
        <w:tc>
          <w:tcPr>
            <w:tcW w:w="2720" w:type="dxa"/>
            <w:vAlign w:val="bottom"/>
          </w:tcPr>
          <w:p>
            <w:pPr>
              <w:ind w:left="820"/>
              <w:spacing w:after="0"/>
              <w:rPr>
                <w:sz w:val="20"/>
                <w:szCs w:val="20"/>
                <w:color w:val="auto"/>
              </w:rPr>
            </w:pPr>
            <w:r>
              <w:rPr>
                <w:rFonts w:ascii="Arial" w:cs="Arial" w:eastAsia="Arial" w:hAnsi="Arial"/>
                <w:sz w:val="18"/>
                <w:szCs w:val="18"/>
                <w:color w:val="auto"/>
              </w:rPr>
              <w:t>200,000 shares</w:t>
            </w:r>
          </w:p>
        </w:tc>
        <w:tc>
          <w:tcPr>
            <w:tcW w:w="16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$10.00 or greater</w:t>
            </w:r>
          </w:p>
        </w:tc>
        <w:tc>
          <w:tcPr>
            <w:tcW w:w="29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151%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Tranche 3</w:t>
            </w:r>
          </w:p>
        </w:tc>
        <w:tc>
          <w:tcPr>
            <w:tcW w:w="180" w:type="dxa"/>
            <w:vAlign w:val="bottom"/>
            <w:shd w:val="clear" w:color="auto" w:fill="CCEEFF"/>
          </w:tcPr>
          <w:p>
            <w:pPr>
              <w:spacing w:after="0"/>
              <w:rPr>
                <w:sz w:val="18"/>
                <w:szCs w:val="18"/>
                <w:color w:val="auto"/>
              </w:rPr>
            </w:pPr>
          </w:p>
        </w:tc>
        <w:tc>
          <w:tcPr>
            <w:tcW w:w="2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200,000 shares</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$12.00 or greater</w:t>
            </w:r>
          </w:p>
        </w:tc>
        <w:tc>
          <w:tcPr>
            <w:tcW w:w="29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color w:val="auto"/>
                <w:w w:val="88"/>
              </w:rPr>
              <w:t>Tranche 4</w:t>
            </w:r>
          </w:p>
        </w:tc>
        <w:tc>
          <w:tcPr>
            <w:tcW w:w="180" w:type="dxa"/>
            <w:vAlign w:val="bottom"/>
          </w:tcPr>
          <w:p>
            <w:pPr>
              <w:spacing w:after="0"/>
              <w:rPr>
                <w:sz w:val="18"/>
                <w:szCs w:val="18"/>
                <w:color w:val="auto"/>
              </w:rPr>
            </w:pPr>
          </w:p>
        </w:tc>
        <w:tc>
          <w:tcPr>
            <w:tcW w:w="2720" w:type="dxa"/>
            <w:vAlign w:val="bottom"/>
          </w:tcPr>
          <w:p>
            <w:pPr>
              <w:ind w:left="820"/>
              <w:spacing w:after="0"/>
              <w:rPr>
                <w:sz w:val="20"/>
                <w:szCs w:val="20"/>
                <w:color w:val="auto"/>
              </w:rPr>
            </w:pPr>
            <w:r>
              <w:rPr>
                <w:rFonts w:ascii="Arial" w:cs="Arial" w:eastAsia="Arial" w:hAnsi="Arial"/>
                <w:sz w:val="18"/>
                <w:szCs w:val="18"/>
                <w:color w:val="auto"/>
              </w:rPr>
              <w:t>200,000 shares</w:t>
            </w:r>
          </w:p>
        </w:tc>
        <w:tc>
          <w:tcPr>
            <w:tcW w:w="16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$14.00 or greater</w:t>
            </w:r>
          </w:p>
        </w:tc>
        <w:tc>
          <w:tcPr>
            <w:tcW w:w="29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252%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Tranche 5</w:t>
            </w:r>
          </w:p>
        </w:tc>
        <w:tc>
          <w:tcPr>
            <w:tcW w:w="180" w:type="dxa"/>
            <w:vAlign w:val="bottom"/>
            <w:shd w:val="clear" w:color="auto" w:fill="CCEEFF"/>
          </w:tcPr>
          <w:p>
            <w:pPr>
              <w:spacing w:after="0"/>
              <w:rPr>
                <w:sz w:val="18"/>
                <w:szCs w:val="18"/>
                <w:color w:val="auto"/>
              </w:rPr>
            </w:pPr>
          </w:p>
        </w:tc>
        <w:tc>
          <w:tcPr>
            <w:tcW w:w="2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250,000 shares</w:t>
            </w: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 or greater</w:t>
            </w:r>
          </w:p>
        </w:tc>
        <w:tc>
          <w:tcPr>
            <w:tcW w:w="29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277%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closing sale price of our Common Stock on April 25, 2016, the date the Baum Performance Equity grant was made, was $3.98.</w:t>
      </w:r>
    </w:p>
    <w:p>
      <w:pPr>
        <w:spacing w:after="0" w:line="252" w:lineRule="exact"/>
        <w:rPr>
          <w:sz w:val="20"/>
          <w:szCs w:val="20"/>
          <w:color w:val="auto"/>
        </w:rPr>
      </w:pPr>
    </w:p>
    <w:p>
      <w:pPr>
        <w:jc w:val="both"/>
        <w:ind w:firstLine="697"/>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Equity Incentive Grants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w:t>
      </w:r>
    </w:p>
    <w:p>
      <w:pPr>
        <w:jc w:val="both"/>
        <w:ind w:firstLine="8"/>
        <w:spacing w:after="0" w:line="255" w:lineRule="auto"/>
        <w:tabs>
          <w:tab w:leader="none" w:pos="3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2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Involuntary Termination</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Tranche</w:t>
            </w:r>
          </w:p>
        </w:tc>
        <w:tc>
          <w:tcPr>
            <w:tcW w:w="260" w:type="dxa"/>
            <w:vAlign w:val="bottom"/>
          </w:tcPr>
          <w:p>
            <w:pPr>
              <w:spacing w:after="0"/>
              <w:rPr>
                <w:sz w:val="14"/>
                <w:szCs w:val="14"/>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40" w:type="dxa"/>
            <w:vAlign w:val="bottom"/>
          </w:tcPr>
          <w:p>
            <w:pPr>
              <w:spacing w:after="0"/>
              <w:rPr>
                <w:sz w:val="14"/>
                <w:szCs w:val="14"/>
                <w:color w:val="auto"/>
              </w:rPr>
            </w:pPr>
          </w:p>
        </w:tc>
        <w:tc>
          <w:tcPr>
            <w:tcW w:w="2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 Share Price</w:t>
            </w:r>
          </w:p>
        </w:tc>
        <w:tc>
          <w:tcPr>
            <w:tcW w:w="26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Arial" w:cs="Arial" w:eastAsia="Arial" w:hAnsi="Arial"/>
                <w:sz w:val="14"/>
                <w:szCs w:val="14"/>
                <w:b w:val="1"/>
                <w:bCs w:val="1"/>
                <w:color w:val="auto"/>
                <w:w w:val="97"/>
              </w:rPr>
              <w:t>Stock Price Appreciation as of Date of</w:t>
            </w:r>
          </w:p>
        </w:tc>
        <w:tc>
          <w:tcPr>
            <w:tcW w:w="0" w:type="dxa"/>
            <w:vAlign w:val="bottom"/>
          </w:tcPr>
          <w:p>
            <w:pPr>
              <w:spacing w:after="0"/>
              <w:rPr>
                <w:sz w:val="1"/>
                <w:szCs w:val="1"/>
                <w:color w:val="auto"/>
              </w:rPr>
            </w:pPr>
          </w:p>
        </w:tc>
      </w:tr>
      <w:tr>
        <w:trPr>
          <w:trHeight w:val="105"/>
        </w:trPr>
        <w:tc>
          <w:tcPr>
            <w:tcW w:w="2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Grant(1)</w:t>
            </w:r>
          </w:p>
        </w:tc>
        <w:tc>
          <w:tcPr>
            <w:tcW w:w="0" w:type="dxa"/>
            <w:vAlign w:val="bottom"/>
          </w:tcPr>
          <w:p>
            <w:pPr>
              <w:spacing w:after="0"/>
              <w:rPr>
                <w:sz w:val="1"/>
                <w:szCs w:val="1"/>
                <w:color w:val="auto"/>
              </w:rPr>
            </w:pPr>
          </w:p>
        </w:tc>
      </w:tr>
      <w:tr>
        <w:trPr>
          <w:trHeight w:val="73"/>
        </w:trPr>
        <w:tc>
          <w:tcPr>
            <w:tcW w:w="26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Tranche 1</w:t>
            </w:r>
          </w:p>
        </w:tc>
        <w:tc>
          <w:tcPr>
            <w:tcW w:w="26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 shares</w:t>
            </w:r>
          </w:p>
        </w:tc>
        <w:tc>
          <w:tcPr>
            <w:tcW w:w="24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 or greater</w:t>
            </w:r>
          </w:p>
        </w:tc>
        <w:tc>
          <w:tcPr>
            <w:tcW w:w="2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126%</w:t>
            </w:r>
          </w:p>
        </w:tc>
        <w:tc>
          <w:tcPr>
            <w:tcW w:w="0" w:type="dxa"/>
            <w:vAlign w:val="bottom"/>
          </w:tcPr>
          <w:p>
            <w:pPr>
              <w:spacing w:after="0"/>
              <w:rPr>
                <w:sz w:val="1"/>
                <w:szCs w:val="1"/>
                <w:color w:val="auto"/>
              </w:rPr>
            </w:pP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auto"/>
                <w:w w:val="88"/>
              </w:rPr>
              <w:t>Tranche 2</w:t>
            </w:r>
          </w:p>
        </w:tc>
        <w:tc>
          <w:tcPr>
            <w:tcW w:w="2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30,000 shares</w:t>
            </w:r>
          </w:p>
        </w:tc>
        <w:tc>
          <w:tcPr>
            <w:tcW w:w="2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$10.00 or greater</w:t>
            </w:r>
          </w:p>
        </w:tc>
        <w:tc>
          <w:tcPr>
            <w:tcW w:w="29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151%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Tranche 3</w:t>
            </w:r>
          </w:p>
        </w:tc>
        <w:tc>
          <w:tcPr>
            <w:tcW w:w="26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 shares</w:t>
            </w:r>
          </w:p>
        </w:tc>
        <w:tc>
          <w:tcPr>
            <w:tcW w:w="24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$12.00 or greater</w:t>
            </w:r>
          </w:p>
        </w:tc>
        <w:tc>
          <w:tcPr>
            <w:tcW w:w="2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16"/>
        </w:trPr>
        <w:tc>
          <w:tcPr>
            <w:tcW w:w="2660" w:type="dxa"/>
            <w:vAlign w:val="bottom"/>
          </w:tcPr>
          <w:p>
            <w:pPr>
              <w:jc w:val="center"/>
              <w:spacing w:after="0"/>
              <w:rPr>
                <w:sz w:val="20"/>
                <w:szCs w:val="20"/>
                <w:color w:val="auto"/>
              </w:rPr>
            </w:pPr>
            <w:r>
              <w:rPr>
                <w:rFonts w:ascii="Arial" w:cs="Arial" w:eastAsia="Arial" w:hAnsi="Arial"/>
                <w:sz w:val="18"/>
                <w:szCs w:val="18"/>
                <w:color w:val="auto"/>
                <w:w w:val="88"/>
              </w:rPr>
              <w:t>Tranche 4</w:t>
            </w:r>
          </w:p>
        </w:tc>
        <w:tc>
          <w:tcPr>
            <w:tcW w:w="26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30,000 shares</w:t>
            </w:r>
          </w:p>
        </w:tc>
        <w:tc>
          <w:tcPr>
            <w:tcW w:w="2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$14.00 or greater</w:t>
            </w:r>
          </w:p>
        </w:tc>
        <w:tc>
          <w:tcPr>
            <w:tcW w:w="294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252%</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Tranche 5</w:t>
            </w:r>
          </w:p>
        </w:tc>
        <w:tc>
          <w:tcPr>
            <w:tcW w:w="26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37,500 shares</w:t>
            </w:r>
          </w:p>
        </w:tc>
        <w:tc>
          <w:tcPr>
            <w:tcW w:w="24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$15.00 or greater</w:t>
            </w:r>
          </w:p>
        </w:tc>
        <w:tc>
          <w:tcPr>
            <w:tcW w:w="2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277%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(1)The closing sale price of our Common Stock on April 25, 2016, the date the Boll Performance Equity grant was made, was $3.98.</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Effective as of February 1, 2015, we entered into an employment agreement with John P. Saharek in connection with his appointment as our Chief Commercial Officer. The employment agreement provided for the following, among other things: (i) a term of three years, (ii) an annual base salary of $220,000; (iii) bonus target of 50% of his then-current annual base salary, with the precise amount to be determined at the discretion of the Board; and</w:t>
      </w:r>
    </w:p>
    <w:p>
      <w:pPr>
        <w:ind w:left="5620" w:right="4060" w:hanging="5612"/>
        <w:spacing w:after="0" w:line="715" w:lineRule="auto"/>
        <w:tabs>
          <w:tab w:leader="none" w:pos="3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initial equity awards in connection with his appointment as our Chief Commercial Officer.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4" w:name="page25"/>
    <w:bookmarkEnd w:id="24"/>
    <w:p>
      <w:pPr>
        <w:jc w:val="both"/>
        <w:ind w:firstLine="648"/>
        <w:spacing w:after="0" w:line="276" w:lineRule="auto"/>
        <w:rPr>
          <w:sz w:val="20"/>
          <w:szCs w:val="20"/>
          <w:color w:val="auto"/>
        </w:rPr>
      </w:pPr>
      <w:r>
        <w:rPr>
          <w:rFonts w:ascii="Arial" w:cs="Arial" w:eastAsia="Arial" w:hAnsi="Arial"/>
          <w:sz w:val="17"/>
          <w:szCs w:val="17"/>
          <w:color w:val="auto"/>
        </w:rPr>
        <w:t>On April 25, 2016, the Company entered into a new employment agreement (the “Saharek Agreement”) with Mr. Saharek with respect to his employment as Chief Commercial Officer. This new agreement replaces his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60,000 options to purchase our common stock (the “Saharek Options”).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CCO Involuntary Termination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Provisions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compensation plans under which our equity securities are authorized for issuance as of December 31,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Price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Options,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Rights</w:t>
            </w:r>
          </w:p>
        </w:tc>
        <w:tc>
          <w:tcPr>
            <w:tcW w:w="3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3,031,987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7.03(2)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240,688</w:t>
            </w:r>
          </w:p>
        </w:tc>
        <w:tc>
          <w:tcPr>
            <w:tcW w:w="120" w:type="dxa"/>
            <w:vAlign w:val="bottom"/>
          </w:tcPr>
          <w:p>
            <w:pPr>
              <w:spacing w:after="0"/>
              <w:rPr>
                <w:sz w:val="18"/>
                <w:szCs w:val="18"/>
                <w:color w:val="auto"/>
              </w:rPr>
            </w:pPr>
          </w:p>
        </w:tc>
        <w:tc>
          <w:tcPr>
            <w:tcW w:w="1380" w:type="dxa"/>
            <w:vAlign w:val="bottom"/>
            <w:gridSpan w:val="2"/>
          </w:tcPr>
          <w:p>
            <w:pPr>
              <w:ind w:left="700"/>
              <w:spacing w:after="0"/>
              <w:rPr>
                <w:sz w:val="20"/>
                <w:szCs w:val="20"/>
                <w:color w:val="auto"/>
              </w:rPr>
            </w:pPr>
            <w:r>
              <w:rPr>
                <w:rFonts w:ascii="Arial" w:cs="Arial" w:eastAsia="Arial" w:hAnsi="Arial"/>
                <w:sz w:val="18"/>
                <w:szCs w:val="18"/>
                <w:color w:val="auto"/>
              </w:rPr>
              <w:t>7.41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3,272,675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7.08(2)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40" w:hanging="232"/>
        <w:spacing w:after="0" w:line="288"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shares reserved under the Plan. See Note 11 to our consolidated financial statements included in the Annual Report. The Plan was initially adopted on September 17, 2007, and was subsequently amended on November 5, 2008, February 26, 2012, July 18, 2012, May 2, 2013 and September 27, 2013. As of December 31, 2015, the Plan provided for the issuance of a maximum of an aggregate of 5,000,000 shares of the Company’s common stock.</w:t>
      </w: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25, 2016. Unless otherwise indicated in the footnotes to the following table, each person named in the table has sole voting and investment power with respect to shares of common stock and the address for such person is c/o Imprimis Pharmaceuticals, Inc. 12264 El Camino Real, Suite 350, San Diego, CA 92130.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120" w:type="dxa"/>
            <w:vAlign w:val="bottom"/>
          </w:tcPr>
          <w:p>
            <w:pPr>
              <w:spacing w:after="0"/>
              <w:rPr>
                <w:sz w:val="14"/>
                <w:szCs w:val="14"/>
                <w:color w:val="auto"/>
              </w:rPr>
            </w:pPr>
          </w:p>
        </w:tc>
        <w:tc>
          <w:tcPr>
            <w:tcW w:w="26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Amount and Nature of Beneficial</w:t>
            </w:r>
          </w:p>
        </w:tc>
        <w:tc>
          <w:tcPr>
            <w:tcW w:w="0" w:type="dxa"/>
            <w:vAlign w:val="bottom"/>
          </w:tcPr>
          <w:p>
            <w:pPr>
              <w:spacing w:after="0"/>
              <w:rPr>
                <w:sz w:val="1"/>
                <w:szCs w:val="1"/>
                <w:color w:val="auto"/>
              </w:rPr>
            </w:pPr>
          </w:p>
        </w:tc>
      </w:tr>
      <w:tr>
        <w:trPr>
          <w:trHeight w:val="171"/>
        </w:trPr>
        <w:tc>
          <w:tcPr>
            <w:tcW w:w="86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6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5% + Stockholders</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Number of Shares</w:t>
            </w: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(1)</w:t>
            </w:r>
          </w:p>
        </w:tc>
        <w:tc>
          <w:tcPr>
            <w:tcW w:w="0" w:type="dxa"/>
            <w:vAlign w:val="bottom"/>
          </w:tcPr>
          <w:p>
            <w:pPr>
              <w:spacing w:after="0"/>
              <w:rPr>
                <w:sz w:val="1"/>
                <w:szCs w:val="1"/>
                <w:color w:val="auto"/>
              </w:rPr>
            </w:pPr>
          </w:p>
        </w:tc>
      </w:tr>
      <w:tr>
        <w:trPr>
          <w:trHeight w:val="176"/>
        </w:trPr>
        <w:tc>
          <w:tcPr>
            <w:tcW w:w="86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Donald Miloni (2)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747,056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Professional Compounding Centers of America, Inc. (3)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832,682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Perella Weinberg Partners Capital Management LP/IMMY Funding LLC (4)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958,333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Marathon Asset Management LP (5)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833,333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Opaleye Management, Inc. (6)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1"/>
              </w:rPr>
              <w:t>Directors and Officers</w:t>
            </w:r>
          </w:p>
        </w:tc>
        <w:tc>
          <w:tcPr>
            <w:tcW w:w="7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Mark L. Baum (7)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809,651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R. Boll (8)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109,932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John P. Saharek (9)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56,248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Kammer (10)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994,827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Stephen G. Austin (11)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36,892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H. Nelson (12)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12,904</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Anthony J. Principi (13)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3,429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L. Lindstrom (14)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All executives and directors as a group (8 persons)</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2,034,633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460" w:right="18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 percentages are based on 13,105,678 shares of our common stock outstanding as of April 25, 2016. Shares of common stock subject to options or warrants that are currently exercisable or exercisable within 60 days after April 25, 2016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as of December 31, 2015 and based on a Schedule 13G/A filed May 20, 2015 by Donald Miloni. Includes 468,576 shares held in his name, 25,316 shares held by Mr. Miloni’s spouse, 151,899 shares held by 1425 Greenwood Lane, LLC, of which Mr. Miloni is the beneficial owner, and 101,265 shares held by RCHER Financial, LLC, of which Mr. Miloni is a beneficial owner. The address for Mr. Miloni is 1425 Greenwood Lane, Greenwood Village, CO 80125.</w:t>
      </w:r>
    </w:p>
    <w:p>
      <w:pPr>
        <w:spacing w:after="0" w:line="1" w:lineRule="exact"/>
        <w:rPr>
          <w:rFonts w:ascii="Arial" w:cs="Arial" w:eastAsia="Arial" w:hAnsi="Arial"/>
          <w:sz w:val="18"/>
          <w:szCs w:val="18"/>
          <w:color w:val="auto"/>
        </w:rPr>
      </w:pPr>
    </w:p>
    <w:p>
      <w:pPr>
        <w:ind w:left="460" w:right="50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information is as of December 31, 2015 and is based on a Schedule 13G filed September 13, 2012 by Professional Compounding Centers of America, Inc. The address for Professional Compounding Centers of America, Inc. is 9901 South Wilcrest Dr., Houston, Texas 77099.</w:t>
      </w:r>
    </w:p>
    <w:p>
      <w:pPr>
        <w:spacing w:after="0" w:line="1" w:lineRule="exact"/>
        <w:rPr>
          <w:rFonts w:ascii="Arial" w:cs="Arial" w:eastAsia="Arial" w:hAnsi="Arial"/>
          <w:sz w:val="16"/>
          <w:szCs w:val="16"/>
          <w:color w:val="auto"/>
        </w:rPr>
      </w:pPr>
    </w:p>
    <w:p>
      <w:pPr>
        <w:ind w:left="460" w:right="40" w:hanging="452"/>
        <w:spacing w:after="0" w:line="28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information is as of December 31, 2015 and is based on a Schedule 13G filed March 28, 2016 by Perella Weinberg Partners Capital Management LP (“Perella”). Represents 958,833 shares of common stock shares of common stock issuable upon the exercise of warrants and conversion of a convertible note, in each case exercisable within 60 days after April 25, 2016. IMMY Funding LLC is the record holder of a warrant to purchase shares of our common stock (“Warrant”), as well as a convertible note convertible into shares of our common stock (“Note”). LSAF Funding LLC is the sole member of NSPH Funding LLC. Life Sciences Alternative Funding Holdings LLC is the sole member of LSAF Funding LLC. LSAF Holdings LLC is the controlling equity owner of Life Sciences Alternative Funding Holdings LLC. LSAF Holdings LLC is managed by its managing member, Perella Weinberg Partners Asset Based Value Master Fund II L.P. Perella Weinberg Partners Asset Based Value GP L.P. is the general partner of Perella Weinberg Partners Asset Based Value Master Fund II L.P. Perella Weinberg Partners Asset Based Value GP LLC is the general partner of Perella Weinberg Partners Asset Based Value GP L.P. Perella Weinberg Partners Capital Management LP is the Managing Member of Perella Weinberg Partners Asset Based Value GP LLC. David Schiff holds voting and investment control over the shares of our common stock issuable upon exercise of the Warrant and the conversion of the Note, and investment control over the Warrant and the Note. The address of IMMY Funding LLC is 50 Main Street, Suite 1000, White Plains, NY 10606 and Mr. Schiff is 767 Fifth Avenue, New York, NY 10153.</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ind w:left="452" w:hanging="452"/>
        <w:spacing w:after="0" w:line="253" w:lineRule="auto"/>
        <w:tabs>
          <w:tab w:leader="none" w:pos="45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information is as of December 31, 2015 and is based on a Schedule 13G filed March 21, 2016 by Marathon Asset Management LP. Shares of our common stock are held by funds and accounts (collectively, the “Funds and Accounts”) which are managed by Marathon Asset Management, L.P. (“Marathon”). Marathon, in its capacity as the investment manager of each of the Funds and Accounts, has the sole power to vote and the sole power to direct the disposition of all Shares held by the Funds and Accounts. Accordingly, for the purposes of Rule 13d-3, Marathon may be deemed to beneficially own an aggregate of 833,333 shares of our common stock. The general partner of Marathon is Marathon Asset Management GP, L.L.C. Bruce Richards and Louis Hanover are the managing members of Marathon Asset Management GP, L.L.C. The address for Marathon Asset Management is One Bryant Park, 38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New York, New York 10036</w:t>
      </w:r>
    </w:p>
    <w:p>
      <w:pPr>
        <w:spacing w:after="0" w:line="1" w:lineRule="exact"/>
        <w:rPr>
          <w:rFonts w:ascii="Arial" w:cs="Arial" w:eastAsia="Arial" w:hAnsi="Arial"/>
          <w:sz w:val="17"/>
          <w:szCs w:val="17"/>
          <w:color w:val="auto"/>
        </w:rPr>
      </w:pPr>
    </w:p>
    <w:p>
      <w:pPr>
        <w:ind w:left="452" w:right="200" w:hanging="452"/>
        <w:spacing w:after="0" w:line="249"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information is as of December 31, 2015 and is based on a Form 4/A filed March 14, 2016 by Opaleye Management Inc. (“Opaleye”) and James Silverman. Mr. Silverman, President of Opaleye, may be deemed to beneficially own the shares held of record by Opaleye. The address for Mr. Silverman and Opaleye is 9B Russell Street, Cambridge, Massachusetts 02140.</w:t>
      </w:r>
    </w:p>
    <w:p>
      <w:pPr>
        <w:spacing w:after="0" w:line="2" w:lineRule="exact"/>
        <w:rPr>
          <w:rFonts w:ascii="Arial" w:cs="Arial" w:eastAsia="Arial" w:hAnsi="Arial"/>
          <w:sz w:val="18"/>
          <w:szCs w:val="18"/>
          <w:color w:val="auto"/>
        </w:rPr>
      </w:pPr>
    </w:p>
    <w:p>
      <w:pPr>
        <w:ind w:left="452" w:right="380" w:hanging="452"/>
        <w:spacing w:after="0" w:line="250"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400,266 shares of common stock issuable upon the exercise of stock options exercisable within 60 days after April 25, 2016 and 200,000 shares of common stock issuable upon the vesting of RSUs on May 2, 2016.</w:t>
      </w: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94,932 shares of common stock issuable upon the exercise of stock options exercisable within 60 days after April 25, 2016.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56,248 shares of common stock issuable upon the exercise of stock options exercisable within 60 days after April 25, 2016.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19,769 shares of common stock issuable upon Mr. Kammer’s discontinuation of service as a director.</w:t>
      </w:r>
    </w:p>
    <w:p>
      <w:pPr>
        <w:spacing w:after="0" w:line="9" w:lineRule="exact"/>
        <w:rPr>
          <w:rFonts w:ascii="Arial" w:cs="Arial" w:eastAsia="Arial" w:hAnsi="Arial"/>
          <w:sz w:val="18"/>
          <w:szCs w:val="18"/>
          <w:color w:val="auto"/>
        </w:rPr>
      </w:pPr>
    </w:p>
    <w:p>
      <w:pPr>
        <w:ind w:left="452" w:right="80" w:hanging="452"/>
        <w:spacing w:after="0" w:line="250"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17,123 shares of common stock issuable upon the exercise of stock options exercisable within 60 days after April 25, 2016 and 19,769 shares of common stock issuable upon Mr. Austin’s discontinuation of service as a director.</w:t>
      </w: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12,904 shares of common stock issuable upon Mr. Nelson’s discontinuation of service as a director.</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3,429 shares of common stock issuable upon Mr. Principi’s discontinuation of service as a director.</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10,750 shares of common stock issuable upon Mr. Lindstrom’s discontinuation of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http://imprimispharma.investorroom.com. All members of the Audit Committee currently meet the independence and qualification standards for Audit Committee membership set forth in the rules and listing standards of Nasdaq and the SEC.</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2015 should be included in the Annual Report.</w:t>
      </w:r>
    </w:p>
    <w:p>
      <w:pPr>
        <w:spacing w:after="0" w:line="19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Richard Lindstrom</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William Nelson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Imprimis Pharmaceuticals,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2017 Annual Meeting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2017 annual meeting of stockholders, a stockholder’s proposal must be received by us no later than December 12, 2016, unless the date of our 2017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2016 Annual Meeting of Stockholders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October 13, 2016 and December 12, 2016 for our 2017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12264 El Camino Real, Suite 350, San Diego, California 92130. Our Bylaws are also available on the Investor Relations section of our website at http://imprimispharma.investorroom.com.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0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/s/ Mark L. Baum</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L. Baum</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center"/>
        <w:ind w:right="47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4719"/>
        <w:spacing w:after="0"/>
        <w:rPr>
          <w:sz w:val="20"/>
          <w:szCs w:val="20"/>
          <w:color w:val="auto"/>
        </w:rPr>
      </w:pPr>
      <w:r>
        <w:rPr>
          <w:rFonts w:ascii="Arial" w:cs="Arial" w:eastAsia="Arial" w:hAnsi="Arial"/>
          <w:sz w:val="18"/>
          <w:szCs w:val="18"/>
          <w:b w:val="1"/>
          <w:bCs w:val="1"/>
          <w:color w:val="auto"/>
        </w:rPr>
        <w:t>THIS PROXY IS SOLICITED ON BEHALF OF THE BOARD OF</w:t>
      </w:r>
    </w:p>
    <w:p>
      <w:pPr>
        <w:spacing w:after="0" w:line="27" w:lineRule="exact"/>
        <w:rPr>
          <w:sz w:val="20"/>
          <w:szCs w:val="20"/>
          <w:color w:val="auto"/>
        </w:rPr>
      </w:pPr>
    </w:p>
    <w:p>
      <w:pPr>
        <w:jc w:val="center"/>
        <w:ind w:right="4719"/>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jc w:val="center"/>
        <w:ind w:right="4719"/>
        <w:spacing w:after="0"/>
        <w:rPr>
          <w:sz w:val="20"/>
          <w:szCs w:val="20"/>
          <w:color w:val="auto"/>
        </w:rPr>
      </w:pPr>
      <w:r>
        <w:rPr>
          <w:rFonts w:ascii="Arial" w:cs="Arial" w:eastAsia="Arial" w:hAnsi="Arial"/>
          <w:sz w:val="17"/>
          <w:szCs w:val="17"/>
          <w:color w:val="auto"/>
        </w:rPr>
        <w:t>ANNUAL MEETING OF STOCKHOLDERS – JUNE 10, 2016 AT 9:00</w:t>
      </w:r>
    </w:p>
    <w:p>
      <w:pPr>
        <w:spacing w:after="0" w:line="35" w:lineRule="exact"/>
        <w:rPr>
          <w:sz w:val="20"/>
          <w:szCs w:val="20"/>
          <w:color w:val="auto"/>
        </w:rPr>
      </w:pPr>
    </w:p>
    <w:p>
      <w:pPr>
        <w:jc w:val="center"/>
        <w:ind w:right="4719"/>
        <w:spacing w:after="0"/>
        <w:rPr>
          <w:sz w:val="20"/>
          <w:szCs w:val="20"/>
          <w:color w:val="auto"/>
        </w:rPr>
      </w:pPr>
      <w:r>
        <w:rPr>
          <w:rFonts w:ascii="Arial" w:cs="Arial" w:eastAsia="Arial" w:hAnsi="Arial"/>
          <w:sz w:val="18"/>
          <w:szCs w:val="18"/>
          <w:color w:val="auto"/>
        </w:rPr>
        <w:t>AM LOCAL TIME</w:t>
      </w:r>
    </w:p>
    <w:p>
      <w:pPr>
        <w:spacing w:after="0" w:line="207"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CONTROL ID:</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REQUEST 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stockholder(s) of Imprimis Pharmaceuticals, Inc.,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“Company”), hereby revoking any proxy</w:t>
      </w:r>
    </w:p>
    <w:p>
      <w:pPr>
        <w:spacing w:after="0" w:line="9" w:lineRule="exact"/>
        <w:rPr>
          <w:sz w:val="20"/>
          <w:szCs w:val="20"/>
          <w:color w:val="auto"/>
        </w:rPr>
      </w:pPr>
    </w:p>
    <w:p>
      <w:pPr>
        <w:ind w:right="4739"/>
        <w:spacing w:after="0" w:line="267" w:lineRule="auto"/>
        <w:rPr>
          <w:sz w:val="20"/>
          <w:szCs w:val="20"/>
          <w:color w:val="auto"/>
        </w:rPr>
      </w:pPr>
      <w:r>
        <w:rPr>
          <w:rFonts w:ascii="Arial" w:cs="Arial" w:eastAsia="Arial" w:hAnsi="Arial"/>
          <w:sz w:val="17"/>
          <w:szCs w:val="17"/>
          <w:color w:val="auto"/>
        </w:rPr>
        <w:t>heretofore given, does hereby appoint Mark L. Baum and Robert J. Kammer, and each of them, with full power to act alone, the true and lawful attorneys-in-fact and proxies of the undersigned, with full powers of substitution, and hereby authorize(s) them and each of them, to represent the undersigned and to vote all shares of common stock of the Company that the undersigned is entitled to vote at the 2016 Annual Meeting of Stockholders of the Company to be held on June 10, 2016 at 9:00 a.m., local time, at the San Diego Marriott Del Mar Hotel, 11966 El Camino Real, San Diego, California 92130, and any and all adjournments and postponements thereof, with all powers the undersigned would possess if personally present, on the following proposals, each as described more fully in the accompanying proxy statement, and any other matters coming before said meeting</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41" w:lineRule="exact"/>
        <w:rPr>
          <w:sz w:val="20"/>
          <w:szCs w:val="20"/>
          <w:color w:val="auto"/>
        </w:rPr>
      </w:pPr>
    </w:p>
    <w:p>
      <w:pPr>
        <w:jc w:val="center"/>
        <w:ind w:right="4719"/>
        <w:spacing w:after="0"/>
        <w:rPr>
          <w:sz w:val="20"/>
          <w:szCs w:val="20"/>
          <w:color w:val="auto"/>
        </w:rPr>
      </w:pPr>
      <w:r>
        <w:rPr>
          <w:rFonts w:ascii="Arial" w:cs="Arial" w:eastAsia="Arial" w:hAnsi="Arial"/>
          <w:sz w:val="18"/>
          <w:szCs w:val="18"/>
          <w:b w:val="1"/>
          <w:bCs w:val="1"/>
          <w:u w:val="single" w:color="auto"/>
          <w:color w:val="auto"/>
        </w:rPr>
        <w:t>VOTING INSTRUCTIONS</w:t>
      </w:r>
    </w:p>
    <w:p>
      <w:pPr>
        <w:spacing w:after="0" w:line="27" w:lineRule="exact"/>
        <w:rPr>
          <w:sz w:val="20"/>
          <w:szCs w:val="20"/>
          <w:color w:val="auto"/>
        </w:rPr>
      </w:pPr>
    </w:p>
    <w:p>
      <w:pPr>
        <w:jc w:val="center"/>
        <w:ind w:right="4719"/>
        <w:spacing w:after="0"/>
        <w:rPr>
          <w:sz w:val="20"/>
          <w:szCs w:val="20"/>
          <w:color w:val="auto"/>
        </w:rPr>
      </w:pPr>
      <w:r>
        <w:rPr>
          <w:rFonts w:ascii="Arial" w:cs="Arial" w:eastAsia="Arial" w:hAnsi="Arial"/>
          <w:sz w:val="16"/>
          <w:szCs w:val="16"/>
          <w:b w:val="1"/>
          <w:bCs w:val="1"/>
          <w:color w:val="auto"/>
        </w:rPr>
        <w:t>If you vote by phone, fax or internet, please DO NOT mail your proxy</w:t>
      </w:r>
    </w:p>
    <w:p>
      <w:pPr>
        <w:spacing w:after="0" w:line="32" w:lineRule="exact"/>
        <w:rPr>
          <w:sz w:val="20"/>
          <w:szCs w:val="20"/>
          <w:color w:val="auto"/>
        </w:rPr>
      </w:pPr>
    </w:p>
    <w:p>
      <w:pPr>
        <w:jc w:val="center"/>
        <w:ind w:right="4719"/>
        <w:spacing w:after="0"/>
        <w:rPr>
          <w:sz w:val="20"/>
          <w:szCs w:val="20"/>
          <w:color w:val="auto"/>
        </w:rPr>
      </w:pPr>
      <w:r>
        <w:rPr>
          <w:rFonts w:ascii="Arial" w:cs="Arial" w:eastAsia="Arial" w:hAnsi="Arial"/>
          <w:sz w:val="18"/>
          <w:szCs w:val="18"/>
          <w:b w:val="1"/>
          <w:bCs w:val="1"/>
          <w:color w:val="auto"/>
        </w:rPr>
        <w:t>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280035</wp:posOffset>
            </wp:positionV>
            <wp:extent cx="360045"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0045" cy="368935"/>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137795</wp:posOffset>
            </wp:positionV>
            <wp:extent cx="368935" cy="368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935" cy="368935"/>
                    </a:xfrm>
                    <a:prstGeom prst="rect">
                      <a:avLst/>
                    </a:prstGeom>
                    <a:noFill/>
                  </pic:spPr>
                </pic:pic>
              </a:graphicData>
            </a:graphic>
          </wp:anchor>
        </w:drawing>
      </w:r>
    </w:p>
    <w:p>
      <w:pPr>
        <w:spacing w:after="0" w:line="35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137795</wp:posOffset>
            </wp:positionV>
            <wp:extent cx="368935"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8935"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Please mark, sign, date, and return this Proxy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Card promptly using the enclosed envelope.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Complete the reverse portion of this Proxy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Card and Fax to </w:t>
      </w:r>
      <w:r>
        <w:rPr>
          <w:rFonts w:ascii="Arial" w:cs="Arial" w:eastAsia="Arial" w:hAnsi="Arial"/>
          <w:sz w:val="18"/>
          <w:szCs w:val="18"/>
          <w:b w:val="1"/>
          <w:bCs w:val="1"/>
          <w:color w:val="auto"/>
        </w:rPr>
        <w:t>202-521-3464.</w:t>
      </w:r>
    </w:p>
    <w:p>
      <w:pPr>
        <w:spacing w:after="0" w:line="200" w:lineRule="exact"/>
        <w:rPr>
          <w:sz w:val="20"/>
          <w:szCs w:val="20"/>
          <w:color w:val="auto"/>
        </w:rPr>
      </w:pPr>
    </w:p>
    <w:p>
      <w:pPr>
        <w:sectPr>
          <w:pgSz w:w="11900" w:h="16838" w:orient="portrait"/>
          <w:cols w:equalWidth="0" w:num="2">
            <w:col w:w="1680" w:space="440"/>
            <w:col w:w="8099"/>
          </w:cols>
          <w:pgMar w:left="240" w:top="999" w:right="1440" w:bottom="1440" w:gutter="0" w:footer="0" w:header="0"/>
          <w:type w:val="continuous"/>
        </w:sectPr>
      </w:pPr>
    </w:p>
    <w:p>
      <w:pPr>
        <w:spacing w:after="0" w:line="4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INTERNET:</w:t>
      </w:r>
      <w:r>
        <w:rPr>
          <w:rFonts w:ascii="Arial" w:cs="Arial" w:eastAsia="Arial" w:hAnsi="Arial"/>
          <w:sz w:val="18"/>
          <w:szCs w:val="18"/>
          <w:color w:val="auto"/>
        </w:rPr>
        <w:t>https://www.iproxydirect.com/IMMY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137795</wp:posOffset>
            </wp:positionV>
            <wp:extent cx="368935"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8935" cy="368935"/>
                    </a:xfrm>
                    <a:prstGeom prst="rect">
                      <a:avLst/>
                    </a:prstGeom>
                    <a:noFill/>
                  </pic:spPr>
                </pic:pic>
              </a:graphicData>
            </a:graphic>
          </wp:anchor>
        </w:drawing>
      </w:r>
    </w:p>
    <w:p>
      <w:pPr>
        <w:spacing w:after="0" w:line="354" w:lineRule="exact"/>
        <w:rPr>
          <w:sz w:val="20"/>
          <w:szCs w:val="20"/>
          <w:color w:val="auto"/>
        </w:rPr>
      </w:pPr>
    </w:p>
    <w:p>
      <w:pPr>
        <w:ind w:left="1120"/>
        <w:spacing w:after="0"/>
        <w:tabs>
          <w:tab w:leader="none" w:pos="2100" w:val="left"/>
        </w:tabs>
        <w:rPr>
          <w:sz w:val="20"/>
          <w:szCs w:val="20"/>
          <w:color w:val="auto"/>
        </w:rPr>
      </w:pPr>
      <w:r>
        <w:rPr>
          <w:rFonts w:ascii="Arial" w:cs="Arial" w:eastAsia="Arial" w:hAnsi="Arial"/>
          <w:sz w:val="17"/>
          <w:szCs w:val="17"/>
          <w:b w:val="1"/>
          <w:bCs w:val="1"/>
          <w:color w:val="auto"/>
        </w:rPr>
        <w:t>PHONE:</w:t>
      </w:r>
      <w:r>
        <w:rPr>
          <w:sz w:val="20"/>
          <w:szCs w:val="20"/>
          <w:color w:val="auto"/>
        </w:rPr>
        <w:tab/>
      </w:r>
      <w:r>
        <w:rPr>
          <w:rFonts w:ascii="Arial" w:cs="Arial" w:eastAsia="Arial" w:hAnsi="Arial"/>
          <w:sz w:val="17"/>
          <w:szCs w:val="17"/>
          <w:color w:val="auto"/>
        </w:rPr>
        <w:t xml:space="preserve">Call toll free </w:t>
      </w:r>
      <w:r>
        <w:rPr>
          <w:rFonts w:ascii="Arial" w:cs="Arial" w:eastAsia="Arial" w:hAnsi="Arial"/>
          <w:sz w:val="17"/>
          <w:szCs w:val="17"/>
          <w:b w:val="1"/>
          <w:bCs w:val="1"/>
          <w:color w:val="auto"/>
        </w:rPr>
        <w:t>1-866-752-VOTE (8683)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1274445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type w:val="continuous"/>
        </w:sectPr>
      </w:pPr>
    </w:p>
    <w:bookmarkStart w:id="31" w:name="page32"/>
    <w:bookmarkEnd w:id="31"/>
    <w:tbl>
      <w:tblPr>
        <w:tblLayout w:type="fixed"/>
        <w:tblInd w:w="380" w:type="dxa"/>
        <w:tblCellMar>
          <w:top w:w="0" w:type="dxa"/>
          <w:left w:w="0" w:type="dxa"/>
          <w:bottom w:w="0" w:type="dxa"/>
          <w:right w:w="0" w:type="dxa"/>
        </w:tblCellMar>
      </w:tblPr>
      <w:tr>
        <w:trPr>
          <w:trHeight w:val="216"/>
        </w:trPr>
        <w:tc>
          <w:tcPr>
            <w:tcW w:w="45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ANNUAL MEETING OF THE STOCKHOLDERS OF</w:t>
            </w:r>
          </w:p>
        </w:tc>
        <w:tc>
          <w:tcPr>
            <w:tcW w:w="6500" w:type="dxa"/>
            <w:vAlign w:val="bottom"/>
          </w:tcPr>
          <w:p>
            <w:pPr>
              <w:jc w:val="right"/>
              <w:spacing w:after="0"/>
              <w:rPr>
                <w:sz w:val="20"/>
                <w:szCs w:val="20"/>
                <w:color w:val="auto"/>
              </w:rPr>
            </w:pPr>
            <w:r>
              <w:rPr>
                <w:rFonts w:ascii="Arial" w:cs="Arial" w:eastAsia="Arial" w:hAnsi="Arial"/>
                <w:sz w:val="18"/>
                <w:szCs w:val="18"/>
                <w:b w:val="1"/>
                <w:bCs w:val="1"/>
                <w:color w:val="auto"/>
              </w:rPr>
              <w:t>PLEASE COMPLETE, DATE, SIGN AND RETURN PROMPTLY IN THE</w:t>
            </w: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6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ENCLOSED ENVELOPE.</w:t>
            </w:r>
          </w:p>
        </w:tc>
        <w:tc>
          <w:tcPr>
            <w:tcW w:w="0" w:type="dxa"/>
            <w:vAlign w:val="bottom"/>
          </w:tcPr>
          <w:p>
            <w:pPr>
              <w:spacing w:after="0"/>
              <w:rPr>
                <w:sz w:val="1"/>
                <w:szCs w:val="1"/>
                <w:color w:val="auto"/>
              </w:rPr>
            </w:pPr>
          </w:p>
        </w:tc>
      </w:tr>
      <w:tr>
        <w:trPr>
          <w:trHeight w:val="108"/>
        </w:trPr>
        <w:tc>
          <w:tcPr>
            <w:tcW w:w="45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IMPRIMIS PHARMACEUTICALS, INC.</w:t>
            </w:r>
          </w:p>
        </w:tc>
        <w:tc>
          <w:tcPr>
            <w:tcW w:w="6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540" w:type="dxa"/>
            <w:vAlign w:val="bottom"/>
            <w:vMerge w:val="continue"/>
          </w:tcPr>
          <w:p>
            <w:pPr>
              <w:spacing w:after="0"/>
              <w:rPr>
                <w:sz w:val="10"/>
                <w:szCs w:val="10"/>
                <w:color w:val="auto"/>
              </w:rPr>
            </w:pPr>
          </w:p>
        </w:tc>
        <w:tc>
          <w:tcPr>
            <w:tcW w:w="6500" w:type="dxa"/>
            <w:vAlign w:val="bottom"/>
            <w:vMerge w:val="restart"/>
          </w:tcPr>
          <w:p>
            <w:pPr>
              <w:jc w:val="right"/>
              <w:spacing w:after="0" w:line="188" w:lineRule="exact"/>
              <w:rPr>
                <w:sz w:val="20"/>
                <w:szCs w:val="20"/>
                <w:color w:val="auto"/>
              </w:rPr>
            </w:pPr>
            <w:r>
              <w:rPr>
                <w:rFonts w:ascii="Arial" w:cs="Arial" w:eastAsia="Arial" w:hAnsi="Arial"/>
                <w:sz w:val="18"/>
                <w:szCs w:val="18"/>
                <w:b w:val="1"/>
                <w:bCs w:val="1"/>
                <w:color w:val="auto"/>
              </w:rPr>
              <w:t>PLEASE MARK YOUR VOTE IN BLUE OR BLACK INK AS SHOWN HERE:</w:t>
            </w:r>
          </w:p>
        </w:tc>
        <w:tc>
          <w:tcPr>
            <w:tcW w:w="0" w:type="dxa"/>
            <w:vAlign w:val="bottom"/>
          </w:tcPr>
          <w:p>
            <w:pPr>
              <w:spacing w:after="0"/>
              <w:rPr>
                <w:sz w:val="1"/>
                <w:szCs w:val="1"/>
                <w:color w:val="auto"/>
              </w:rPr>
            </w:pPr>
          </w:p>
        </w:tc>
      </w:tr>
      <w:tr>
        <w:trPr>
          <w:trHeight w:val="61"/>
        </w:trPr>
        <w:tc>
          <w:tcPr>
            <w:tcW w:w="4540" w:type="dxa"/>
            <w:vAlign w:val="bottom"/>
          </w:tcPr>
          <w:p>
            <w:pPr>
              <w:spacing w:after="0"/>
              <w:rPr>
                <w:sz w:val="5"/>
                <w:szCs w:val="5"/>
                <w:color w:val="auto"/>
              </w:rPr>
            </w:pPr>
          </w:p>
        </w:tc>
        <w:tc>
          <w:tcPr>
            <w:tcW w:w="6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540" w:type="dxa"/>
            <w:vAlign w:val="bottom"/>
          </w:tcPr>
          <w:p>
            <w:pPr>
              <w:spacing w:after="0"/>
              <w:rPr>
                <w:sz w:val="24"/>
                <w:szCs w:val="24"/>
                <w:color w:val="auto"/>
              </w:rPr>
            </w:pPr>
          </w:p>
        </w:tc>
        <w:tc>
          <w:tcPr>
            <w:tcW w:w="65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6400"/>
        <w:spacing w:after="0"/>
        <w:rPr>
          <w:sz w:val="20"/>
          <w:szCs w:val="20"/>
          <w:color w:val="auto"/>
        </w:rPr>
      </w:pPr>
      <w:r>
        <w:rPr>
          <w:rFonts w:ascii="Arial" w:cs="Arial" w:eastAsia="Arial" w:hAnsi="Arial"/>
          <w:sz w:val="18"/>
          <w:szCs w:val="18"/>
          <w:color w:val="auto"/>
        </w:rPr>
        <w:t>PROXY SOLICITED ON BEHALF OF THE BOARD OF</w:t>
      </w:r>
    </w:p>
    <w:p>
      <w:pPr>
        <w:spacing w:after="0" w:line="23" w:lineRule="exact"/>
        <w:rPr>
          <w:sz w:val="20"/>
          <w:szCs w:val="20"/>
          <w:color w:val="auto"/>
        </w:rPr>
      </w:pPr>
    </w:p>
    <w:p>
      <w:pPr>
        <w:jc w:val="center"/>
        <w:ind w:right="6400"/>
        <w:spacing w:after="0"/>
        <w:rPr>
          <w:sz w:val="20"/>
          <w:szCs w:val="20"/>
          <w:color w:val="auto"/>
        </w:rPr>
      </w:pPr>
      <w:r>
        <w:rPr>
          <w:rFonts w:ascii="Arial" w:cs="Arial" w:eastAsia="Arial" w:hAnsi="Arial"/>
          <w:sz w:val="18"/>
          <w:szCs w:val="18"/>
          <w:color w:val="auto"/>
        </w:rPr>
        <w:t>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Proposal 1</w:t>
            </w:r>
          </w:p>
        </w:tc>
        <w:tc>
          <w:tcPr>
            <w:tcW w:w="38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à</w:t>
            </w: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WITHHOLD</w:t>
            </w: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FOR ALL</w:t>
            </w:r>
          </w:p>
        </w:tc>
        <w:tc>
          <w:tcPr>
            <w:tcW w:w="2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47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ALL</w:t>
            </w: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ALL</w:t>
            </w:r>
          </w:p>
        </w:tc>
        <w:tc>
          <w:tcPr>
            <w:tcW w:w="13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EXCEPT</w:t>
            </w: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52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900"/>
              <w:spacing w:after="0" w:line="201" w:lineRule="exact"/>
              <w:rPr>
                <w:sz w:val="20"/>
                <w:szCs w:val="20"/>
                <w:color w:val="auto"/>
              </w:rPr>
            </w:pPr>
            <w:r>
              <w:rPr>
                <w:rFonts w:ascii="Arial" w:cs="Arial" w:eastAsia="Arial" w:hAnsi="Arial"/>
                <w:sz w:val="18"/>
                <w:szCs w:val="18"/>
                <w:color w:val="auto"/>
              </w:rPr>
              <w:t>Election of Directors:</w:t>
            </w:r>
          </w:p>
        </w:tc>
        <w:tc>
          <w:tcPr>
            <w:tcW w:w="380" w:type="dxa"/>
            <w:vAlign w:val="bottom"/>
          </w:tcPr>
          <w:p>
            <w:pPr>
              <w:spacing w:after="0"/>
              <w:rPr>
                <w:sz w:val="17"/>
                <w:szCs w:val="17"/>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vMerge w:val="restart"/>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40" w:type="dxa"/>
            <w:vAlign w:val="bottom"/>
          </w:tcPr>
          <w:p>
            <w:pPr>
              <w:ind w:left="1540"/>
              <w:spacing w:after="0" w:line="183" w:lineRule="exact"/>
              <w:rPr>
                <w:sz w:val="20"/>
                <w:szCs w:val="20"/>
                <w:color w:val="auto"/>
              </w:rPr>
            </w:pPr>
            <w:r>
              <w:rPr>
                <w:rFonts w:ascii="Arial" w:cs="Arial" w:eastAsia="Arial" w:hAnsi="Arial"/>
                <w:sz w:val="18"/>
                <w:szCs w:val="18"/>
                <w:color w:val="auto"/>
              </w:rPr>
              <w:t>Mark L. Baum</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540"/>
              <w:spacing w:after="0"/>
              <w:rPr>
                <w:sz w:val="20"/>
                <w:szCs w:val="20"/>
                <w:color w:val="auto"/>
              </w:rPr>
            </w:pPr>
            <w:r>
              <w:rPr>
                <w:rFonts w:ascii="Arial" w:cs="Arial" w:eastAsia="Arial" w:hAnsi="Arial"/>
                <w:sz w:val="18"/>
                <w:szCs w:val="18"/>
                <w:color w:val="auto"/>
              </w:rPr>
              <w:t>Robert J. Kammer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jc w:val="right"/>
              <w:ind w:right="930"/>
              <w:spacing w:after="0"/>
              <w:rPr>
                <w:sz w:val="20"/>
                <w:szCs w:val="20"/>
                <w:color w:val="auto"/>
              </w:rPr>
            </w:pPr>
            <w:r>
              <w:rPr>
                <w:rFonts w:ascii="Arial" w:cs="Arial" w:eastAsia="Arial" w:hAnsi="Arial"/>
                <w:sz w:val="18"/>
                <w:szCs w:val="18"/>
                <w:b w:val="1"/>
                <w:bCs w:val="1"/>
                <w:color w:val="auto"/>
              </w:rPr>
              <w:t>CONTROL ID:</w:t>
            </w:r>
          </w:p>
        </w:tc>
        <w:tc>
          <w:tcPr>
            <w:tcW w:w="0" w:type="dxa"/>
            <w:vAlign w:val="bottom"/>
          </w:tcPr>
          <w:p>
            <w:pPr>
              <w:spacing w:after="0"/>
              <w:rPr>
                <w:sz w:val="1"/>
                <w:szCs w:val="1"/>
                <w:color w:val="auto"/>
              </w:rPr>
            </w:pPr>
          </w:p>
        </w:tc>
      </w:tr>
      <w:tr>
        <w:trPr>
          <w:trHeight w:val="216"/>
        </w:trPr>
        <w:tc>
          <w:tcPr>
            <w:tcW w:w="4740" w:type="dxa"/>
            <w:vAlign w:val="bottom"/>
          </w:tcPr>
          <w:p>
            <w:pPr>
              <w:ind w:left="1540"/>
              <w:spacing w:after="0"/>
              <w:rPr>
                <w:sz w:val="20"/>
                <w:szCs w:val="20"/>
                <w:color w:val="auto"/>
              </w:rPr>
            </w:pPr>
            <w:r>
              <w:rPr>
                <w:rFonts w:ascii="Arial" w:cs="Arial" w:eastAsia="Arial" w:hAnsi="Arial"/>
                <w:sz w:val="18"/>
                <w:szCs w:val="18"/>
                <w:color w:val="auto"/>
              </w:rPr>
              <w:t>Richard L. Lindstrom</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jc w:val="right"/>
              <w:ind w:right="930"/>
              <w:spacing w:after="0"/>
              <w:rPr>
                <w:sz w:val="20"/>
                <w:szCs w:val="20"/>
                <w:color w:val="auto"/>
              </w:rPr>
            </w:pPr>
            <w:r>
              <w:rPr>
                <w:rFonts w:ascii="Arial" w:cs="Arial" w:eastAsia="Arial" w:hAnsi="Arial"/>
                <w:sz w:val="18"/>
                <w:szCs w:val="18"/>
                <w:b w:val="1"/>
                <w:bCs w:val="1"/>
                <w:color w:val="auto"/>
              </w:rPr>
              <w:t>REQUEST ID:</w:t>
            </w:r>
          </w:p>
        </w:tc>
        <w:tc>
          <w:tcPr>
            <w:tcW w:w="0" w:type="dxa"/>
            <w:vAlign w:val="bottom"/>
          </w:tcPr>
          <w:p>
            <w:pPr>
              <w:spacing w:after="0"/>
              <w:rPr>
                <w:sz w:val="1"/>
                <w:szCs w:val="1"/>
                <w:color w:val="auto"/>
              </w:rPr>
            </w:pPr>
          </w:p>
        </w:tc>
      </w:tr>
      <w:tr>
        <w:trPr>
          <w:trHeight w:val="216"/>
        </w:trPr>
        <w:tc>
          <w:tcPr>
            <w:tcW w:w="4740" w:type="dxa"/>
            <w:vAlign w:val="bottom"/>
          </w:tcPr>
          <w:p>
            <w:pPr>
              <w:ind w:left="1540"/>
              <w:spacing w:after="0"/>
              <w:rPr>
                <w:sz w:val="20"/>
                <w:szCs w:val="20"/>
                <w:color w:val="auto"/>
              </w:rPr>
            </w:pPr>
            <w:r>
              <w:rPr>
                <w:rFonts w:ascii="Arial" w:cs="Arial" w:eastAsia="Arial" w:hAnsi="Arial"/>
                <w:sz w:val="18"/>
                <w:szCs w:val="18"/>
                <w:color w:val="auto"/>
              </w:rPr>
              <w:t>William H. Nelson</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540"/>
              <w:spacing w:after="0"/>
              <w:rPr>
                <w:sz w:val="20"/>
                <w:szCs w:val="20"/>
                <w:color w:val="auto"/>
              </w:rPr>
            </w:pPr>
            <w:r>
              <w:rPr>
                <w:rFonts w:ascii="Arial" w:cs="Arial" w:eastAsia="Arial" w:hAnsi="Arial"/>
                <w:sz w:val="18"/>
                <w:szCs w:val="18"/>
                <w:color w:val="auto"/>
              </w:rPr>
              <w:t>Stephen G. Austin</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40" w:type="dxa"/>
            <w:vAlign w:val="bottom"/>
          </w:tcPr>
          <w:p>
            <w:pPr>
              <w:ind w:left="1540"/>
              <w:spacing w:after="0"/>
              <w:rPr>
                <w:sz w:val="20"/>
                <w:szCs w:val="20"/>
                <w:color w:val="auto"/>
              </w:rPr>
            </w:pPr>
            <w:r>
              <w:rPr>
                <w:rFonts w:ascii="Arial" w:cs="Arial" w:eastAsia="Arial" w:hAnsi="Arial"/>
                <w:sz w:val="18"/>
                <w:szCs w:val="18"/>
                <w:color w:val="auto"/>
              </w:rPr>
              <w:t>Anthony J. Principi</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 2</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à</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ABSTAIN</w:t>
            </w: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900"/>
              <w:spacing w:after="0" w:line="201" w:lineRule="exact"/>
              <w:rPr>
                <w:sz w:val="20"/>
                <w:szCs w:val="20"/>
                <w:color w:val="auto"/>
              </w:rPr>
            </w:pPr>
            <w:r>
              <w:rPr>
                <w:rFonts w:ascii="Arial" w:cs="Arial" w:eastAsia="Arial" w:hAnsi="Arial"/>
                <w:sz w:val="18"/>
                <w:szCs w:val="18"/>
                <w:color w:val="auto"/>
              </w:rPr>
              <w:t>Ratification of the selection of KMJ Corbin and</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900"/>
              <w:spacing w:after="0"/>
              <w:rPr>
                <w:sz w:val="20"/>
                <w:szCs w:val="20"/>
                <w:color w:val="auto"/>
              </w:rPr>
            </w:pPr>
            <w:r>
              <w:rPr>
                <w:rFonts w:ascii="Arial" w:cs="Arial" w:eastAsia="Arial" w:hAnsi="Arial"/>
                <w:sz w:val="18"/>
                <w:szCs w:val="18"/>
                <w:color w:val="auto"/>
              </w:rPr>
              <w:t>Company LLP as the Company’s independent</w:t>
            </w:r>
          </w:p>
        </w:tc>
        <w:tc>
          <w:tcPr>
            <w:tcW w:w="380" w:type="dxa"/>
            <w:vAlign w:val="bottom"/>
          </w:tcPr>
          <w:p>
            <w:pPr>
              <w:spacing w:after="0"/>
              <w:rPr>
                <w:sz w:val="18"/>
                <w:szCs w:val="18"/>
                <w:color w:val="auto"/>
              </w:rPr>
            </w:pPr>
          </w:p>
        </w:tc>
        <w:tc>
          <w:tcPr>
            <w:tcW w:w="8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vMerge w:val="restart"/>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40" w:type="dxa"/>
            <w:vAlign w:val="bottom"/>
            <w:vMerge w:val="restart"/>
          </w:tcPr>
          <w:p>
            <w:pPr>
              <w:ind w:left="900"/>
              <w:spacing w:after="0"/>
              <w:rPr>
                <w:sz w:val="20"/>
                <w:szCs w:val="20"/>
                <w:color w:val="auto"/>
              </w:rPr>
            </w:pPr>
            <w:r>
              <w:rPr>
                <w:rFonts w:ascii="Arial" w:cs="Arial" w:eastAsia="Arial" w:hAnsi="Arial"/>
                <w:sz w:val="18"/>
                <w:szCs w:val="18"/>
                <w:color w:val="auto"/>
                <w:w w:val="95"/>
              </w:rPr>
              <w:t>registered public accounting firm for the fiscal year</w:t>
            </w:r>
          </w:p>
        </w:tc>
        <w:tc>
          <w:tcPr>
            <w:tcW w:w="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7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900"/>
              <w:spacing w:after="0"/>
              <w:rPr>
                <w:sz w:val="20"/>
                <w:szCs w:val="20"/>
                <w:color w:val="auto"/>
              </w:rPr>
            </w:pPr>
            <w:r>
              <w:rPr>
                <w:rFonts w:ascii="Arial" w:cs="Arial" w:eastAsia="Arial" w:hAnsi="Arial"/>
                <w:sz w:val="18"/>
                <w:szCs w:val="18"/>
                <w:color w:val="auto"/>
              </w:rPr>
              <w:t>ending December 31, 2016.</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 3</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à</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AGAINST</w:t>
            </w: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ABSTAIN</w:t>
            </w: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900"/>
              <w:spacing w:after="0" w:line="201" w:lineRule="exact"/>
              <w:rPr>
                <w:sz w:val="20"/>
                <w:szCs w:val="20"/>
                <w:color w:val="auto"/>
              </w:rPr>
            </w:pPr>
            <w:r>
              <w:rPr>
                <w:rFonts w:ascii="Arial" w:cs="Arial" w:eastAsia="Arial" w:hAnsi="Arial"/>
                <w:sz w:val="18"/>
                <w:szCs w:val="18"/>
                <w:color w:val="auto"/>
                <w:w w:val="96"/>
              </w:rPr>
              <w:t>Approval, on an advisory basis, the compensation</w:t>
            </w:r>
          </w:p>
        </w:tc>
        <w:tc>
          <w:tcPr>
            <w:tcW w:w="380" w:type="dxa"/>
            <w:vAlign w:val="bottom"/>
          </w:tcPr>
          <w:p>
            <w:pPr>
              <w:spacing w:after="0"/>
              <w:rPr>
                <w:sz w:val="17"/>
                <w:szCs w:val="17"/>
                <w:color w:val="auto"/>
              </w:rPr>
            </w:pPr>
          </w:p>
        </w:tc>
        <w:tc>
          <w:tcPr>
            <w:tcW w:w="8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vMerge w:val="restart"/>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40" w:type="dxa"/>
            <w:vAlign w:val="bottom"/>
            <w:vMerge w:val="restart"/>
          </w:tcPr>
          <w:p>
            <w:pPr>
              <w:ind w:left="900"/>
              <w:spacing w:after="0"/>
              <w:rPr>
                <w:sz w:val="20"/>
                <w:szCs w:val="20"/>
                <w:color w:val="auto"/>
              </w:rPr>
            </w:pPr>
            <w:r>
              <w:rPr>
                <w:rFonts w:ascii="Arial" w:cs="Arial" w:eastAsia="Arial" w:hAnsi="Arial"/>
                <w:sz w:val="18"/>
                <w:szCs w:val="18"/>
                <w:color w:val="auto"/>
              </w:rPr>
              <w:t>of the Company’s named executive officers.</w:t>
            </w:r>
          </w:p>
        </w:tc>
        <w:tc>
          <w:tcPr>
            <w:tcW w:w="3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7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 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900"/>
              <w:spacing w:after="0" w:line="201" w:lineRule="exact"/>
              <w:rPr>
                <w:sz w:val="20"/>
                <w:szCs w:val="20"/>
                <w:color w:val="auto"/>
              </w:rPr>
            </w:pPr>
            <w:r>
              <w:rPr>
                <w:rFonts w:ascii="Arial" w:cs="Arial" w:eastAsia="Arial" w:hAnsi="Arial"/>
                <w:sz w:val="18"/>
                <w:szCs w:val="18"/>
                <w:color w:val="auto"/>
                <w:w w:val="92"/>
              </w:rPr>
              <w:t>Transaction of such other business as may properly</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900"/>
              <w:spacing w:after="0"/>
              <w:rPr>
                <w:sz w:val="20"/>
                <w:szCs w:val="20"/>
                <w:color w:val="auto"/>
              </w:rPr>
            </w:pPr>
            <w:r>
              <w:rPr>
                <w:rFonts w:ascii="Arial" w:cs="Arial" w:eastAsia="Arial" w:hAnsi="Arial"/>
                <w:sz w:val="18"/>
                <w:szCs w:val="18"/>
                <w:color w:val="auto"/>
              </w:rPr>
              <w:t>come before the meeting or any adjournment or</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900"/>
              <w:spacing w:after="0"/>
              <w:rPr>
                <w:sz w:val="20"/>
                <w:szCs w:val="20"/>
                <w:color w:val="auto"/>
              </w:rPr>
            </w:pPr>
            <w:r>
              <w:rPr>
                <w:rFonts w:ascii="Arial" w:cs="Arial" w:eastAsia="Arial" w:hAnsi="Arial"/>
                <w:sz w:val="18"/>
                <w:szCs w:val="18"/>
                <w:color w:val="auto"/>
              </w:rPr>
              <w:t>postponement thereof.</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60"/>
        <w:spacing w:after="0" w:line="254" w:lineRule="auto"/>
        <w:rPr>
          <w:sz w:val="20"/>
          <w:szCs w:val="20"/>
          <w:color w:val="auto"/>
        </w:rPr>
      </w:pPr>
      <w:r>
        <w:rPr>
          <w:rFonts w:ascii="Arial" w:cs="Arial" w:eastAsia="Arial" w:hAnsi="Arial"/>
          <w:sz w:val="18"/>
          <w:szCs w:val="18"/>
          <w:b w:val="1"/>
          <w:bCs w:val="1"/>
          <w:color w:val="auto"/>
        </w:rPr>
        <w:t>THE BOARD OF DIRECTORS RECOMMENDS THAT STOCKHOLDERS VOTE “FOR” THE ELECTION OF EACH OF THE NOMINEES FOR DIRECTOR, “FOR” THE RATIFICATION OF THE SELECTION OF KMJ CORBIN &amp; COMPANY LLP AS THE COMPANY’S INDEPENDENT REGISTERED PUBLIC ACCOUNTING FIRM FOR THE FISCAL YEAR ENDING DECEMBER 31, 2016, AND “FOR” THE APPROVAL OF THE COMPENSATION OF OUR NAMED EXECUTIVE OFFICERS ON AN ADVISORY BASIS.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“X” HERE IF YOU PLAN TO ATTEND THE MEETING:</w:t>
      </w:r>
    </w:p>
    <w:p>
      <w:pPr>
        <w:spacing w:after="0" w:line="22"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3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MARK HERE FOR ADDRESS CHANGE  </w:t>
      </w:r>
      <w:r>
        <w:rPr>
          <w:rFonts w:ascii="MS PGothic" w:cs="MS PGothic" w:eastAsia="MS PGothic" w:hAnsi="MS PGothic"/>
          <w:sz w:val="18"/>
          <w:szCs w:val="18"/>
          <w:color w:val="auto"/>
        </w:rPr>
        <w:t>☐</w:t>
      </w:r>
      <w:r>
        <w:rPr>
          <w:rFonts w:ascii="Arial" w:cs="Arial" w:eastAsia="Arial" w:hAnsi="Arial"/>
          <w:sz w:val="18"/>
          <w:szCs w:val="18"/>
          <w:color w:val="auto"/>
        </w:rPr>
        <w:t xml:space="preserve"> New Address (if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____________________________</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Please sign exactly as your name or names appear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33534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 of Stockholder and/or Joint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33534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33534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2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(Second 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372745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2">
        <w:col w:w="5420" w:space="720"/>
        <w:col w:w="5280"/>
      </w:cols>
      <w:pgMar w:left="240" w:top="7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o"/>
      <w:numFmt w:val="bullet"/>
      <w:start w:val="1"/>
    </w:lvl>
    <w:lvl w:ilvl="1">
      <w:lvlJc w:val="left"/>
      <w:lvlText w:val="(%2)"/>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2"/>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8"/>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lowerRoman"/>
      <w:start w:val="3"/>
    </w:lvl>
  </w:abstractNum>
  <w:abstractNum w:abstractNumId="16">
    <w:nsid w:val="7C83E458"/>
    <w:multiLevelType w:val="hybridMultilevel"/>
    <w:lvl w:ilvl="0">
      <w:lvlJc w:val="left"/>
      <w:lvlText w:val="(%1)"/>
      <w:numFmt w:val="lowerRoman"/>
      <w:start w:val="4"/>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2020-01-20T07:07:38Z</dcterms:created>
  <dcterms:modified xsi:type="dcterms:W3CDTF">2020-01-20T07:07:38Z</dcterms:modified>
</cp:coreProperties>
</file>