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of Incorporation)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102 Woodmont Blvd., Suite 610</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37205</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5500" w:type="dxa"/>
            <w:vAlign w:val="bottom"/>
          </w:tcPr>
          <w:p>
            <w:pPr>
              <w:spacing w:after="0"/>
              <w:rPr>
                <w:sz w:val="24"/>
                <w:szCs w:val="24"/>
                <w:color w:val="auto"/>
              </w:rPr>
            </w:pPr>
          </w:p>
        </w:tc>
      </w:tr>
      <w:tr>
        <w:trPr>
          <w:trHeight w:val="41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 be Registered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 Class is to be Registered</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11.875% Senior Notes due 2027</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333-265244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class of securities to be registered hereby is the 11.875% Senior Notes due 2027 (the “</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of Harrow Health,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a description of the Senior Notes, reference is made to (i) the information under the heading “Description of the Debt Securities” in the Company’s shelf registration statement on Form S-3 (Registration No. 333-265244) initially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May 26, 2022, and declared effective by the Commission on June 6, 2022, and (ii) the information under the heading “Description of the Notes” included in the Prospectus Supplement dated December 15, 2022 with respect to the Senior Notes, filed with the Commission pursuant to Rule 424(b) of the general rules and regulations of the Securities Act on December 19, 2022, which information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220"/>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4">
        <w:r>
          <w:rPr>
            <w:rFonts w:ascii="Times New Roman" w:cs="Times New Roman" w:eastAsia="Times New Roman" w:hAnsi="Times New Roman"/>
            <w:sz w:val="18"/>
            <w:szCs w:val="18"/>
            <w:u w:val="single" w:color="auto"/>
            <w:color w:val="0000EE"/>
          </w:rPr>
          <w:t>Indenture, dated as of April 20, 2021, by and between the Company and U.S. Bank Trust Company, National Association (as successor to U.S.</w:t>
        </w:r>
      </w:hyperlink>
    </w:p>
    <w:p>
      <w:pPr>
        <w:spacing w:after="0" w:line="27" w:lineRule="exact"/>
        <w:rPr>
          <w:sz w:val="20"/>
          <w:szCs w:val="20"/>
          <w:color w:val="auto"/>
        </w:rPr>
      </w:pPr>
    </w:p>
    <w:p>
      <w:pPr>
        <w:ind w:left="660"/>
        <w:spacing w:after="0"/>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Bank National Association), as Trustee (incorporated herein by reference to Exhibit 4.1 of the Company’s Form 8-K filed on April 20, 2021).</w:t>
        </w:r>
      </w:hyperlink>
    </w:p>
    <w:p>
      <w:pPr>
        <w:spacing w:after="0" w:line="207" w:lineRule="exact"/>
        <w:rPr>
          <w:sz w:val="20"/>
          <w:szCs w:val="20"/>
          <w:color w:val="auto"/>
        </w:rPr>
      </w:pPr>
    </w:p>
    <w:p>
      <w:pPr>
        <w:ind w:left="660" w:hanging="435"/>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5">
        <w:r>
          <w:rPr>
            <w:rFonts w:ascii="Times New Roman" w:cs="Times New Roman" w:eastAsia="Times New Roman" w:hAnsi="Times New Roman"/>
            <w:sz w:val="18"/>
            <w:szCs w:val="18"/>
            <w:u w:val="single" w:color="auto"/>
            <w:color w:val="0000EE"/>
          </w:rPr>
          <w:t>Second Supplemental Indenture, dated as of December 20, 2022, by and between the Company and U.S. Bank Trust Company, National</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Association, as Trustee (incorporated herein by reference to Exhibit 4.2 of the Company’s Form 8-K filed on December 20, 2022).</w:t>
        </w:r>
      </w:hyperlink>
    </w:p>
    <w:p>
      <w:pPr>
        <w:spacing w:after="0" w:line="162" w:lineRule="exact"/>
        <w:rPr>
          <w:sz w:val="20"/>
          <w:szCs w:val="20"/>
          <w:color w:val="auto"/>
        </w:rPr>
      </w:pPr>
    </w:p>
    <w:p>
      <w:pPr>
        <w:ind w:left="220"/>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5">
        <w:r>
          <w:rPr>
            <w:rFonts w:ascii="Times New Roman" w:cs="Times New Roman" w:eastAsia="Times New Roman" w:hAnsi="Times New Roman"/>
            <w:sz w:val="17"/>
            <w:szCs w:val="17"/>
            <w:u w:val="single" w:color="auto"/>
            <w:color w:val="0000EE"/>
          </w:rPr>
          <w:t>Form of 11.875% Senior Notes due 2027 (included as Exhibit A to Exhibit 4.2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4" Type="http://schemas.openxmlformats.org/officeDocument/2006/relationships/hyperlink" Target="https://www.sec.gov/Archives/edgar/data/1360214/000149315221009249/ex4-1.htm" TargetMode="External"/><Relationship Id="rId15" Type="http://schemas.openxmlformats.org/officeDocument/2006/relationships/hyperlink" Target="https://www.sec.gov/Archives/edgar/data/1360214/000149315222036016/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2022-12-20T15:54:26Z</dcterms:created>
  <dcterms:modified xsi:type="dcterms:W3CDTF">2022-12-20T15:54:26Z</dcterms:modified>
</cp:coreProperties>
</file>