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267335</wp:posOffset>
            </wp:positionV>
            <wp:extent cx="726440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7465"/>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312420</wp:posOffset>
            </wp:positionV>
            <wp:extent cx="726440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14605"/>
                    </a:xfrm>
                    <a:prstGeom prst="rect">
                      <a:avLst/>
                    </a:prstGeom>
                    <a:noFill/>
                  </pic:spPr>
                </pic:pic>
              </a:graphicData>
            </a:graphic>
          </wp:anchor>
        </w:drawing>
        <w:t>UNITED STATES</w:t>
      </w:r>
    </w:p>
    <w:p>
      <w:pPr>
        <w:spacing w:after="0" w:line="23" w:lineRule="exact"/>
        <w:rPr>
          <w:sz w:val="24"/>
          <w:szCs w:val="24"/>
          <w:color w:val="auto"/>
        </w:rPr>
      </w:pPr>
    </w:p>
    <w:p>
      <w:pPr>
        <w:jc w:val="center"/>
        <w:ind w:right="-92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925"/>
        <w:spacing w:after="0"/>
        <w:rPr>
          <w:sz w:val="20"/>
          <w:szCs w:val="20"/>
          <w:color w:val="auto"/>
        </w:rPr>
      </w:pPr>
      <w:r>
        <w:rPr>
          <w:rFonts w:ascii="Arial" w:cs="Arial" w:eastAsia="Arial" w:hAnsi="Arial"/>
          <w:sz w:val="19"/>
          <w:szCs w:val="19"/>
          <w:b w:val="1"/>
          <w:bCs w:val="1"/>
          <w:color w:val="auto"/>
        </w:rPr>
        <w:t>Washington, D.C. 20549</w:t>
      </w:r>
    </w:p>
    <w:p>
      <w:pPr>
        <w:spacing w:after="0" w:line="147"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02" w:lineRule="exact"/>
        <w:rPr>
          <w:sz w:val="24"/>
          <w:szCs w:val="24"/>
          <w:color w:val="auto"/>
        </w:rPr>
      </w:pPr>
    </w:p>
    <w:p>
      <w:pPr>
        <w:jc w:val="center"/>
        <w:ind w:right="-925"/>
        <w:spacing w:after="0"/>
        <w:rPr>
          <w:sz w:val="20"/>
          <w:szCs w:val="20"/>
          <w:color w:val="auto"/>
        </w:rPr>
      </w:pPr>
      <w:r>
        <w:rPr>
          <w:rFonts w:ascii="Arial" w:cs="Arial" w:eastAsia="Arial" w:hAnsi="Arial"/>
          <w:sz w:val="16"/>
          <w:szCs w:val="16"/>
          <w:b w:val="1"/>
          <w:bCs w:val="1"/>
          <w:color w:val="auto"/>
        </w:rPr>
        <w:t>CURRENT REPORT</w:t>
      </w:r>
    </w:p>
    <w:p>
      <w:pPr>
        <w:spacing w:after="0" w:line="191" w:lineRule="exact"/>
        <w:rPr>
          <w:sz w:val="24"/>
          <w:szCs w:val="24"/>
          <w:color w:val="auto"/>
        </w:rPr>
      </w:pPr>
    </w:p>
    <w:p>
      <w:pPr>
        <w:jc w:val="center"/>
        <w:ind w:right="-925"/>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1" w:lineRule="exact"/>
        <w:rPr>
          <w:sz w:val="24"/>
          <w:szCs w:val="24"/>
          <w:color w:val="auto"/>
        </w:rPr>
      </w:pPr>
    </w:p>
    <w:p>
      <w:pPr>
        <w:jc w:val="center"/>
        <w:ind w:right="-925"/>
        <w:spacing w:after="0"/>
        <w:rPr>
          <w:sz w:val="20"/>
          <w:szCs w:val="20"/>
          <w:color w:val="auto"/>
        </w:rPr>
      </w:pPr>
      <w:r>
        <w:rPr>
          <w:rFonts w:ascii="Arial" w:cs="Arial" w:eastAsia="Arial" w:hAnsi="Arial"/>
          <w:sz w:val="16"/>
          <w:szCs w:val="16"/>
          <w:b w:val="1"/>
          <w:bCs w:val="1"/>
          <w:color w:val="auto"/>
        </w:rPr>
        <w:t>Date of Report (Date of earliest event reported): February 16, 2017</w:t>
      </w:r>
    </w:p>
    <w:p>
      <w:pPr>
        <w:spacing w:after="0" w:line="171" w:lineRule="exact"/>
        <w:rPr>
          <w:sz w:val="24"/>
          <w:szCs w:val="24"/>
          <w:color w:val="auto"/>
        </w:rPr>
      </w:pPr>
    </w:p>
    <w:p>
      <w:pPr>
        <w:jc w:val="center"/>
        <w:ind w:right="-925"/>
        <w:spacing w:after="0"/>
        <w:rPr>
          <w:sz w:val="20"/>
          <w:szCs w:val="20"/>
          <w:color w:val="auto"/>
        </w:rPr>
      </w:pPr>
      <w:r>
        <w:rPr>
          <w:rFonts w:ascii="Arial" w:cs="Arial" w:eastAsia="Arial" w:hAnsi="Arial"/>
          <w:sz w:val="28"/>
          <w:szCs w:val="28"/>
          <w:b w:val="1"/>
          <w:bCs w:val="1"/>
          <w:color w:val="auto"/>
        </w:rPr>
        <w:t>IMPRIMIS PHARMACEUTICALS, INC.</w:t>
      </w:r>
    </w:p>
    <w:p>
      <w:pPr>
        <w:spacing w:after="0" w:line="32" w:lineRule="exact"/>
        <w:rPr>
          <w:sz w:val="24"/>
          <w:szCs w:val="24"/>
          <w:color w:val="auto"/>
        </w:rPr>
      </w:pPr>
    </w:p>
    <w:p>
      <w:pPr>
        <w:ind w:left="4106"/>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526"/>
          </w:cols>
          <w:pgMar w:left="234" w:top="666" w:right="1139" w:bottom="1440" w:gutter="0" w:footer="0" w:header="0"/>
        </w:sectPr>
      </w:pPr>
    </w:p>
    <w:p>
      <w:pPr>
        <w:spacing w:after="0" w:line="173" w:lineRule="exact"/>
        <w:rPr>
          <w:sz w:val="24"/>
          <w:szCs w:val="24"/>
          <w:color w:val="auto"/>
        </w:rPr>
      </w:pPr>
    </w:p>
    <w:p>
      <w:pPr>
        <w:ind w:left="1526"/>
        <w:spacing w:after="0"/>
        <w:rPr>
          <w:sz w:val="20"/>
          <w:szCs w:val="20"/>
          <w:color w:val="auto"/>
        </w:rPr>
      </w:pPr>
      <w:r>
        <w:rPr>
          <w:rFonts w:ascii="Arial" w:cs="Arial" w:eastAsia="Arial" w:hAnsi="Arial"/>
          <w:sz w:val="16"/>
          <w:szCs w:val="16"/>
          <w:b w:val="1"/>
          <w:bCs w:val="1"/>
          <w:color w:val="auto"/>
        </w:rPr>
        <w:t>Delaware</w:t>
      </w:r>
    </w:p>
    <w:p>
      <w:pPr>
        <w:spacing w:after="0" w:line="19" w:lineRule="exact"/>
        <w:rPr>
          <w:sz w:val="24"/>
          <w:szCs w:val="24"/>
          <w:color w:val="auto"/>
        </w:rPr>
      </w:pPr>
    </w:p>
    <w:p>
      <w:pPr>
        <w:ind w:left="1006"/>
        <w:spacing w:after="0"/>
        <w:rPr>
          <w:sz w:val="20"/>
          <w:szCs w:val="20"/>
          <w:color w:val="auto"/>
        </w:rPr>
      </w:pPr>
      <w:r>
        <w:rPr>
          <w:rFonts w:ascii="Arial" w:cs="Arial" w:eastAsia="Arial" w:hAnsi="Arial"/>
          <w:sz w:val="13"/>
          <w:szCs w:val="13"/>
          <w:color w:val="auto"/>
        </w:rPr>
        <w:t>(State or other jurisdiction</w:t>
      </w:r>
    </w:p>
    <w:p>
      <w:pPr>
        <w:spacing w:after="0" w:line="38" w:lineRule="exact"/>
        <w:rPr>
          <w:sz w:val="24"/>
          <w:szCs w:val="24"/>
          <w:color w:val="auto"/>
        </w:rPr>
      </w:pPr>
    </w:p>
    <w:p>
      <w:pPr>
        <w:ind w:left="1306"/>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001-35814</w:t>
      </w:r>
    </w:p>
    <w:p>
      <w:pPr>
        <w:spacing w:after="0" w:line="19" w:lineRule="exact"/>
        <w:rPr>
          <w:sz w:val="24"/>
          <w:szCs w:val="24"/>
          <w:color w:val="auto"/>
        </w:rPr>
      </w:pPr>
    </w:p>
    <w:p>
      <w:pPr>
        <w:jc w:val="center"/>
        <w:ind w:right="2160"/>
        <w:spacing w:after="0"/>
        <w:rPr>
          <w:sz w:val="20"/>
          <w:szCs w:val="20"/>
          <w:color w:val="auto"/>
        </w:rPr>
      </w:pPr>
      <w:r>
        <w:rPr>
          <w:rFonts w:ascii="Arial" w:cs="Arial" w:eastAsia="Arial" w:hAnsi="Arial"/>
          <w:sz w:val="13"/>
          <w:szCs w:val="13"/>
          <w:color w:val="auto"/>
        </w:rPr>
        <w:t>(Commission</w:t>
      </w:r>
    </w:p>
    <w:p>
      <w:pPr>
        <w:spacing w:after="0" w:line="38" w:lineRule="exact"/>
        <w:rPr>
          <w:sz w:val="24"/>
          <w:szCs w:val="24"/>
          <w:color w:val="auto"/>
        </w:rPr>
      </w:pPr>
    </w:p>
    <w:p>
      <w:pPr>
        <w:jc w:val="center"/>
        <w:ind w:right="2160"/>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45-0567010</w:t>
      </w:r>
    </w:p>
    <w:p>
      <w:pPr>
        <w:spacing w:after="0" w:line="19"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(IRS Employer</w:t>
      </w:r>
    </w:p>
    <w:p>
      <w:pPr>
        <w:spacing w:after="0" w:line="4"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Identification No.)</w:t>
      </w:r>
    </w:p>
    <w:p>
      <w:pPr>
        <w:spacing w:after="0" w:line="209" w:lineRule="exact"/>
        <w:rPr>
          <w:sz w:val="24"/>
          <w:szCs w:val="24"/>
          <w:color w:val="auto"/>
        </w:rPr>
      </w:pPr>
    </w:p>
    <w:p>
      <w:pPr>
        <w:sectPr>
          <w:pgSz w:w="11900" w:h="16838" w:orient="portrait"/>
          <w:cols w:equalWidth="0" w:num="3">
            <w:col w:w="4586" w:space="720"/>
            <w:col w:w="3000" w:space="720"/>
            <w:col w:w="1500"/>
          </w:cols>
          <w:pgMar w:left="234" w:top="666" w:right="1139" w:bottom="1440" w:gutter="0" w:footer="0" w:header="0"/>
          <w:type w:val="continuous"/>
        </w:sectPr>
      </w:pPr>
    </w:p>
    <w:p>
      <w:pPr>
        <w:jc w:val="center"/>
        <w:ind w:right="1954"/>
        <w:spacing w:after="0"/>
        <w:rPr>
          <w:sz w:val="20"/>
          <w:szCs w:val="20"/>
          <w:color w:val="auto"/>
        </w:rPr>
      </w:pPr>
      <w:r>
        <w:rPr>
          <w:rFonts w:ascii="Arial" w:cs="Arial" w:eastAsia="Arial" w:hAnsi="Arial"/>
          <w:sz w:val="16"/>
          <w:szCs w:val="16"/>
          <w:b w:val="1"/>
          <w:bCs w:val="1"/>
          <w:color w:val="auto"/>
        </w:rPr>
        <w:t>12264 El Camino Real, Suite 350</w:t>
      </w:r>
    </w:p>
    <w:p>
      <w:pPr>
        <w:spacing w:after="0" w:line="19" w:lineRule="exact"/>
        <w:rPr>
          <w:sz w:val="24"/>
          <w:szCs w:val="24"/>
          <w:color w:val="auto"/>
        </w:rPr>
      </w:pPr>
    </w:p>
    <w:p>
      <w:pPr>
        <w:jc w:val="center"/>
        <w:ind w:right="1954"/>
        <w:spacing w:after="0"/>
        <w:rPr>
          <w:sz w:val="20"/>
          <w:szCs w:val="20"/>
          <w:color w:val="auto"/>
        </w:rPr>
      </w:pPr>
      <w:r>
        <w:rPr>
          <w:rFonts w:ascii="Arial" w:cs="Arial" w:eastAsia="Arial" w:hAnsi="Arial"/>
          <w:sz w:val="16"/>
          <w:szCs w:val="16"/>
          <w:b w:val="1"/>
          <w:bCs w:val="1"/>
          <w:color w:val="auto"/>
        </w:rPr>
        <w:t>San Diego, CA</w:t>
      </w:r>
    </w:p>
    <w:p>
      <w:pPr>
        <w:spacing w:after="0" w:line="4" w:lineRule="exact"/>
        <w:rPr>
          <w:sz w:val="24"/>
          <w:szCs w:val="24"/>
          <w:color w:val="auto"/>
        </w:rPr>
      </w:pPr>
    </w:p>
    <w:p>
      <w:pPr>
        <w:jc w:val="center"/>
        <w:ind w:right="1954"/>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92130</w:t>
      </w:r>
    </w:p>
    <w:p>
      <w:pPr>
        <w:spacing w:after="0" w:line="19"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566" w:space="720"/>
            <w:col w:w="2240"/>
          </w:cols>
          <w:pgMar w:left="234" w:top="666" w:right="1139" w:bottom="1440" w:gutter="0" w:footer="0" w:header="0"/>
          <w:type w:val="continuous"/>
        </w:sectPr>
      </w:pPr>
    </w:p>
    <w:p>
      <w:pPr>
        <w:spacing w:after="0" w:line="10" w:lineRule="exact"/>
        <w:rPr>
          <w:sz w:val="24"/>
          <w:szCs w:val="24"/>
          <w:color w:val="auto"/>
        </w:rPr>
      </w:pPr>
    </w:p>
    <w:p>
      <w:pPr>
        <w:jc w:val="center"/>
        <w:ind w:right="-905"/>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(858) 704-4040</w:t>
      </w:r>
    </w:p>
    <w:p>
      <w:pPr>
        <w:spacing w:after="0" w:line="191" w:lineRule="exact"/>
        <w:rPr>
          <w:sz w:val="24"/>
          <w:szCs w:val="24"/>
          <w:color w:val="auto"/>
        </w:rPr>
      </w:pPr>
    </w:p>
    <w:p>
      <w:pPr>
        <w:jc w:val="center"/>
        <w:ind w:right="-905"/>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2180590</wp:posOffset>
            </wp:positionH>
            <wp:positionV relativeFrom="paragraph">
              <wp:posOffset>12700</wp:posOffset>
            </wp:positionV>
            <wp:extent cx="290258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2585" cy="14605"/>
                    </a:xfrm>
                    <a:prstGeom prst="rect">
                      <a:avLst/>
                    </a:prstGeom>
                    <a:noFill/>
                  </pic:spPr>
                </pic:pic>
              </a:graphicData>
            </a:graphic>
          </wp:anchor>
        </w:drawing>
      </w:r>
    </w:p>
    <w:p>
      <w:pPr>
        <w:spacing w:after="0" w:line="23" w:lineRule="exact"/>
        <w:rPr>
          <w:sz w:val="24"/>
          <w:szCs w:val="24"/>
          <w:color w:val="auto"/>
        </w:rPr>
      </w:pPr>
    </w:p>
    <w:p>
      <w:pPr>
        <w:jc w:val="center"/>
        <w:ind w:right="-905"/>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1" w:lineRule="exact"/>
        <w:rPr>
          <w:sz w:val="24"/>
          <w:szCs w:val="24"/>
          <w:color w:val="auto"/>
        </w:rPr>
      </w:pPr>
    </w:p>
    <w:p>
      <w:pPr>
        <w:ind w:left="6"/>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26" w:lineRule="exact"/>
        <w:rPr>
          <w:sz w:val="24"/>
          <w:szCs w:val="24"/>
          <w:color w:val="auto"/>
        </w:rPr>
      </w:pPr>
    </w:p>
    <w:p>
      <w:pPr>
        <w:ind w:left="126" w:hanging="126"/>
        <w:spacing w:after="0"/>
        <w:tabs>
          <w:tab w:leader="none" w:pos="126"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Written communications pursuant to Rule 425 under the Securities Act (17 CFR 230.425)</w:t>
      </w:r>
    </w:p>
    <w:p>
      <w:pPr>
        <w:spacing w:after="0" w:line="191" w:lineRule="exact"/>
        <w:rPr>
          <w:rFonts w:ascii="Arial" w:cs="Arial" w:eastAsia="Arial" w:hAnsi="Arial"/>
          <w:sz w:val="16"/>
          <w:szCs w:val="16"/>
          <w:color w:val="auto"/>
        </w:rPr>
      </w:pPr>
    </w:p>
    <w:p>
      <w:pPr>
        <w:ind w:left="126" w:hanging="126"/>
        <w:spacing w:after="0"/>
        <w:tabs>
          <w:tab w:leader="none" w:pos="126"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Soliciting material pursuant to Rule 14a-12 under the Exchange Act (17 CFR 240.14a-12)</w:t>
      </w:r>
    </w:p>
    <w:p>
      <w:pPr>
        <w:spacing w:after="0" w:line="191" w:lineRule="exact"/>
        <w:rPr>
          <w:rFonts w:ascii="Arial" w:cs="Arial" w:eastAsia="Arial" w:hAnsi="Arial"/>
          <w:sz w:val="16"/>
          <w:szCs w:val="16"/>
          <w:color w:val="auto"/>
        </w:rPr>
      </w:pPr>
    </w:p>
    <w:p>
      <w:pPr>
        <w:ind w:left="126" w:hanging="126"/>
        <w:spacing w:after="0"/>
        <w:tabs>
          <w:tab w:leader="none" w:pos="126"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Pre-commencement communications pursuant to Rule 14d-2(b) under the Exchange Act (17 CFR 240.14d-2(b))</w:t>
      </w:r>
    </w:p>
    <w:p>
      <w:pPr>
        <w:spacing w:after="0" w:line="191" w:lineRule="exact"/>
        <w:rPr>
          <w:rFonts w:ascii="Arial" w:cs="Arial" w:eastAsia="Arial" w:hAnsi="Arial"/>
          <w:sz w:val="16"/>
          <w:szCs w:val="16"/>
          <w:color w:val="auto"/>
        </w:rPr>
      </w:pPr>
    </w:p>
    <w:p>
      <w:pPr>
        <w:ind w:left="126" w:hanging="126"/>
        <w:spacing w:after="0"/>
        <w:tabs>
          <w:tab w:leader="none" w:pos="126"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26440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726440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37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434340</wp:posOffset>
            </wp:positionV>
            <wp:extent cx="726440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14605"/>
                    </a:xfrm>
                    <a:prstGeom prst="rect">
                      <a:avLst/>
                    </a:prstGeom>
                    <a:noFill/>
                  </pic:spPr>
                </pic:pic>
              </a:graphicData>
            </a:graphic>
          </wp:anchor>
        </w:drawing>
      </w:r>
    </w:p>
    <w:p>
      <w:pPr>
        <w:sectPr>
          <w:pgSz w:w="11900" w:h="16838" w:orient="portrait"/>
          <w:cols w:equalWidth="0" w:num="1">
            <w:col w:w="10526"/>
          </w:cols>
          <w:pgMar w:left="234" w:top="666" w:right="1139"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95" w:lineRule="exact"/>
        <w:rPr>
          <w:sz w:val="20"/>
          <w:szCs w:val="20"/>
          <w:color w:val="auto"/>
        </w:rPr>
      </w:pPr>
    </w:p>
    <w:p>
      <w:pPr>
        <w:jc w:val="both"/>
        <w:ind w:left="6" w:right="20" w:firstLine="563"/>
        <w:spacing w:after="0" w:line="380" w:lineRule="auto"/>
        <w:rPr>
          <w:sz w:val="20"/>
          <w:szCs w:val="20"/>
          <w:color w:val="auto"/>
        </w:rPr>
      </w:pPr>
      <w:r>
        <w:rPr>
          <w:rFonts w:ascii="Arial" w:cs="Arial" w:eastAsia="Arial" w:hAnsi="Arial"/>
          <w:sz w:val="13"/>
          <w:szCs w:val="13"/>
          <w:color w:val="auto"/>
        </w:rPr>
        <w:t>On February 16, 2017, Imprimis Pharmaceuticals, Inc. (the “Company”) issued a press release which contained certain preliminary unaudited sales estimates of the company’s ophthalmology business for the fourth quarter ended December 31, 2016. The press release is being furnished as Exhibit 99.1 to this Current Report on Form 8-K.</w:t>
      </w:r>
    </w:p>
    <w:p>
      <w:pPr>
        <w:spacing w:after="0" w:line="89" w:lineRule="exact"/>
        <w:rPr>
          <w:sz w:val="20"/>
          <w:szCs w:val="20"/>
          <w:color w:val="auto"/>
        </w:rPr>
      </w:pPr>
    </w:p>
    <w:p>
      <w:pPr>
        <w:jc w:val="both"/>
        <w:ind w:left="6" w:firstLine="563"/>
        <w:spacing w:after="0" w:line="251" w:lineRule="auto"/>
        <w:rPr>
          <w:sz w:val="20"/>
          <w:szCs w:val="20"/>
          <w:color w:val="auto"/>
        </w:rPr>
      </w:pPr>
      <w:r>
        <w:rPr>
          <w:rFonts w:ascii="Arial" w:cs="Arial" w:eastAsia="Arial" w:hAnsi="Arial"/>
          <w:sz w:val="16"/>
          <w:szCs w:val="16"/>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68" w:lineRule="exact"/>
        <w:rPr>
          <w:sz w:val="20"/>
          <w:szCs w:val="20"/>
          <w:color w:val="auto"/>
        </w:rPr>
      </w:pPr>
    </w:p>
    <w:p>
      <w:pPr>
        <w:jc w:val="both"/>
        <w:ind w:left="6" w:right="20" w:firstLine="563"/>
        <w:spacing w:after="0" w:line="254" w:lineRule="auto"/>
        <w:rPr>
          <w:sz w:val="20"/>
          <w:szCs w:val="20"/>
          <w:color w:val="auto"/>
        </w:rPr>
      </w:pPr>
      <w:r>
        <w:rPr>
          <w:rFonts w:ascii="Arial" w:cs="Arial" w:eastAsia="Arial" w:hAnsi="Arial"/>
          <w:sz w:val="16"/>
          <w:szCs w:val="16"/>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7.01. Regulation FD Disclosure</w:t>
      </w:r>
    </w:p>
    <w:p>
      <w:pPr>
        <w:spacing w:after="0" w:line="195" w:lineRule="exact"/>
        <w:rPr>
          <w:sz w:val="20"/>
          <w:szCs w:val="20"/>
          <w:color w:val="auto"/>
        </w:rPr>
      </w:pPr>
    </w:p>
    <w:p>
      <w:pPr>
        <w:jc w:val="both"/>
        <w:ind w:left="6" w:right="20" w:firstLine="563"/>
        <w:spacing w:after="0" w:line="264" w:lineRule="auto"/>
        <w:rPr>
          <w:sz w:val="20"/>
          <w:szCs w:val="20"/>
          <w:color w:val="auto"/>
        </w:rPr>
      </w:pPr>
      <w:r>
        <w:rPr>
          <w:rFonts w:ascii="Arial" w:cs="Arial" w:eastAsia="Arial" w:hAnsi="Arial"/>
          <w:sz w:val="16"/>
          <w:szCs w:val="16"/>
          <w:color w:val="auto"/>
        </w:rPr>
        <w:t>Attached as Exhibit 99.2 to this Item 7.01 is a presentation that is being used by the management of Imprimis Pharmaceuticals, Inc. (the “Company”) at investor conferences and at meetings describing the Company.</w:t>
      </w:r>
    </w:p>
    <w:p>
      <w:pPr>
        <w:spacing w:after="0" w:line="158" w:lineRule="exact"/>
        <w:rPr>
          <w:sz w:val="20"/>
          <w:szCs w:val="20"/>
          <w:color w:val="auto"/>
        </w:rPr>
      </w:pPr>
    </w:p>
    <w:p>
      <w:pPr>
        <w:jc w:val="both"/>
        <w:ind w:left="6" w:right="20" w:firstLine="563"/>
        <w:spacing w:after="0" w:line="254" w:lineRule="auto"/>
        <w:rPr>
          <w:sz w:val="20"/>
          <w:szCs w:val="20"/>
          <w:color w:val="auto"/>
        </w:rPr>
      </w:pPr>
      <w:r>
        <w:rPr>
          <w:rFonts w:ascii="Arial" w:cs="Arial" w:eastAsia="Arial" w:hAnsi="Arial"/>
          <w:sz w:val="16"/>
          <w:szCs w:val="16"/>
          <w:color w:val="auto"/>
        </w:rPr>
        <w:t>The information contained in Item 7.01 of this report and in Exhibit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1" w:lineRule="exact"/>
        <w:rPr>
          <w:sz w:val="20"/>
          <w:szCs w:val="20"/>
          <w:color w:val="auto"/>
        </w:rPr>
      </w:pPr>
    </w:p>
    <w:p>
      <w:pPr>
        <w:ind w:left="806" w:hanging="806"/>
        <w:spacing w:after="0"/>
        <w:tabs>
          <w:tab w:leader="none" w:pos="80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540" w:type="dxa"/>
            <w:vAlign w:val="bottom"/>
          </w:tcPr>
          <w:p>
            <w:pPr>
              <w:jc w:val="right"/>
              <w:ind w:right="202"/>
              <w:spacing w:after="0"/>
              <w:rPr>
                <w:sz w:val="20"/>
                <w:szCs w:val="20"/>
                <w:color w:val="auto"/>
              </w:rPr>
            </w:pPr>
            <w:r>
              <w:rPr>
                <w:rFonts w:ascii="Arial" w:cs="Arial" w:eastAsia="Arial" w:hAnsi="Arial"/>
                <w:sz w:val="16"/>
                <w:szCs w:val="16"/>
                <w:color w:val="auto"/>
                <w:w w:val="76"/>
              </w:rPr>
              <w:t>99.1</w:t>
            </w:r>
          </w:p>
        </w:tc>
        <w:tc>
          <w:tcPr>
            <w:tcW w:w="10900" w:type="dxa"/>
            <w:vAlign w:val="bottom"/>
          </w:tcPr>
          <w:p>
            <w:pPr>
              <w:ind w:left="260"/>
              <w:spacing w:after="0"/>
              <w:rPr>
                <w:sz w:val="20"/>
                <w:szCs w:val="20"/>
                <w:color w:val="auto"/>
              </w:rPr>
            </w:pPr>
            <w:r>
              <w:rPr>
                <w:rFonts w:ascii="Arial" w:cs="Arial" w:eastAsia="Arial" w:hAnsi="Arial"/>
                <w:sz w:val="16"/>
                <w:szCs w:val="16"/>
                <w:color w:val="auto"/>
              </w:rPr>
              <w:t>Press release dated February 16, 2017 issued by Imprimis Pharmaceuticals, Inc.</w:t>
            </w:r>
          </w:p>
        </w:tc>
      </w:tr>
      <w:tr>
        <w:trPr>
          <w:trHeight w:val="375"/>
        </w:trPr>
        <w:tc>
          <w:tcPr>
            <w:tcW w:w="540" w:type="dxa"/>
            <w:vAlign w:val="bottom"/>
          </w:tcPr>
          <w:p>
            <w:pPr>
              <w:jc w:val="right"/>
              <w:ind w:right="202"/>
              <w:spacing w:after="0"/>
              <w:rPr>
                <w:sz w:val="20"/>
                <w:szCs w:val="20"/>
                <w:color w:val="auto"/>
              </w:rPr>
            </w:pPr>
            <w:r>
              <w:rPr>
                <w:rFonts w:ascii="Arial" w:cs="Arial" w:eastAsia="Arial" w:hAnsi="Arial"/>
                <w:sz w:val="16"/>
                <w:szCs w:val="16"/>
                <w:color w:val="auto"/>
                <w:w w:val="76"/>
              </w:rPr>
              <w:t>99.2</w:t>
            </w:r>
          </w:p>
        </w:tc>
        <w:tc>
          <w:tcPr>
            <w:tcW w:w="10900" w:type="dxa"/>
            <w:vAlign w:val="bottom"/>
          </w:tcPr>
          <w:p>
            <w:pPr>
              <w:ind w:left="260"/>
              <w:spacing w:after="0"/>
              <w:rPr>
                <w:sz w:val="20"/>
                <w:szCs w:val="20"/>
                <w:color w:val="auto"/>
              </w:rPr>
            </w:pPr>
            <w:r>
              <w:rPr>
                <w:rFonts w:ascii="Arial" w:cs="Arial" w:eastAsia="Arial" w:hAnsi="Arial"/>
                <w:sz w:val="16"/>
                <w:szCs w:val="16"/>
                <w:color w:val="auto"/>
              </w:rPr>
              <w:t>Imprimis Pharmaceuticals, Inc. presentation dated February 2017</w:t>
            </w:r>
          </w:p>
        </w:tc>
      </w:tr>
      <w:tr>
        <w:trPr>
          <w:trHeight w:val="379"/>
        </w:trPr>
        <w:tc>
          <w:tcPr>
            <w:tcW w:w="540" w:type="dxa"/>
            <w:vAlign w:val="bottom"/>
            <w:tcBorders>
              <w:bottom w:val="single" w:sz="8" w:color="auto"/>
            </w:tcBorders>
          </w:tcPr>
          <w:p>
            <w:pPr>
              <w:spacing w:after="0"/>
              <w:rPr>
                <w:sz w:val="24"/>
                <w:szCs w:val="24"/>
                <w:color w:val="auto"/>
              </w:rPr>
            </w:pPr>
          </w:p>
        </w:tc>
        <w:tc>
          <w:tcPr>
            <w:tcW w:w="10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6"/>
          </w:cols>
          <w:pgMar w:left="234" w:top="59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7780" w:type="dxa"/>
            <w:vAlign w:val="bottom"/>
            <w:gridSpan w:val="2"/>
          </w:tcPr>
          <w:p>
            <w:pPr>
              <w:ind w:left="2060"/>
              <w:spacing w:after="0"/>
              <w:rPr>
                <w:sz w:val="20"/>
                <w:szCs w:val="20"/>
                <w:color w:val="auto"/>
              </w:rPr>
            </w:pPr>
            <w:r>
              <w:rPr>
                <w:rFonts w:ascii="Arial" w:cs="Arial" w:eastAsia="Arial" w:hAnsi="Arial"/>
                <w:sz w:val="16"/>
                <w:szCs w:val="16"/>
                <w:b w:val="1"/>
                <w:bCs w:val="1"/>
                <w:color w:val="auto"/>
              </w:rPr>
              <w:t>IMPRIMIS PHARMACEUTICALS, INC.</w:t>
            </w:r>
          </w:p>
        </w:tc>
      </w:tr>
      <w:tr>
        <w:trPr>
          <w:trHeight w:val="391"/>
        </w:trPr>
        <w:tc>
          <w:tcPr>
            <w:tcW w:w="3660" w:type="dxa"/>
            <w:vAlign w:val="bottom"/>
          </w:tcPr>
          <w:p>
            <w:pPr>
              <w:spacing w:after="0"/>
              <w:rPr>
                <w:sz w:val="20"/>
                <w:szCs w:val="20"/>
                <w:color w:val="auto"/>
              </w:rPr>
            </w:pPr>
            <w:r>
              <w:rPr>
                <w:rFonts w:ascii="Arial" w:cs="Arial" w:eastAsia="Arial" w:hAnsi="Arial"/>
                <w:sz w:val="16"/>
                <w:szCs w:val="16"/>
                <w:color w:val="auto"/>
              </w:rPr>
              <w:t>Dated: February 16, 2017</w:t>
            </w:r>
          </w:p>
        </w:tc>
        <w:tc>
          <w:tcPr>
            <w:tcW w:w="2620" w:type="dxa"/>
            <w:vAlign w:val="bottom"/>
          </w:tcPr>
          <w:p>
            <w:pPr>
              <w:ind w:left="206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Andrew R. Boll</w:t>
            </w:r>
          </w:p>
        </w:tc>
      </w:tr>
      <w:tr>
        <w:trPr>
          <w:trHeight w:val="175"/>
        </w:trPr>
        <w:tc>
          <w:tcPr>
            <w:tcW w:w="3660" w:type="dxa"/>
            <w:vAlign w:val="bottom"/>
          </w:tcPr>
          <w:p>
            <w:pPr>
              <w:spacing w:after="0"/>
              <w:rPr>
                <w:sz w:val="15"/>
                <w:szCs w:val="15"/>
                <w:color w:val="auto"/>
              </w:rPr>
            </w:pPr>
          </w:p>
        </w:tc>
        <w:tc>
          <w:tcPr>
            <w:tcW w:w="2620" w:type="dxa"/>
            <w:vAlign w:val="bottom"/>
          </w:tcPr>
          <w:p>
            <w:pPr>
              <w:ind w:left="2060"/>
              <w:spacing w:after="0" w:line="175" w:lineRule="exact"/>
              <w:rPr>
                <w:sz w:val="20"/>
                <w:szCs w:val="20"/>
                <w:color w:val="auto"/>
              </w:rPr>
            </w:pPr>
            <w:r>
              <w:rPr>
                <w:rFonts w:ascii="Arial" w:cs="Arial" w:eastAsia="Arial" w:hAnsi="Arial"/>
                <w:sz w:val="16"/>
                <w:szCs w:val="16"/>
                <w:color w:val="auto"/>
              </w:rPr>
              <w:t>Name:</w:t>
            </w:r>
          </w:p>
        </w:tc>
        <w:tc>
          <w:tcPr>
            <w:tcW w:w="5160" w:type="dxa"/>
            <w:vAlign w:val="bottom"/>
          </w:tcPr>
          <w:p>
            <w:pPr>
              <w:spacing w:after="0" w:line="175" w:lineRule="exact"/>
              <w:rPr>
                <w:sz w:val="20"/>
                <w:szCs w:val="20"/>
                <w:color w:val="auto"/>
              </w:rPr>
            </w:pPr>
            <w:r>
              <w:rPr>
                <w:rFonts w:ascii="Arial" w:cs="Arial" w:eastAsia="Arial" w:hAnsi="Arial"/>
                <w:sz w:val="16"/>
                <w:szCs w:val="16"/>
                <w:color w:val="auto"/>
              </w:rPr>
              <w:t>Andrew R. Boll</w:t>
            </w:r>
          </w:p>
        </w:tc>
      </w:tr>
      <w:tr>
        <w:trPr>
          <w:trHeight w:val="199"/>
        </w:trPr>
        <w:tc>
          <w:tcPr>
            <w:tcW w:w="3660" w:type="dxa"/>
            <w:vAlign w:val="bottom"/>
          </w:tcPr>
          <w:p>
            <w:pPr>
              <w:spacing w:after="0"/>
              <w:rPr>
                <w:sz w:val="17"/>
                <w:szCs w:val="17"/>
                <w:color w:val="auto"/>
              </w:rPr>
            </w:pPr>
          </w:p>
        </w:tc>
        <w:tc>
          <w:tcPr>
            <w:tcW w:w="2620" w:type="dxa"/>
            <w:vAlign w:val="bottom"/>
          </w:tcPr>
          <w:p>
            <w:pPr>
              <w:ind w:left="2060"/>
              <w:spacing w:after="0"/>
              <w:rPr>
                <w:sz w:val="20"/>
                <w:szCs w:val="20"/>
                <w:color w:val="auto"/>
              </w:rPr>
            </w:pPr>
            <w:r>
              <w:rPr>
                <w:rFonts w:ascii="Arial" w:cs="Arial" w:eastAsia="Arial" w:hAnsi="Arial"/>
                <w:sz w:val="16"/>
                <w:szCs w:val="16"/>
                <w:color w:val="auto"/>
              </w:rPr>
              <w:t>Title:</w:t>
            </w:r>
          </w:p>
        </w:tc>
        <w:tc>
          <w:tcPr>
            <w:tcW w:w="51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379"/>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92"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0900" w:type="dxa"/>
            <w:vAlign w:val="bottom"/>
          </w:tcPr>
          <w:p>
            <w:pPr>
              <w:ind w:left="4560"/>
              <w:spacing w:after="0"/>
              <w:rPr>
                <w:sz w:val="20"/>
                <w:szCs w:val="20"/>
                <w:color w:val="auto"/>
              </w:rPr>
            </w:pPr>
            <w:r>
              <w:rPr>
                <w:rFonts w:ascii="Arial" w:cs="Arial" w:eastAsia="Arial" w:hAnsi="Arial"/>
                <w:sz w:val="16"/>
                <w:szCs w:val="16"/>
                <w:b w:val="1"/>
                <w:bCs w:val="1"/>
                <w:color w:val="auto"/>
              </w:rPr>
              <w:t>EXHIBIT INDEX</w:t>
            </w:r>
          </w:p>
        </w:tc>
      </w:tr>
      <w:tr>
        <w:trPr>
          <w:trHeight w:val="375"/>
        </w:trPr>
        <w:tc>
          <w:tcPr>
            <w:tcW w:w="540" w:type="dxa"/>
            <w:vAlign w:val="bottom"/>
          </w:tcPr>
          <w:p>
            <w:pPr>
              <w:jc w:val="right"/>
              <w:ind w:right="202"/>
              <w:spacing w:after="0"/>
              <w:rPr>
                <w:sz w:val="20"/>
                <w:szCs w:val="20"/>
                <w:color w:val="auto"/>
              </w:rPr>
            </w:pPr>
            <w:r>
              <w:rPr>
                <w:rFonts w:ascii="Arial" w:cs="Arial" w:eastAsia="Arial" w:hAnsi="Arial"/>
                <w:sz w:val="16"/>
                <w:szCs w:val="16"/>
                <w:color w:val="auto"/>
                <w:w w:val="76"/>
              </w:rPr>
              <w:t>99.1</w:t>
            </w:r>
          </w:p>
        </w:tc>
        <w:tc>
          <w:tcPr>
            <w:tcW w:w="10900" w:type="dxa"/>
            <w:vAlign w:val="bottom"/>
          </w:tcPr>
          <w:p>
            <w:pPr>
              <w:ind w:left="260"/>
              <w:spacing w:after="0"/>
              <w:rPr>
                <w:sz w:val="20"/>
                <w:szCs w:val="20"/>
                <w:color w:val="auto"/>
              </w:rPr>
            </w:pPr>
            <w:r>
              <w:rPr>
                <w:rFonts w:ascii="Arial" w:cs="Arial" w:eastAsia="Arial" w:hAnsi="Arial"/>
                <w:sz w:val="16"/>
                <w:szCs w:val="16"/>
                <w:color w:val="auto"/>
              </w:rPr>
              <w:t>Press release dated February 16, 2017 issued by Imprimis Pharmaceuticals, Inc.</w:t>
            </w:r>
          </w:p>
        </w:tc>
      </w:tr>
      <w:tr>
        <w:trPr>
          <w:trHeight w:val="375"/>
        </w:trPr>
        <w:tc>
          <w:tcPr>
            <w:tcW w:w="540" w:type="dxa"/>
            <w:vAlign w:val="bottom"/>
          </w:tcPr>
          <w:p>
            <w:pPr>
              <w:jc w:val="right"/>
              <w:ind w:right="202"/>
              <w:spacing w:after="0"/>
              <w:rPr>
                <w:sz w:val="20"/>
                <w:szCs w:val="20"/>
                <w:color w:val="auto"/>
              </w:rPr>
            </w:pPr>
            <w:r>
              <w:rPr>
                <w:rFonts w:ascii="Arial" w:cs="Arial" w:eastAsia="Arial" w:hAnsi="Arial"/>
                <w:sz w:val="16"/>
                <w:szCs w:val="16"/>
                <w:color w:val="auto"/>
                <w:w w:val="76"/>
              </w:rPr>
              <w:t>99.2</w:t>
            </w:r>
          </w:p>
        </w:tc>
        <w:tc>
          <w:tcPr>
            <w:tcW w:w="10900" w:type="dxa"/>
            <w:vAlign w:val="bottom"/>
          </w:tcPr>
          <w:p>
            <w:pPr>
              <w:ind w:left="260"/>
              <w:spacing w:after="0"/>
              <w:rPr>
                <w:sz w:val="20"/>
                <w:szCs w:val="20"/>
                <w:color w:val="auto"/>
              </w:rPr>
            </w:pPr>
            <w:r>
              <w:rPr>
                <w:rFonts w:ascii="Arial" w:cs="Arial" w:eastAsia="Arial" w:hAnsi="Arial"/>
                <w:sz w:val="16"/>
                <w:szCs w:val="16"/>
                <w:color w:val="auto"/>
              </w:rPr>
              <w:t>Imprimis Pharmaceuticals, Inc. presentation dated February 2017</w:t>
            </w:r>
          </w:p>
        </w:tc>
      </w:tr>
      <w:tr>
        <w:trPr>
          <w:trHeight w:val="379"/>
        </w:trPr>
        <w:tc>
          <w:tcPr>
            <w:tcW w:w="540" w:type="dxa"/>
            <w:vAlign w:val="bottom"/>
            <w:tcBorders>
              <w:bottom w:val="single" w:sz="8" w:color="auto"/>
            </w:tcBorders>
          </w:tcPr>
          <w:p>
            <w:pPr>
              <w:spacing w:after="0"/>
              <w:rPr>
                <w:sz w:val="24"/>
                <w:szCs w:val="24"/>
                <w:color w:val="auto"/>
              </w:rPr>
            </w:pPr>
          </w:p>
        </w:tc>
        <w:tc>
          <w:tcPr>
            <w:tcW w:w="10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92" w:right="21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208280</wp:posOffset>
            </wp:positionV>
            <wp:extent cx="1548130" cy="714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48130" cy="7143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Imprimis Pharmaceuticals Begins Dispensing from FDA-Registered 503B Outsourcing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Improved efficiencies and additional revenue opportunities expected for Imprimis’ ophthalmic portfolio</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3"/>
          <w:szCs w:val="13"/>
          <w:color w:val="auto"/>
        </w:rPr>
        <w:t>San Diego, Calif. – February 16, 2017 — Imprimis Pharmaceuticals, Inc. (NASDAQ: IMMY), an ophthalmology-focused pharmaceutical company, today announced that it has begun shipping its core sterile ophthalmic medications to select customers from its FDA-registered outsourcing facility without the need for a patient-specific prescription. Over the</w:t>
      </w:r>
    </w:p>
    <w:p>
      <w:pPr>
        <w:spacing w:after="0" w:line="1" w:lineRule="exact"/>
        <w:rPr>
          <w:sz w:val="20"/>
          <w:szCs w:val="20"/>
          <w:color w:val="auto"/>
        </w:rPr>
      </w:pPr>
    </w:p>
    <w:p>
      <w:pPr>
        <w:jc w:val="both"/>
        <w:ind w:right="20"/>
        <w:spacing w:after="0" w:line="203" w:lineRule="auto"/>
        <w:rPr>
          <w:sz w:val="20"/>
          <w:szCs w:val="20"/>
          <w:color w:val="auto"/>
        </w:rPr>
      </w:pPr>
      <w:r>
        <w:rPr>
          <w:rFonts w:ascii="Arial" w:cs="Arial" w:eastAsia="Arial" w:hAnsi="Arial"/>
          <w:sz w:val="16"/>
          <w:szCs w:val="16"/>
          <w:color w:val="auto"/>
        </w:rPr>
        <w:t xml:space="preserve">next few weeks Imprimis’ flagship </w:t>
      </w:r>
      <w:r>
        <w:rPr>
          <w:rFonts w:ascii="Arial" w:cs="Arial" w:eastAsia="Arial" w:hAnsi="Arial"/>
          <w:sz w:val="16"/>
          <w:szCs w:val="16"/>
          <w:u w:val="single" w:color="auto"/>
          <w:color w:val="auto"/>
        </w:rPr>
        <w:t>Dropless Therapy</w:t>
      </w:r>
      <w:r>
        <w:rPr>
          <w:rFonts w:ascii="Arial" w:cs="Arial" w:eastAsia="Arial" w:hAnsi="Arial"/>
          <w:sz w:val="26"/>
          <w:szCs w:val="26"/>
          <w:u w:val="single" w:color="auto"/>
          <w:color w:val="auto"/>
          <w:vertAlign w:val="superscript"/>
        </w:rPr>
        <w:t>®</w:t>
      </w:r>
      <w:r>
        <w:rPr>
          <w:rFonts w:ascii="Arial" w:cs="Arial" w:eastAsia="Arial" w:hAnsi="Arial"/>
          <w:sz w:val="16"/>
          <w:szCs w:val="16"/>
          <w:color w:val="auto"/>
        </w:rPr>
        <w:t xml:space="preserve"> injectable and </w:t>
      </w:r>
      <w:r>
        <w:rPr>
          <w:rFonts w:ascii="Arial" w:cs="Arial" w:eastAsia="Arial" w:hAnsi="Arial"/>
          <w:sz w:val="16"/>
          <w:szCs w:val="16"/>
          <w:u w:val="single" w:color="auto"/>
          <w:color w:val="auto"/>
        </w:rPr>
        <w:t>LessDrops</w:t>
      </w:r>
      <w:r>
        <w:rPr>
          <w:rFonts w:ascii="Arial" w:cs="Arial" w:eastAsia="Arial" w:hAnsi="Arial"/>
          <w:sz w:val="26"/>
          <w:szCs w:val="26"/>
          <w:u w:val="single" w:color="auto"/>
          <w:color w:val="auto"/>
          <w:vertAlign w:val="superscript"/>
        </w:rPr>
        <w:t>®</w:t>
      </w:r>
      <w:r>
        <w:rPr>
          <w:rFonts w:ascii="Arial" w:cs="Arial" w:eastAsia="Arial" w:hAnsi="Arial"/>
          <w:sz w:val="16"/>
          <w:szCs w:val="16"/>
          <w:color w:val="auto"/>
        </w:rPr>
        <w:t xml:space="preserve"> topical formulations will become available to all customers. New and existing customers can register for an ImprimisRx 503B account at </w:t>
      </w:r>
      <w:r>
        <w:rPr>
          <w:rFonts w:ascii="Arial" w:cs="Arial" w:eastAsia="Arial" w:hAnsi="Arial"/>
          <w:sz w:val="16"/>
          <w:szCs w:val="16"/>
          <w:u w:val="single" w:color="auto"/>
          <w:color w:val="auto"/>
        </w:rPr>
        <w:t>http://www.imprimisrx.com/503b-prereg/</w:t>
      </w:r>
      <w:r>
        <w:rPr>
          <w:rFonts w:ascii="Arial" w:cs="Arial" w:eastAsia="Arial" w:hAnsi="Arial"/>
          <w:sz w:val="16"/>
          <w:szCs w:val="16"/>
          <w:color w:val="auto"/>
        </w:rPr>
        <w: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Imprimis’ New Jersey-based outsourcing facility, which is equipped with robotics for automated filling and labeling of products, will initially produce and dispense Imprimis’ core sterile ophthalmic medications in compliance with current good manufacturing practice (cGMP) requirements for outsourcing facilities. Imprimis customers are now able to purchase Dropless and LessDrops medications in convenient 20-unit boxes without the need for patient-specific prescriptions. To facilitate expected growth, the company is introducing a new integrated order and fulfillment system that provides “online shopping cart-type” functionality that bypasses customer service and moves orders directly to the facility’s fulfillment center. Increased production, labor and ordering efficiencies are expected to result in improved customer satisfaction and increased margins.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Mark L. Baum, CEO of Imprimis, stated, “This is a significant milestone for our company. We believe sales and adoption of our core ophthalmic formulations will increase considerably as a result of simplifying the ordering process for physicians, hospitals, group purchasing organizations and surgery centers. The new facility will accommodate those customers who prefer, or in some cases, require medications purchased from an FDA-registered outsourcing facility compliant with the highest quality standards. We are confident the investments we have made in infrastructure, improvements in operating efficiencies and our senior leadership team have positioned us to meet the current and anticipated increase in demand in our core ophthalmic business.”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“Through our commitment to quality and innovation, Imprimis is making strong inroads into the ophthalmic pharmaceutical business. We expect our market capture trends to continue and increase as we move more business through our New Jersey outsourcing facility. We also believe the New Jersey outsourcing facility will be instrumental in realizing an increase in margins from the current low 50 percent range to greater than 60 percent in 2017. Our ophthalmology business growth was 20% in the fourth quarter 2016 versus the third quarter 2016, with preliminary unaudited ophthalmology sales of $3.6 million in the fourth quarter of 2016. Over 1,450 customers have adopted our Dropless and LessDrops medications and we have serviced over 600,000 cataract and refractive surgeries since mid-2014. A growing number of high-volume ophthalmic surgery practices, hospitals and ambulatory surgery centers throughout the U.S. have become customers and we expect this number to significantly increase with the opening of our new FDA-registered cGMP outsourcing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440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1460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6" w:name="page7"/>
    <w:bookmarkEnd w:id="6"/>
    <w:p>
      <w:pPr>
        <w:jc w:val="both"/>
        <w:spacing w:after="0" w:line="327" w:lineRule="auto"/>
        <w:rPr>
          <w:sz w:val="20"/>
          <w:szCs w:val="20"/>
          <w:color w:val="auto"/>
        </w:rPr>
      </w:pPr>
      <w:r>
        <w:rPr>
          <w:rFonts w:ascii="Arial" w:cs="Arial" w:eastAsia="Arial" w:hAnsi="Arial"/>
          <w:sz w:val="13"/>
          <w:szCs w:val="13"/>
          <w:color w:val="auto"/>
        </w:rPr>
        <w:t>“Based on our successes in ophthalmology, we plan to expand our ophthalmology program and introduce additional innovative medications in 2017 for glaucoma, wet age-related macular degeneration and diabetic macular edema, dry eye disease and ocular infection and inflammation. Our ophthalmology business currently represents 60 percent of total revenues and we expect this to increase to 80 percent in 2017 and beyond. The efficiency of our model allows us to quickly innovate and safely deliver high-quality novel and clinically-relevant products to the market with less complications and at lower costs for our customers than our traditional pharmaceutical company competitors.”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Imprimis Pharmaceuticals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www.ImprimisRx.com.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26440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14605"/>
                    </a:xfrm>
                    <a:prstGeom prst="rect">
                      <a:avLst/>
                    </a:prstGeom>
                    <a:noFill/>
                  </pic:spPr>
                </pic:pic>
              </a:graphicData>
            </a:graphic>
          </wp:anchor>
        </w:drawing>
      </w:r>
    </w:p>
    <w:p>
      <w:pPr>
        <w:sectPr>
          <w:pgSz w:w="11900" w:h="16838" w:orient="portrait"/>
          <w:cols w:equalWidth="0" w:num="1">
            <w:col w:w="11440"/>
          </w:cols>
          <w:pgMar w:left="240" w:top="596" w:right="219"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auto"/>
        </w:rPr>
        <w:t>Source: Imprimis Pharmaceuticals, Inc.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Deb Holliday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deb@pascalecommunications.com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412-877-4519</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Bonnie Ortega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bortega@imprimispharma.com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644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14605"/>
                    </a:xfrm>
                    <a:prstGeom prst="rect">
                      <a:avLst/>
                    </a:prstGeom>
                    <a:noFill/>
                  </pic:spPr>
                </pic:pic>
              </a:graphicData>
            </a:graphic>
          </wp:anchor>
        </w:drawing>
      </w:r>
    </w:p>
    <w:p>
      <w:pPr>
        <w:sectPr>
          <w:pgSz w:w="11900" w:h="16838" w:orient="portrait"/>
          <w:cols w:equalWidth="0" w:num="1">
            <w:col w:w="10219"/>
          </w:cols>
          <w:pgMar w:left="240" w:top="596" w:right="1440"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64400" cy="4823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629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4629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416560</wp:posOffset>
            </wp:positionV>
            <wp:extent cx="7264400" cy="4793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416560</wp:posOffset>
            </wp:positionV>
            <wp:extent cx="7319010" cy="5671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9010" cy="567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5090795</wp:posOffset>
            </wp:positionV>
            <wp:extent cx="72644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14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416560</wp:posOffset>
            </wp:positionV>
            <wp:extent cx="7264400" cy="4689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468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282575</wp:posOffset>
            </wp:positionV>
            <wp:extent cx="7264400" cy="4823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416560</wp:posOffset>
            </wp:positionV>
            <wp:extent cx="7264400" cy="4793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416560</wp:posOffset>
            </wp:positionV>
            <wp:extent cx="7264400" cy="4689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468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416560</wp:posOffset>
            </wp:positionV>
            <wp:extent cx="7264400" cy="4689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4400" cy="468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2020-01-16T08:17:46Z</dcterms:created>
  <dcterms:modified xsi:type="dcterms:W3CDTF">2020-01-16T08:17:46Z</dcterms:modified>
</cp:coreProperties>
</file>