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9,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HARROW,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3040" w:type="dxa"/>
            <w:vAlign w:val="bottom"/>
            <w:gridSpan w:val="3"/>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8"/>
              </w:rPr>
              <w:t>001-35814</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45-0567010</w:t>
            </w:r>
          </w:p>
        </w:tc>
      </w:tr>
      <w:tr>
        <w:trPr>
          <w:trHeight w:val="165"/>
        </w:trPr>
        <w:tc>
          <w:tcPr>
            <w:tcW w:w="2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(State or other jurisdiction</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color w:val="auto"/>
                <w:w w:val="97"/>
              </w:rPr>
              <w:t>(Commission</w:t>
            </w:r>
          </w:p>
        </w:tc>
        <w:tc>
          <w:tcPr>
            <w:tcW w:w="660" w:type="dxa"/>
            <w:vAlign w:val="bottom"/>
          </w:tcPr>
          <w:p>
            <w:pPr>
              <w:spacing w:after="0"/>
              <w:rPr>
                <w:sz w:val="14"/>
                <w:szCs w:val="14"/>
                <w:color w:val="auto"/>
              </w:rPr>
            </w:pPr>
          </w:p>
        </w:tc>
        <w:tc>
          <w:tcPr>
            <w:tcW w:w="28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of incorporation)</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3"/>
          </w:tcPr>
          <w:p>
            <w:pPr>
              <w:jc w:val="center"/>
              <w:ind w:right="1480"/>
              <w:spacing w:after="0"/>
              <w:rPr>
                <w:sz w:val="20"/>
                <w:szCs w:val="20"/>
                <w:color w:val="auto"/>
              </w:rPr>
            </w:pPr>
            <w:r>
              <w:rPr>
                <w:rFonts w:ascii="Times New Roman" w:cs="Times New Roman" w:eastAsia="Times New Roman" w:hAnsi="Times New Roman"/>
                <w:sz w:val="14"/>
                <w:szCs w:val="14"/>
                <w:color w:val="auto"/>
                <w:w w:val="97"/>
              </w:rPr>
              <w:t>File Number)</w:t>
            </w:r>
          </w:p>
        </w:tc>
        <w:tc>
          <w:tcPr>
            <w:tcW w:w="660" w:type="dxa"/>
            <w:vAlign w:val="bottom"/>
          </w:tcPr>
          <w:p>
            <w:pPr>
              <w:spacing w:after="0"/>
              <w:rPr>
                <w:sz w:val="15"/>
                <w:szCs w:val="15"/>
                <w:color w:val="auto"/>
              </w:rPr>
            </w:pPr>
          </w:p>
        </w:tc>
        <w:tc>
          <w:tcPr>
            <w:tcW w:w="28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13"/>
        </w:trPr>
        <w:tc>
          <w:tcPr>
            <w:tcW w:w="20" w:type="dxa"/>
            <w:vAlign w:val="bottom"/>
          </w:tcPr>
          <w:p>
            <w:pPr>
              <w:spacing w:after="0"/>
              <w:rPr>
                <w:sz w:val="24"/>
                <w:szCs w:val="2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9"/>
              </w:rPr>
              <w:t>1A Burton Hills Blvd., Suite 200</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720" w:type="dxa"/>
            <w:vAlign w:val="bottom"/>
            <w:gridSpan w:val="2"/>
          </w:tcPr>
          <w:p>
            <w:pPr>
              <w:jc w:val="center"/>
              <w:ind w:left="1711"/>
              <w:spacing w:after="0"/>
              <w:rPr>
                <w:sz w:val="20"/>
                <w:szCs w:val="20"/>
                <w:color w:val="auto"/>
              </w:rPr>
            </w:pPr>
            <w:r>
              <w:rPr>
                <w:rFonts w:ascii="Times New Roman" w:cs="Times New Roman" w:eastAsia="Times New Roman" w:hAnsi="Times New Roman"/>
                <w:sz w:val="14"/>
                <w:szCs w:val="14"/>
                <w:b w:val="1"/>
                <w:bCs w:val="1"/>
                <w:color w:val="auto"/>
                <w:w w:val="95"/>
              </w:rPr>
              <w:t>Nashville, Tennessee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80" w:type="dxa"/>
            <w:vAlign w:val="bottom"/>
            <w:gridSpan w:val="2"/>
          </w:tcPr>
          <w:p>
            <w:pPr>
              <w:jc w:val="right"/>
              <w:ind w:right="2511"/>
              <w:spacing w:after="0"/>
              <w:rPr>
                <w:sz w:val="20"/>
                <w:szCs w:val="20"/>
                <w:color w:val="auto"/>
              </w:rPr>
            </w:pPr>
            <w:r>
              <w:rPr>
                <w:rFonts w:ascii="Times New Roman" w:cs="Times New Roman" w:eastAsia="Times New Roman" w:hAnsi="Times New Roman"/>
                <w:sz w:val="14"/>
                <w:szCs w:val="14"/>
                <w:b w:val="1"/>
                <w:bCs w:val="1"/>
                <w:color w:val="auto"/>
              </w:rPr>
              <w:t>37215</w:t>
            </w:r>
          </w:p>
        </w:tc>
      </w:tr>
      <w:tr>
        <w:trPr>
          <w:trHeight w:val="179"/>
        </w:trPr>
        <w:tc>
          <w:tcPr>
            <w:tcW w:w="20" w:type="dxa"/>
            <w:vAlign w:val="bottom"/>
          </w:tcPr>
          <w:p>
            <w:pPr>
              <w:spacing w:after="0"/>
              <w:rPr>
                <w:sz w:val="15"/>
                <w:szCs w:val="15"/>
                <w:color w:val="auto"/>
              </w:rPr>
            </w:pPr>
          </w:p>
        </w:tc>
        <w:tc>
          <w:tcPr>
            <w:tcW w:w="7780" w:type="dxa"/>
            <w:vAlign w:val="bottom"/>
            <w:gridSpan w:val="7"/>
          </w:tcPr>
          <w:p>
            <w:pPr>
              <w:jc w:val="center"/>
              <w:ind w:right="228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3480" w:type="dxa"/>
            <w:vAlign w:val="bottom"/>
            <w:gridSpan w:val="2"/>
          </w:tcPr>
          <w:p>
            <w:pPr>
              <w:jc w:val="center"/>
              <w:ind w:right="197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3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(615) 733-4730</w:t>
            </w: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102 Woodmont Blvd., Suite 610, Nashville, TN 37205</w:t>
            </w:r>
          </w:p>
        </w:tc>
        <w:tc>
          <w:tcPr>
            <w:tcW w:w="660" w:type="dxa"/>
            <w:vAlign w:val="bottom"/>
            <w:tcBorders>
              <w:bottom w:val="single" w:sz="8" w:color="auto"/>
            </w:tcBorders>
          </w:tcPr>
          <w:p>
            <w:pPr>
              <w:spacing w:after="0"/>
              <w:rPr>
                <w:sz w:val="24"/>
                <w:szCs w:val="24"/>
                <w:color w:val="auto"/>
              </w:rPr>
            </w:pPr>
          </w:p>
        </w:tc>
        <w:tc>
          <w:tcPr>
            <w:tcW w:w="28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w w:val="98"/>
              </w:rPr>
              <w:t>(Former Name or Former Address, if Changed Since Last Report)</w:t>
            </w:r>
          </w:p>
        </w:tc>
        <w:tc>
          <w:tcPr>
            <w:tcW w:w="66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318"/>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720" w:type="dxa"/>
            <w:vAlign w:val="bottom"/>
            <w:gridSpan w:val="2"/>
          </w:tcPr>
          <w:p>
            <w:pPr>
              <w:jc w:val="center"/>
              <w:ind w:left="931"/>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w w:val="97"/>
              </w:rPr>
              <w:t>Trading Symbol(s)</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Name on exchange on which registered</w:t>
            </w:r>
          </w:p>
        </w:tc>
      </w:tr>
      <w:tr>
        <w:trPr>
          <w:trHeight w:val="153"/>
        </w:trPr>
        <w:tc>
          <w:tcPr>
            <w:tcW w:w="20" w:type="dxa"/>
            <w:vAlign w:val="bottom"/>
          </w:tcPr>
          <w:p>
            <w:pPr>
              <w:spacing w:after="0"/>
              <w:rPr>
                <w:sz w:val="13"/>
                <w:szCs w:val="13"/>
                <w:color w:val="auto"/>
              </w:rPr>
            </w:pPr>
          </w:p>
        </w:tc>
        <w:tc>
          <w:tcPr>
            <w:tcW w:w="3720" w:type="dxa"/>
            <w:vAlign w:val="bottom"/>
            <w:tcBorders>
              <w:top w:val="single" w:sz="8" w:color="auto"/>
            </w:tcBorders>
            <w:gridSpan w:val="2"/>
          </w:tcPr>
          <w:p>
            <w:pPr>
              <w:jc w:val="center"/>
              <w:ind w:left="911"/>
              <w:spacing w:after="0" w:line="153" w:lineRule="exact"/>
              <w:rPr>
                <w:sz w:val="20"/>
                <w:szCs w:val="20"/>
                <w:color w:val="auto"/>
              </w:rPr>
            </w:pPr>
            <w:r>
              <w:rPr>
                <w:rFonts w:ascii="Times New Roman" w:cs="Times New Roman" w:eastAsia="Times New Roman" w:hAnsi="Times New Roman"/>
                <w:sz w:val="14"/>
                <w:szCs w:val="14"/>
                <w:color w:val="auto"/>
                <w:w w:val="98"/>
              </w:rPr>
              <w:t>Common Stock, $0.001 par value per share</w:t>
            </w: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HROW</w:t>
            </w: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480" w:type="dxa"/>
            <w:vAlign w:val="bottom"/>
            <w:tcBorders>
              <w:top w:val="single" w:sz="8" w:color="auto"/>
            </w:tcBorders>
            <w:gridSpan w:val="2"/>
          </w:tcPr>
          <w:p>
            <w:pPr>
              <w:jc w:val="center"/>
              <w:ind w:right="711"/>
              <w:spacing w:after="0" w:line="153" w:lineRule="exact"/>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65"/>
        </w:trPr>
        <w:tc>
          <w:tcPr>
            <w:tcW w:w="20" w:type="dxa"/>
            <w:vAlign w:val="bottom"/>
          </w:tcPr>
          <w:p>
            <w:pPr>
              <w:spacing w:after="0"/>
              <w:rPr>
                <w:sz w:val="14"/>
                <w:szCs w:val="14"/>
                <w:color w:val="auto"/>
              </w:rPr>
            </w:pPr>
          </w:p>
        </w:tc>
        <w:tc>
          <w:tcPr>
            <w:tcW w:w="3720" w:type="dxa"/>
            <w:vAlign w:val="bottom"/>
            <w:gridSpan w:val="2"/>
          </w:tcPr>
          <w:p>
            <w:pPr>
              <w:jc w:val="center"/>
              <w:ind w:left="931"/>
              <w:spacing w:after="0"/>
              <w:rPr>
                <w:sz w:val="20"/>
                <w:szCs w:val="20"/>
                <w:color w:val="auto"/>
              </w:rPr>
            </w:pPr>
            <w:r>
              <w:rPr>
                <w:rFonts w:ascii="Times New Roman" w:cs="Times New Roman" w:eastAsia="Times New Roman" w:hAnsi="Times New Roman"/>
                <w:sz w:val="14"/>
                <w:szCs w:val="14"/>
                <w:color w:val="auto"/>
                <w:w w:val="98"/>
              </w:rPr>
              <w:t>8.625% Senior Notes due 2026</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w w:val="97"/>
              </w:rPr>
              <w:t>HROWL</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79"/>
        </w:trPr>
        <w:tc>
          <w:tcPr>
            <w:tcW w:w="20" w:type="dxa"/>
            <w:vAlign w:val="bottom"/>
          </w:tcPr>
          <w:p>
            <w:pPr>
              <w:spacing w:after="0"/>
              <w:rPr>
                <w:sz w:val="15"/>
                <w:szCs w:val="15"/>
                <w:color w:val="auto"/>
              </w:rPr>
            </w:pPr>
          </w:p>
        </w:tc>
        <w:tc>
          <w:tcPr>
            <w:tcW w:w="3720" w:type="dxa"/>
            <w:vAlign w:val="bottom"/>
            <w:gridSpan w:val="2"/>
          </w:tcPr>
          <w:p>
            <w:pPr>
              <w:jc w:val="center"/>
              <w:ind w:left="911"/>
              <w:spacing w:after="0"/>
              <w:rPr>
                <w:sz w:val="20"/>
                <w:szCs w:val="20"/>
                <w:color w:val="auto"/>
              </w:rPr>
            </w:pPr>
            <w:r>
              <w:rPr>
                <w:rFonts w:ascii="Times New Roman" w:cs="Times New Roman" w:eastAsia="Times New Roman" w:hAnsi="Times New Roman"/>
                <w:sz w:val="14"/>
                <w:szCs w:val="14"/>
                <w:color w:val="auto"/>
                <w:w w:val="97"/>
              </w:rPr>
              <w:t>11.875% Senior Notes due 2027</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w w:val="97"/>
              </w:rPr>
              <w:t>HROWM</w:t>
            </w:r>
          </w:p>
        </w:tc>
        <w:tc>
          <w:tcPr>
            <w:tcW w:w="3480" w:type="dxa"/>
            <w:vAlign w:val="bottom"/>
            <w:gridSpan w:val="2"/>
          </w:tcPr>
          <w:p>
            <w:pPr>
              <w:jc w:val="center"/>
              <w:ind w:right="711"/>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or Rule 12b-2 of the Securities Act of 1934:</w:t>
      </w:r>
    </w:p>
    <w:p>
      <w:pPr>
        <w:spacing w:after="0" w:line="1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ind w:firstLine="496"/>
        <w:spacing w:after="0" w:line="272" w:lineRule="auto"/>
        <w:rPr>
          <w:sz w:val="20"/>
          <w:szCs w:val="20"/>
          <w:color w:val="auto"/>
        </w:rPr>
      </w:pPr>
      <w:r>
        <w:rPr>
          <w:rFonts w:ascii="Times New Roman" w:cs="Times New Roman" w:eastAsia="Times New Roman" w:hAnsi="Times New Roman"/>
          <w:sz w:val="14"/>
          <w:szCs w:val="14"/>
          <w:color w:val="auto"/>
        </w:rPr>
        <w:t>Attached as Exhibit 99.1 to this Item 7.01 is a presentation of Harrow, Inc. (the “Company”), that may be used by the management of the Company at investor conferences and at meetings describing the Company.</w:t>
      </w:r>
    </w:p>
    <w:p>
      <w:pPr>
        <w:spacing w:after="0" w:line="131" w:lineRule="exact"/>
        <w:rPr>
          <w:sz w:val="20"/>
          <w:szCs w:val="20"/>
          <w:color w:val="auto"/>
        </w:rPr>
      </w:pPr>
    </w:p>
    <w:p>
      <w:pPr>
        <w:ind w:firstLine="496"/>
        <w:spacing w:after="0" w:line="312" w:lineRule="auto"/>
        <w:rPr>
          <w:sz w:val="20"/>
          <w:szCs w:val="20"/>
          <w:color w:val="auto"/>
        </w:rPr>
      </w:pPr>
      <w:r>
        <w:rPr>
          <w:rFonts w:ascii="Times New Roman" w:cs="Times New Roman" w:eastAsia="Times New Roman" w:hAnsi="Times New Roman"/>
          <w:sz w:val="13"/>
          <w:szCs w:val="13"/>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p>
      <w:pPr>
        <w:ind w:left="600" w:hanging="597"/>
        <w:spacing w:after="0"/>
        <w:tabs>
          <w:tab w:leader="none" w:pos="6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3"/>
          <w:szCs w:val="13"/>
          <w:u w:val="single" w:color="auto"/>
          <w:color w:val="0000EE"/>
        </w:rPr>
        <w:t>Harrow, Inc. Corporate Presentation September 2024</w:t>
      </w:r>
    </w:p>
    <w:p>
      <w:pPr>
        <w:spacing w:after="0" w:line="1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HARROW, INC.</w:t>
            </w:r>
          </w:p>
        </w:tc>
      </w:tr>
      <w:tr>
        <w:trPr>
          <w:trHeight w:val="331"/>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Dated: September 9,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Andrew R. Boll</w:t>
            </w:r>
          </w:p>
        </w:tc>
      </w:tr>
      <w:tr>
        <w:trPr>
          <w:trHeight w:val="153"/>
        </w:trPr>
        <w:tc>
          <w:tcPr>
            <w:tcW w:w="3540" w:type="dxa"/>
            <w:vAlign w:val="bottom"/>
          </w:tcPr>
          <w:p>
            <w:pPr>
              <w:spacing w:after="0"/>
              <w:rPr>
                <w:sz w:val="13"/>
                <w:szCs w:val="13"/>
                <w:color w:val="auto"/>
              </w:rPr>
            </w:pPr>
          </w:p>
        </w:tc>
        <w:tc>
          <w:tcPr>
            <w:tcW w:w="2680" w:type="dxa"/>
            <w:vAlign w:val="bottom"/>
          </w:tcPr>
          <w:p>
            <w:pPr>
              <w:ind w:left="2120"/>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Andrew R. Boll</w:t>
            </w:r>
          </w:p>
        </w:tc>
      </w:tr>
      <w:tr>
        <w:trPr>
          <w:trHeight w:val="179"/>
        </w:trPr>
        <w:tc>
          <w:tcPr>
            <w:tcW w:w="3540" w:type="dxa"/>
            <w:vAlign w:val="bottom"/>
          </w:tcPr>
          <w:p>
            <w:pPr>
              <w:spacing w:after="0"/>
              <w:rPr>
                <w:sz w:val="15"/>
                <w:szCs w:val="15"/>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330"/>
        </w:trPr>
        <w:tc>
          <w:tcPr>
            <w:tcW w:w="35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3" w:name="page4"/>
    <w:bookmarkEnd w:id="3"/>
    <w:p>
      <w:pPr>
        <w:ind w:left="944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211695" cy="427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4622800</wp:posOffset>
            </wp:positionV>
            <wp:extent cx="716470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2024-09-09T06:38:16Z</dcterms:created>
  <dcterms:modified xsi:type="dcterms:W3CDTF">2024-09-09T06:38:16Z</dcterms:modified>
</cp:coreProperties>
</file>