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333-198675</w:t>
      </w:r>
    </w:p>
    <w:p>
      <w:pPr>
        <w:spacing w:after="0" w:line="207"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FF0000"/>
        </w:rPr>
        <w:t>This preliminary prospectus supplement relates to an effective registration statement under the Securities Act of 1933, but 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MARCH 10,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5715</wp:posOffset>
            </wp:positionV>
            <wp:extent cx="112331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29" w:lineRule="exact"/>
        <w:rPr>
          <w:sz w:val="24"/>
          <w:szCs w:val="24"/>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We are selling</w:t>
      </w:r>
      <w:r>
        <w:rPr>
          <w:sz w:val="20"/>
          <w:szCs w:val="20"/>
          <w:color w:val="auto"/>
        </w:rPr>
        <w:tab/>
      </w:r>
      <w:r>
        <w:rPr>
          <w:rFonts w:ascii="Arial" w:cs="Arial" w:eastAsia="Arial" w:hAnsi="Arial"/>
          <w:sz w:val="16"/>
          <w:szCs w:val="16"/>
          <w:color w:val="auto"/>
        </w:rPr>
        <w:t>shares of our common stock.</w:t>
      </w:r>
    </w:p>
    <w:p>
      <w:pPr>
        <w:spacing w:after="0" w:line="225" w:lineRule="exact"/>
        <w:rPr>
          <w:sz w:val="24"/>
          <w:szCs w:val="24"/>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“IMMY.” On March 9, 2016, the last reported sales price of our common stock on the NASDAQ Capital Market was $3.92 per share. Based on 9,770,678 shares of outstanding common stock as of January 28, 2016, of which 7,381,235 were held by non-affiliates as of such date, and a per share price of $5.96 as of January 28, 2016, the last reported sales price of our common stock on the NASDAQ Capital Market on such date, the aggregate market value of our outstanding common stock held by non-affiliates is approximately $43,992,161. The aggregate amount of all securities we have offered and sold and continue to offer for sale pursuant to General Instruction I.B.6 of Form S-3</w:t>
      </w:r>
    </w:p>
    <w:p>
      <w:pPr>
        <w:spacing w:after="0" w:line="2"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during the twelve calendar month period that ends on, and includes, the date of this prospectus supplement is $ , inclusive of the shares offered hereby.</w:t>
      </w:r>
    </w:p>
    <w:p>
      <w:pPr>
        <w:spacing w:after="0" w:line="180"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S-5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6" w:lineRule="exact"/>
        <w:rPr>
          <w:sz w:val="24"/>
          <w:szCs w:val="24"/>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right"/>
              <w:ind w:right="137"/>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Underwriting Discount (1)</w:t>
            </w:r>
          </w:p>
        </w:tc>
        <w:tc>
          <w:tcPr>
            <w:tcW w:w="3180" w:type="dxa"/>
            <w:vAlign w:val="bottom"/>
            <w:gridSpan w:val="2"/>
          </w:tcPr>
          <w:p>
            <w:pPr>
              <w:jc w:val="right"/>
              <w:ind w:right="103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180" w:type="dxa"/>
            <w:vAlign w:val="bottom"/>
            <w:gridSpan w:val="2"/>
            <w:shd w:val="clear" w:color="auto" w:fill="CCEEFF"/>
          </w:tcPr>
          <w:p>
            <w:pPr>
              <w:jc w:val="right"/>
              <w:ind w:right="103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jc w:val="both"/>
        <w:ind w:left="980" w:hanging="32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reimburse up to $60,000 of the out-of-pocket fees and expenses of the representative of the underwriters in connection with this offering, plus a non-accountable expense allowance in the amount of 50% of any underwriting compensation payable to Sterne Agee CRT in connection with the sale of the shares in this offering. See “Underwriting” for additional information about compensation arrangements.</w:t>
      </w:r>
    </w:p>
    <w:p>
      <w:pPr>
        <w:sectPr>
          <w:pgSz w:w="11900" w:h="16838" w:orient="portrait"/>
          <w:cols w:equalWidth="0" w:num="1">
            <w:col w:w="11420"/>
          </w:cols>
          <w:pgMar w:left="240" w:top="472" w:right="239" w:bottom="1440" w:gutter="0" w:footer="0" w:header="0"/>
        </w:sectPr>
      </w:pP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granted the underwriters a 45-day option to purchase up to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price, less the underwriting discount, set forth above to cover over-allotments, if 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additional shares of common stock from us at the public offering</w:t>
      </w:r>
    </w:p>
    <w:p>
      <w:pPr>
        <w:spacing w:after="0" w:line="430" w:lineRule="exact"/>
        <w:rPr>
          <w:sz w:val="24"/>
          <w:szCs w:val="24"/>
          <w:color w:val="auto"/>
        </w:rPr>
      </w:pPr>
    </w:p>
    <w:p>
      <w:pPr>
        <w:sectPr>
          <w:pgSz w:w="11900" w:h="16838" w:orient="portrait"/>
          <w:cols w:equalWidth="0" w:num="2">
            <w:col w:w="6120" w:space="560"/>
            <w:col w:w="4740"/>
          </w:cols>
          <w:pgMar w:left="240" w:top="472" w:right="239" w:bottom="144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underwriters expect to deliver the shares against payment through the facilities of the Depository Trust Company on or about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 2016.</w:t>
      </w:r>
    </w:p>
    <w:p>
      <w:pPr>
        <w:spacing w:after="0" w:line="200" w:lineRule="exact"/>
        <w:rPr>
          <w:sz w:val="24"/>
          <w:szCs w:val="24"/>
          <w:color w:val="auto"/>
        </w:rPr>
      </w:pPr>
    </w:p>
    <w:p>
      <w:pPr>
        <w:sectPr>
          <w:pgSz w:w="11900" w:h="16838" w:orient="portrait"/>
          <w:cols w:equalWidth="0" w:num="2">
            <w:col w:w="10160" w:space="720"/>
            <w:col w:w="540"/>
          </w:cols>
          <w:pgMar w:left="240" w:top="472"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Securities Corporation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Sterne Agee CRT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3660"/>
              <w:spacing w:after="0"/>
              <w:rPr>
                <w:sz w:val="20"/>
                <w:szCs w:val="20"/>
                <w:color w:val="auto"/>
              </w:rPr>
            </w:pPr>
            <w:r>
              <w:rPr>
                <w:rFonts w:ascii="Arial" w:cs="Arial" w:eastAsia="Arial" w:hAnsi="Arial"/>
                <w:sz w:val="18"/>
                <w:szCs w:val="18"/>
                <w:color w:val="auto"/>
                <w:w w:val="98"/>
              </w:rPr>
              <w:t>The date of this prospectus supplement is</w:t>
            </w:r>
          </w:p>
        </w:tc>
        <w:tc>
          <w:tcPr>
            <w:tcW w:w="4460" w:type="dxa"/>
            <w:vAlign w:val="bottom"/>
          </w:tcPr>
          <w:p>
            <w:pPr>
              <w:jc w:val="right"/>
              <w:ind w:right="3570"/>
              <w:spacing w:after="0"/>
              <w:rPr>
                <w:sz w:val="20"/>
                <w:szCs w:val="20"/>
                <w:color w:val="auto"/>
              </w:rPr>
            </w:pPr>
            <w:r>
              <w:rPr>
                <w:rFonts w:ascii="Arial" w:cs="Arial" w:eastAsia="Arial" w:hAnsi="Arial"/>
                <w:sz w:val="18"/>
                <w:szCs w:val="18"/>
                <w:color w:val="auto"/>
              </w:rPr>
              <w:t>, 2016.</w:t>
            </w:r>
          </w:p>
        </w:tc>
      </w:tr>
      <w:tr>
        <w:trPr>
          <w:trHeight w:val="439"/>
        </w:trPr>
        <w:tc>
          <w:tcPr>
            <w:tcW w:w="69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80" w:type="dxa"/>
            <w:vAlign w:val="bottom"/>
            <w:gridSpan w:val="17"/>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S-i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6960" w:type="dxa"/>
            <w:vAlign w:val="bottom"/>
            <w:tcBorders>
              <w:top w:val="single" w:sz="8" w:color="CCEEFF"/>
            </w:tcBorders>
            <w:gridSpan w:val="4"/>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RISK FACTORS</w:t>
              </w:r>
            </w:hyperlink>
          </w:p>
        </w:tc>
        <w:tc>
          <w:tcPr>
            <w:tcW w:w="9140" w:type="dxa"/>
            <w:vAlign w:val="bottom"/>
            <w:tcBorders>
              <w:bottom w:val="single" w:sz="8" w:color="CCEEFF"/>
            </w:tcBorders>
            <w:gridSpan w:val="14"/>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8820" w:type="dxa"/>
            <w:vAlign w:val="bottom"/>
            <w:tcBorders>
              <w:top w:val="single" w:sz="8" w:color="CCEEFF"/>
            </w:tcBorders>
            <w:gridSpan w:val="11"/>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UNDERWRITING</w:t>
              </w:r>
            </w:hyperlink>
          </w:p>
        </w:tc>
        <w:tc>
          <w:tcPr>
            <w:tcW w:w="9000" w:type="dxa"/>
            <w:vAlign w:val="bottom"/>
            <w:tcBorders>
              <w:bottom w:val="single" w:sz="8" w:color="CCEEFF"/>
            </w:tcBorders>
            <w:gridSpan w:val="1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962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INCORPORATION OF CERTAIN DOCUMENTS BY REFERENCE</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24">
              <w:r>
                <w:rPr>
                  <w:rFonts w:ascii="Arial" w:cs="Arial" w:eastAsia="Arial" w:hAnsi="Arial"/>
                  <w:sz w:val="15"/>
                  <w:szCs w:val="15"/>
                  <w:color w:val="0000EE"/>
                </w:rPr>
                <w:t>PROSPECTUS SUMMARY</w:t>
              </w:r>
            </w:hyperlink>
          </w:p>
        </w:tc>
        <w:tc>
          <w:tcPr>
            <w:tcW w:w="8300" w:type="dxa"/>
            <w:vAlign w:val="bottom"/>
            <w:tcBorders>
              <w:bottom w:val="single" w:sz="8" w:color="CCEEFF"/>
            </w:tcBorders>
            <w:gridSpan w:val="9"/>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FORWARD-LOOKING STATEMENTS</w:t>
              </w:r>
            </w:hyperlink>
          </w:p>
        </w:tc>
        <w:tc>
          <w:tcPr>
            <w:tcW w:w="746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DILUTION</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CAPITAL STOCK</w:t>
              </w:r>
            </w:hyperlink>
          </w:p>
        </w:tc>
        <w:tc>
          <w:tcPr>
            <w:tcW w:w="752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DEPOSITARY SHARES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THE WARRANTS</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DEBT SECURITIES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834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EXPERTS</w:t>
              </w:r>
            </w:hyperlink>
          </w:p>
        </w:tc>
        <w:tc>
          <w:tcPr>
            <w:tcW w:w="9620" w:type="dxa"/>
            <w:vAlign w:val="bottom"/>
            <w:tcBorders>
              <w:bottom w:val="single" w:sz="8" w:color="CCEEFF"/>
            </w:tcBorders>
            <w:gridSpan w:val="16"/>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53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supplement and the accompanying base prospectus is part of a registration statement that we filed with the Securities and Exchange Commission (the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September 10, 2014, and was declared effective by the SEC on September 29, 2014. This prospectus supplement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the underwriters have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Our business, financial condition, results of operations and prospects may have changed since those dates.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You should carefully read this prospectus supplement, the accompanying base prospectus and the information and documents 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Unless otherwise stated or the context requires otherwise, all references in this prospectus supplement to the “Company,” “we,” “us,” “our” and “Imprimis” refer to Imprimis Pharmaceuticals, Inc., a Delaware corporation, and its consolidated subsidiaries. We own the registered trademarks or trademark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 Imprimis Cares!™, SSP Technology™, Go Dropless™,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Dropless Cataract Surgery™, Dropless Cataract Therapy™, Dropless Therapy</w:t>
      </w:r>
      <w:r>
        <w:rPr>
          <w:rFonts w:ascii="Arial" w:cs="Arial" w:eastAsia="Arial" w:hAnsi="Arial"/>
          <w:sz w:val="30"/>
          <w:szCs w:val="30"/>
          <w:color w:val="auto"/>
          <w:vertAlign w:val="superscript"/>
        </w:rPr>
        <w:t>®</w:t>
      </w:r>
      <w:r>
        <w:rPr>
          <w:rFonts w:ascii="Arial" w:cs="Arial" w:eastAsia="Arial" w:hAnsi="Arial"/>
          <w:sz w:val="18"/>
          <w:szCs w:val="18"/>
          <w:color w:val="auto"/>
        </w:rPr>
        <w:t>, Defeat IC™, HLA Therapy™, Triple Drop™, PPS-DR™, Trimix-LP™, Stericheck™, Trimoxi™, Pred-Moxi™, Pred-Moxi-Ketor™, Pred-Moxi-Brom™, Pred-Ketor™, Dex-Moxi ™, Combination Drop Therapy™, Compounded Alternative™, Compounded Choice™, Custom Compounding Choice™ and ED Free™. All other trademarks, trade names and service marks included or incorporated by reference into this prospectus supplement, the accompanying base prospectus and any applicable free writing prospectus are the property of their respective owners.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unless otherwise stated or the context requires otherwise, all information in this prospectus supplement assumes that the option to</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purchase up to</w:t>
            </w:r>
          </w:p>
        </w:tc>
        <w:tc>
          <w:tcPr>
            <w:tcW w:w="9800" w:type="dxa"/>
            <w:vAlign w:val="bottom"/>
          </w:tcPr>
          <w:p>
            <w:pPr>
              <w:ind w:left="560"/>
              <w:spacing w:after="0"/>
              <w:rPr>
                <w:sz w:val="20"/>
                <w:szCs w:val="20"/>
                <w:color w:val="auto"/>
              </w:rPr>
            </w:pPr>
            <w:r>
              <w:rPr>
                <w:rFonts w:ascii="Arial" w:cs="Arial" w:eastAsia="Arial" w:hAnsi="Arial"/>
                <w:sz w:val="18"/>
                <w:szCs w:val="18"/>
                <w:color w:val="auto"/>
              </w:rPr>
              <w:t>additional shares of common stock that we have granted to the underwriters is not exercised.</w:t>
            </w:r>
          </w:p>
        </w:tc>
      </w:tr>
      <w:tr>
        <w:trPr>
          <w:trHeight w:val="641"/>
        </w:trPr>
        <w:tc>
          <w:tcPr>
            <w:tcW w:w="162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S-i</w:t>
            </w: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520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52094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S-5 and our consolidated financial statements and the related notes and the other information incorporated by reference into this prospectus supplement and the accompanying base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program, we own, market and dispense a portfolio of lower-cost compounded therapeutic alternatives to higher-priced U.S. Food and Drug Administration (the “FDA”)-approved drugs in several therapeutic areas, including ophthalmology, urology, otolaryngology and infectious diseases. We believe our proprietary formulations may offer competitive advantages and serve unmet needs in the marketplace. Our proprietary ophthalmic compounded formulations, led by our Dropless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combination topical eye drops, compete in the multi-billion dollar market for ophthalmic antibiotic and anti-inflammatory drugs. These formulations, which are comprised of FDA-approved active pharmaceutical ingredients, are uniquely designed to address patient compliance issues and provide other medical and economic benefits to physicians and patients. Our urology business, led by our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Defeat IC</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campaign, includes a patented compounded formulation for patients suffering from interstitial cystitis and customizable compounded formulations of pentosan polysulfate sodium delayed release (PPS-DR™) as a lower-cost therapeutic alternative to an off-patent oral drug,</w:t>
      </w:r>
    </w:p>
    <w:p>
      <w:pPr>
        <w:spacing w:after="0" w:line="2"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Our otolaryngology business includes topical compounded sinus formulations, delivery systems and patented packaging. We have also introduced lower-cost compounded therapeutic alternatives for Daraprim® and Thiola®, which are FDA-approved drugs that have recently experienced price increases. We plan to expand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program by introducing additional customizable compounded drug formulations for patient populations that may not have available alternatives to increasingly expensive FDA-approved medications.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program aligns with our corporate mission, vision and values of providing physicians and their patients high-quality individualized compounded medications at accessible prices.</w:t>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are also developing our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xml:space="preserve"> business, which is focused on developing and dispensing a portfolio of non-proprietary compounded drugs for humans and animals in therapeutic areas that may be overlooked by commercial pharmaceutical companies. We also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own four compounding pharmacies, based in New Jersey, California, Texas and Pennsylvania, through which we make, dispense and sell our proprietary compounded formulations and other non-proprietary products. In this prospectus supplement, we refer to each of our compounding pharmacies as an “ImprimisRx compounding pharmacy.”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our inception on July 24, 1998. In addition, we have an accumulated deficit of approximately $53 million at September 30, 2015. Beginning on April 1, 2014, when we acquired our first ImprimisRx compounding pharmacy,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540" w:top="931" w:right="639" w:bottom="1440" w:gutter="0" w:footer="0" w:header="0"/>
        </w:sectPr>
      </w:pPr>
    </w:p>
    <w:bookmarkStart w:id="4" w:name="page5"/>
    <w:bookmarkEnd w:id="4"/>
    <w:p>
      <w:pPr>
        <w:ind w:lef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097270"/>
                    </a:xfrm>
                    <a:prstGeom prst="rect">
                      <a:avLst/>
                    </a:prstGeom>
                    <a:noFill/>
                  </pic:spPr>
                </pic:pic>
              </a:graphicData>
            </a:graphic>
          </wp:anchor>
        </w:drawing>
        <w:t>Recent Developments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Preliminary Financial Results for the Quarter and Year Ended December 31, 2015</w:t>
      </w:r>
    </w:p>
    <w:p>
      <w:pPr>
        <w:spacing w:after="0" w:line="225" w:lineRule="exact"/>
        <w:rPr>
          <w:sz w:val="20"/>
          <w:szCs w:val="20"/>
          <w:color w:val="auto"/>
        </w:rPr>
      </w:pPr>
    </w:p>
    <w:p>
      <w:pPr>
        <w:jc w:val="both"/>
        <w:ind w:left="280" w:right="260" w:firstLine="648"/>
        <w:spacing w:after="0" w:line="255" w:lineRule="auto"/>
        <w:rPr>
          <w:sz w:val="20"/>
          <w:szCs w:val="20"/>
          <w:color w:val="auto"/>
        </w:rPr>
      </w:pPr>
      <w:r>
        <w:rPr>
          <w:rFonts w:ascii="Arial" w:cs="Arial" w:eastAsia="Arial" w:hAnsi="Arial"/>
          <w:sz w:val="18"/>
          <w:szCs w:val="18"/>
          <w:color w:val="auto"/>
        </w:rPr>
        <w:t>We recently completed our 2015 fiscal year. Based on available information as of the date of this prospectus supplement, we estimate that, for the quarter ended December 31, 2015, our revenue will be approximately $3.5 million, our net loss will be between $4.7 million and $5.1 million, and adjusted EBITDA will be a loss between $2.5 million and $2.9 million, and for the year ended December 31, 2015, our revenue will be approximately $9.7 million and our net loss will be between $15.5 million and $15.9 million. All estimated results disclosed herein are preliminary, are subject to the completion of the audit of our December 31, 2015 consolidated financial statements, and are not necessarily indicative of the results to be expected for future periods.</w:t>
      </w:r>
    </w:p>
    <w:p>
      <w:pPr>
        <w:spacing w:after="0" w:line="193" w:lineRule="exact"/>
        <w:rPr>
          <w:sz w:val="20"/>
          <w:szCs w:val="20"/>
          <w:color w:val="auto"/>
        </w:rPr>
      </w:pPr>
    </w:p>
    <w:p>
      <w:pPr>
        <w:jc w:val="both"/>
        <w:ind w:left="280" w:right="260" w:firstLine="648"/>
        <w:spacing w:after="0" w:line="268" w:lineRule="auto"/>
        <w:rPr>
          <w:sz w:val="20"/>
          <w:szCs w:val="20"/>
          <w:color w:val="auto"/>
        </w:rPr>
      </w:pPr>
      <w:r>
        <w:rPr>
          <w:rFonts w:ascii="Arial" w:cs="Arial" w:eastAsia="Arial" w:hAnsi="Arial"/>
          <w:sz w:val="17"/>
          <w:szCs w:val="17"/>
          <w:color w:val="auto"/>
        </w:rPr>
        <w:t>In addition to our results of operations determined in accordance with accounting principles generally accepted in the United States of America (“GAAP”), such as revenue and net loss, management also utilizes adjusted EBITDA, an unaudited financial measure that is not calculated in accordance with GAAP, to evaluate our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our operations that, when viewed with GAAP results, provides a more complete understanding of our results of operations and the factors and trends affecting its business. Management believes adjusted EBITDA provides meaningful supplemental information regarding our performance because (i) it allows for greater transparency with respect to key metrics used by management in its financial and operational decision-making; (ii) it excludes the impact of non-cash or, when specified, non-recurring items that are not directly attributable to our core operating performance and that may obscure trends in our core operating performance; and (iii) it is used by institutional investors and the analyst community to help analyze our results. However, adjusted EBITDA should be considered as a supplement to, and not as a substitute for, or superior to, the corresponding measures calculated in accordance with GAAP. Further, non-GAAP financial measures we use and the manner in which we calculate them may differ from the non-GAAP financial measures or the calculations of the same non-GAAP financial measures used by other companies, including our competitors.</w:t>
      </w:r>
    </w:p>
    <w:p>
      <w:pPr>
        <w:spacing w:after="0" w:line="188" w:lineRule="exact"/>
        <w:rPr>
          <w:sz w:val="20"/>
          <w:szCs w:val="20"/>
          <w:color w:val="auto"/>
        </w:rPr>
      </w:pPr>
    </w:p>
    <w:p>
      <w:pPr>
        <w:jc w:val="both"/>
        <w:ind w:left="280" w:right="260" w:firstLine="648"/>
        <w:spacing w:after="0" w:line="257" w:lineRule="auto"/>
        <w:rPr>
          <w:sz w:val="20"/>
          <w:szCs w:val="20"/>
          <w:color w:val="auto"/>
        </w:rPr>
      </w:pPr>
      <w:r>
        <w:rPr>
          <w:rFonts w:ascii="Arial" w:cs="Arial" w:eastAsia="Arial" w:hAnsi="Arial"/>
          <w:sz w:val="18"/>
          <w:szCs w:val="18"/>
          <w:color w:val="auto"/>
        </w:rPr>
        <w:t>We define adjusted EBITDA as net income (loss) excluding the effects of interest, taxes, depreciation, amortization, stock-based compensation, other income (expense) and, if any and when specified, non-recurring income or expense items. We believe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left="280" w:right="280" w:firstLine="648"/>
        <w:spacing w:after="0" w:line="277" w:lineRule="auto"/>
        <w:rPr>
          <w:sz w:val="20"/>
          <w:szCs w:val="20"/>
          <w:color w:val="auto"/>
        </w:rPr>
      </w:pPr>
      <w:r>
        <w:rPr>
          <w:rFonts w:ascii="Arial" w:cs="Arial" w:eastAsia="Arial" w:hAnsi="Arial"/>
          <w:sz w:val="18"/>
          <w:szCs w:val="18"/>
          <w:color w:val="auto"/>
        </w:rPr>
        <w:t>The following is a reconciliation of estimated adjusted EBITDA, a non-GAAP measure, to the most comparable GAAP measure, net loss, for the three months ended December 31, 2015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5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(4,700) to (5,100)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1,120</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80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90</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Interest (income) expense, net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430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1320"/>
              <w:spacing w:after="0"/>
              <w:rPr>
                <w:sz w:val="20"/>
                <w:szCs w:val="20"/>
                <w:color w:val="auto"/>
              </w:rPr>
            </w:pPr>
            <w:r>
              <w:rPr>
                <w:rFonts w:ascii="Arial" w:cs="Arial" w:eastAsia="Arial" w:hAnsi="Arial"/>
                <w:sz w:val="18"/>
                <w:szCs w:val="18"/>
                <w:color w:val="auto"/>
              </w:rPr>
              <w:t>Non-recurring expense(1)</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440</w:t>
            </w:r>
          </w:p>
        </w:tc>
      </w:tr>
      <w:tr>
        <w:trPr>
          <w:trHeight w:val="230"/>
        </w:trPr>
        <w:tc>
          <w:tcPr>
            <w:tcW w:w="4600" w:type="dxa"/>
            <w:vAlign w:val="bottom"/>
            <w:tcBorders>
              <w:top w:val="single" w:sz="8" w:color="CCEEFF"/>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Adjusted EBITDA</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 to (2,940)</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246620"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22" w:lineRule="exact"/>
        <w:rPr>
          <w:sz w:val="20"/>
          <w:szCs w:val="20"/>
          <w:color w:val="auto"/>
        </w:rPr>
      </w:pPr>
    </w:p>
    <w:p>
      <w:pPr>
        <w:jc w:val="both"/>
        <w:ind w:left="1440" w:right="260" w:hanging="520"/>
        <w:spacing w:after="0" w:line="264" w:lineRule="auto"/>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Non-recurring expense items included certain offering-related expenses, certain expenses related to our acquisition of our Pennsylvania compounding pharmacy, and expenses related to restructuring our sales and marketing departments, including severance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25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253865"/>
                    </a:xfrm>
                    <a:prstGeom prst="rect">
                      <a:avLst/>
                    </a:prstGeom>
                    <a:noFill/>
                  </pic:spPr>
                </pic:pic>
              </a:graphicData>
            </a:graphic>
          </wp:anchor>
        </w:drawing>
        <w:t>Introduction of Alternatives to FDA-Approved Thiola</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and Daraprim</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 xml:space="preserve">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in February 2016 we introduced new patent-pending tiopronin and potassium citrate delayed release compounded formulations that may be prescribed by physicians as a lower-cost therapeutic alternative to FDA-approved Thiola</w:t>
      </w:r>
      <w:r>
        <w:rPr>
          <w:rFonts w:ascii="Arial" w:cs="Arial" w:eastAsia="Arial" w:hAnsi="Arial"/>
          <w:sz w:val="26"/>
          <w:szCs w:val="26"/>
          <w:color w:val="auto"/>
          <w:vertAlign w:val="superscript"/>
        </w:rPr>
        <w:t>®</w:t>
      </w:r>
      <w:r>
        <w:rPr>
          <w:rFonts w:ascii="Arial" w:cs="Arial" w:eastAsia="Arial" w:hAnsi="Arial"/>
          <w:sz w:val="16"/>
          <w:szCs w:val="16"/>
          <w:color w:val="auto"/>
        </w:rPr>
        <w:t>, which is commonly prescribed for the prevention of cystine kidney stone formation in patients who do not respond to dietary changes and increased fluids. This follows our October 2015 introduction of a customizable compounded formulation of pyrimethamine and leucovorin available for physicians to consider</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prescribing for their patients as a lower-cost therapeutic alternative to FDA-approved Daraprim</w:t>
      </w:r>
      <w:r>
        <w:rPr>
          <w:rFonts w:ascii="Arial" w:cs="Arial" w:eastAsia="Arial" w:hAnsi="Arial"/>
          <w:sz w:val="28"/>
          <w:szCs w:val="28"/>
          <w:color w:val="auto"/>
          <w:vertAlign w:val="superscript"/>
        </w:rPr>
        <w:t>®</w:t>
      </w:r>
      <w:r>
        <w:rPr>
          <w:rFonts w:ascii="Arial" w:cs="Arial" w:eastAsia="Arial" w:hAnsi="Arial"/>
          <w:sz w:val="17"/>
          <w:szCs w:val="17"/>
          <w:color w:val="auto"/>
        </w:rPr>
        <w:t>, which is commonly prescribed for toxoplasmosis. We have also introduced customizable compounded formulations of pentosan polysulfate sodium delayed release (PPS-DR™) for physicians to consider prescribing for interstitial cystitis patients as a lower-cost therapeutic alternative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Outsourcing Facilities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we have commenced construction to build our New Jersey-based and our Texas-based ImprimisRx compounding pharmacies into outsourcing facilities under Section 503B of the U.S. Food Drug and Cosmetic Act, which are required to be registered with the FDA. These facilities must comply with certain specified requirements, including adherence to current good manufacturing practices, and are permitted to compound large quantities of certain sterile drug formulations without a prescription and distribute these formulations out-of-state without limitation. From time to time during the construction process, we have experienced temporary and intermittent delays in developing these facilities into outsourcing facilities, and we expect them to be registered as outsourcing facilities near the beginning of the second quarter of 2016 for our Texas-based ImprimisRx compounding pharmacy and near the end of the second quarter of 2016 for our New Jersey-based ImprimisRx compounding pharmacy. Further, we have incurred and expect to continue to incur greater than anticipated expenses developing these facilities into outsourcing facilities. We currently estimate that our capital expenditures to build and equip these outsourcing facilities will be approximately $4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principal executive offices are located at 12264 El Camino Real, Suite 350, San Diego, California 92130 and our telephone number at such offices is (858) 704-4040. Our website address is www.imprimispharma.com. Information contained on our website is not part of this prospectus supplement.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39" w:right="5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169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169150"/>
                    </a:xfrm>
                    <a:prstGeom prst="rect">
                      <a:avLst/>
                    </a:prstGeom>
                    <a:noFill/>
                  </pic:spPr>
                </pic:pic>
              </a:graphicData>
            </a:graphic>
          </wp:anchor>
        </w:drawing>
        <w:t>The Offering</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000" w:type="dxa"/>
            <w:vAlign w:val="bottom"/>
          </w:tcPr>
          <w:p>
            <w:pPr>
              <w:spacing w:after="0"/>
              <w:rPr>
                <w:sz w:val="18"/>
                <w:szCs w:val="18"/>
                <w:color w:val="auto"/>
              </w:rPr>
            </w:pPr>
          </w:p>
        </w:tc>
        <w:tc>
          <w:tcPr>
            <w:tcW w:w="2660" w:type="dxa"/>
            <w:vAlign w:val="bottom"/>
            <w:gridSpan w:val="2"/>
          </w:tcPr>
          <w:p>
            <w:pPr>
              <w:jc w:val="center"/>
              <w:ind w:right="250"/>
              <w:spacing w:after="0"/>
              <w:rPr>
                <w:sz w:val="20"/>
                <w:szCs w:val="20"/>
                <w:color w:val="auto"/>
              </w:rPr>
            </w:pPr>
            <w:r>
              <w:rPr>
                <w:rFonts w:ascii="Arial" w:cs="Arial" w:eastAsia="Arial" w:hAnsi="Arial"/>
                <w:sz w:val="18"/>
                <w:szCs w:val="18"/>
                <w:color w:val="auto"/>
                <w:w w:val="89"/>
              </w:rPr>
              <w:t>shares of our common stock (</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shares if the underwriters exercise their</w:t>
            </w:r>
          </w:p>
        </w:tc>
      </w:tr>
      <w:tr>
        <w:trPr>
          <w:trHeight w:val="230"/>
        </w:trPr>
        <w:tc>
          <w:tcPr>
            <w:tcW w:w="3900" w:type="dxa"/>
            <w:vAlign w:val="bottom"/>
          </w:tcPr>
          <w:p>
            <w:pPr>
              <w:spacing w:after="0"/>
              <w:rPr>
                <w:sz w:val="20"/>
                <w:szCs w:val="20"/>
                <w:color w:val="auto"/>
              </w:rPr>
            </w:pP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over-allotment option in full).</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Offering price</w:t>
            </w:r>
          </w:p>
        </w:tc>
        <w:tc>
          <w:tcPr>
            <w:tcW w:w="1000" w:type="dxa"/>
            <w:vAlign w:val="bottom"/>
          </w:tcPr>
          <w:p>
            <w:pPr>
              <w:ind w:left="240"/>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center"/>
              <w:ind w:right="210"/>
              <w:spacing w:after="0"/>
              <w:rPr>
                <w:sz w:val="20"/>
                <w:szCs w:val="20"/>
                <w:color w:val="auto"/>
              </w:rPr>
            </w:pPr>
            <w:r>
              <w:rPr>
                <w:rFonts w:ascii="Arial" w:cs="Arial" w:eastAsia="Arial" w:hAnsi="Arial"/>
                <w:sz w:val="18"/>
                <w:szCs w:val="18"/>
                <w:color w:val="auto"/>
                <w:w w:val="90"/>
              </w:rPr>
              <w:t>per share of common stock.</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w w:val="96"/>
              </w:rPr>
              <w:t>Common stock to be outstanding after this offering</w:t>
            </w:r>
          </w:p>
        </w:tc>
        <w:tc>
          <w:tcPr>
            <w:tcW w:w="100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shares (</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shares if the underwriters exercise their over-allotment</w:t>
            </w:r>
          </w:p>
        </w:tc>
      </w:tr>
      <w:tr>
        <w:trPr>
          <w:trHeight w:val="230"/>
        </w:trPr>
        <w:tc>
          <w:tcPr>
            <w:tcW w:w="390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option in full).</w:t>
            </w:r>
          </w:p>
        </w:tc>
        <w:tc>
          <w:tcPr>
            <w:tcW w:w="1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Use of proceeds</w:t>
            </w:r>
          </w:p>
        </w:tc>
        <w:tc>
          <w:tcPr>
            <w:tcW w:w="6700" w:type="dxa"/>
            <w:vAlign w:val="bottom"/>
            <w:gridSpan w:val="4"/>
          </w:tcPr>
          <w:p>
            <w:pPr>
              <w:ind w:left="240"/>
              <w:spacing w:after="0"/>
              <w:rPr>
                <w:sz w:val="20"/>
                <w:szCs w:val="20"/>
                <w:color w:val="auto"/>
              </w:rPr>
            </w:pPr>
            <w:r>
              <w:rPr>
                <w:rFonts w:ascii="Arial" w:cs="Arial" w:eastAsia="Arial" w:hAnsi="Arial"/>
                <w:sz w:val="18"/>
                <w:szCs w:val="18"/>
                <w:color w:val="auto"/>
              </w:rPr>
              <w:t>We estimate that our net proceeds from this offering will be approximately $</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(or</w:t>
            </w:r>
          </w:p>
        </w:tc>
      </w:tr>
      <w:tr>
        <w:trPr>
          <w:trHeight w:val="216"/>
        </w:trPr>
        <w:tc>
          <w:tcPr>
            <w:tcW w:w="390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approximately $</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w w:val="98"/>
              </w:rPr>
              <w:t>if the underwriters exercise their over-allotment option in full),</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color w:val="auto"/>
                <w:w w:val="90"/>
              </w:rPr>
              <w:t>after deducting the underwriting discount and the estimated offering expenses payable by us.</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color w:val="auto"/>
              </w:rPr>
              <w:t>We expect to use the net proceeds from this offering for working capital and general</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color w:val="auto"/>
                <w:w w:val="94"/>
              </w:rPr>
              <w:t>corporate purposes, which will include, among other things, expenditures associated with</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color w:val="auto"/>
              </w:rPr>
              <w:t>our efforts to develop our compounding pharmacies in Texas and New Jersey into</w:t>
            </w:r>
          </w:p>
        </w:tc>
      </w:tr>
      <w:tr>
        <w:trPr>
          <w:trHeight w:val="230"/>
        </w:trPr>
        <w:tc>
          <w:tcPr>
            <w:tcW w:w="3900" w:type="dxa"/>
            <w:vAlign w:val="bottom"/>
          </w:tcPr>
          <w:p>
            <w:pPr>
              <w:spacing w:after="0"/>
              <w:rPr>
                <w:sz w:val="20"/>
                <w:szCs w:val="20"/>
                <w:color w:val="auto"/>
              </w:rPr>
            </w:pPr>
          </w:p>
        </w:tc>
        <w:tc>
          <w:tcPr>
            <w:tcW w:w="6700" w:type="dxa"/>
            <w:vAlign w:val="bottom"/>
            <w:gridSpan w:val="4"/>
          </w:tcPr>
          <w:p>
            <w:pPr>
              <w:ind w:left="240"/>
              <w:spacing w:after="0"/>
              <w:rPr>
                <w:sz w:val="20"/>
                <w:szCs w:val="20"/>
                <w:color w:val="auto"/>
              </w:rPr>
            </w:pPr>
            <w:r>
              <w:rPr>
                <w:rFonts w:ascii="Arial" w:cs="Arial" w:eastAsia="Arial" w:hAnsi="Arial"/>
                <w:sz w:val="18"/>
                <w:szCs w:val="18"/>
                <w:color w:val="auto"/>
              </w:rPr>
              <w:t>outsourcing facilities. See “Use of Proceeds” on page S-11.</w:t>
            </w:r>
          </w:p>
        </w:tc>
        <w:tc>
          <w:tcPr>
            <w:tcW w:w="240" w:type="dxa"/>
            <w:vAlign w:val="bottom"/>
          </w:tcPr>
          <w:p>
            <w:pPr>
              <w:spacing w:after="0"/>
              <w:rPr>
                <w:sz w:val="20"/>
                <w:szCs w:val="20"/>
                <w:color w:val="auto"/>
              </w:rPr>
            </w:pPr>
          </w:p>
        </w:tc>
      </w:tr>
      <w:tr>
        <w:trPr>
          <w:trHeight w:val="414"/>
        </w:trPr>
        <w:tc>
          <w:tcPr>
            <w:tcW w:w="3900" w:type="dxa"/>
            <w:vAlign w:val="bottom"/>
          </w:tcPr>
          <w:p>
            <w:pPr>
              <w:spacing w:after="0"/>
              <w:rPr>
                <w:sz w:val="20"/>
                <w:szCs w:val="20"/>
                <w:color w:val="auto"/>
              </w:rPr>
            </w:pPr>
            <w:r>
              <w:rPr>
                <w:rFonts w:ascii="Arial" w:cs="Arial" w:eastAsia="Arial" w:hAnsi="Arial"/>
                <w:sz w:val="18"/>
                <w:szCs w:val="18"/>
                <w:color w:val="auto"/>
              </w:rPr>
              <w:t>Risk factors</w:t>
            </w:r>
          </w:p>
        </w:tc>
        <w:tc>
          <w:tcPr>
            <w:tcW w:w="6940" w:type="dxa"/>
            <w:vAlign w:val="bottom"/>
            <w:gridSpan w:val="5"/>
          </w:tcPr>
          <w:p>
            <w:pPr>
              <w:ind w:left="240"/>
              <w:spacing w:after="0"/>
              <w:rPr>
                <w:sz w:val="20"/>
                <w:szCs w:val="20"/>
                <w:color w:val="auto"/>
              </w:rPr>
            </w:pPr>
            <w:r>
              <w:rPr>
                <w:rFonts w:ascii="Arial" w:cs="Arial" w:eastAsia="Arial" w:hAnsi="Arial"/>
                <w:sz w:val="18"/>
                <w:szCs w:val="18"/>
                <w:b w:val="1"/>
                <w:bCs w:val="1"/>
                <w:color w:val="auto"/>
                <w:w w:val="89"/>
              </w:rPr>
              <w:t>Investing in our common stock involves significant risks. See “Risk Factors” beginning</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b w:val="1"/>
                <w:bCs w:val="1"/>
                <w:color w:val="auto"/>
                <w:w w:val="93"/>
              </w:rPr>
              <w:t>on page S-5 and the other information included or incorporated by reference in this</w:t>
            </w:r>
          </w:p>
        </w:tc>
      </w:tr>
      <w:tr>
        <w:trPr>
          <w:trHeight w:val="216"/>
        </w:trPr>
        <w:tc>
          <w:tcPr>
            <w:tcW w:w="3900" w:type="dxa"/>
            <w:vAlign w:val="bottom"/>
          </w:tcPr>
          <w:p>
            <w:pPr>
              <w:spacing w:after="0"/>
              <w:rPr>
                <w:sz w:val="18"/>
                <w:szCs w:val="18"/>
                <w:color w:val="auto"/>
              </w:rPr>
            </w:pPr>
          </w:p>
        </w:tc>
        <w:tc>
          <w:tcPr>
            <w:tcW w:w="6940" w:type="dxa"/>
            <w:vAlign w:val="bottom"/>
            <w:gridSpan w:val="5"/>
          </w:tcPr>
          <w:p>
            <w:pPr>
              <w:ind w:left="240"/>
              <w:spacing w:after="0"/>
              <w:rPr>
                <w:sz w:val="20"/>
                <w:szCs w:val="20"/>
                <w:color w:val="auto"/>
              </w:rPr>
            </w:pPr>
            <w:r>
              <w:rPr>
                <w:rFonts w:ascii="Arial" w:cs="Arial" w:eastAsia="Arial" w:hAnsi="Arial"/>
                <w:sz w:val="18"/>
                <w:szCs w:val="18"/>
                <w:b w:val="1"/>
                <w:bCs w:val="1"/>
                <w:color w:val="auto"/>
                <w:w w:val="93"/>
              </w:rPr>
              <w:t>prospectus supplement and the accompanying base prospectus for a discussion of</w:t>
            </w:r>
          </w:p>
        </w:tc>
      </w:tr>
      <w:tr>
        <w:trPr>
          <w:trHeight w:val="234"/>
        </w:trPr>
        <w:tc>
          <w:tcPr>
            <w:tcW w:w="3900" w:type="dxa"/>
            <w:vAlign w:val="bottom"/>
          </w:tcPr>
          <w:p>
            <w:pPr>
              <w:spacing w:after="0"/>
              <w:rPr>
                <w:sz w:val="20"/>
                <w:szCs w:val="20"/>
                <w:color w:val="auto"/>
              </w:rPr>
            </w:pPr>
          </w:p>
        </w:tc>
        <w:tc>
          <w:tcPr>
            <w:tcW w:w="6700" w:type="dxa"/>
            <w:vAlign w:val="bottom"/>
            <w:gridSpan w:val="4"/>
          </w:tcPr>
          <w:p>
            <w:pPr>
              <w:ind w:left="240"/>
              <w:spacing w:after="0"/>
              <w:rPr>
                <w:sz w:val="20"/>
                <w:szCs w:val="20"/>
                <w:color w:val="auto"/>
              </w:rPr>
            </w:pPr>
            <w:r>
              <w:rPr>
                <w:rFonts w:ascii="Arial" w:cs="Arial" w:eastAsia="Arial" w:hAnsi="Arial"/>
                <w:sz w:val="18"/>
                <w:szCs w:val="18"/>
                <w:b w:val="1"/>
                <w:bCs w:val="1"/>
                <w:color w:val="auto"/>
                <w:w w:val="88"/>
              </w:rPr>
              <w:t>factors you should carefully consider before deciding to invest in our common stock.</w:t>
            </w:r>
          </w:p>
        </w:tc>
        <w:tc>
          <w:tcPr>
            <w:tcW w:w="24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1000" w:type="dxa"/>
            <w:vAlign w:val="bottom"/>
          </w:tcPr>
          <w:p>
            <w:pPr>
              <w:ind w:left="240"/>
              <w:spacing w:after="0"/>
              <w:rPr>
                <w:sz w:val="20"/>
                <w:szCs w:val="20"/>
                <w:color w:val="auto"/>
              </w:rPr>
            </w:pPr>
            <w:r>
              <w:rPr>
                <w:rFonts w:ascii="Arial" w:cs="Arial" w:eastAsia="Arial" w:hAnsi="Arial"/>
                <w:sz w:val="18"/>
                <w:szCs w:val="18"/>
                <w:color w:val="auto"/>
              </w:rPr>
              <w:t>“IMMY”</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number of shares of our common stock expected to be outstanding after this offering is based on 9,770,678 shares of common stock outstanding as of February 29, 2016, and excludes the following:</w:t>
      </w:r>
    </w:p>
    <w:p>
      <w:pPr>
        <w:spacing w:after="0" w:line="170" w:lineRule="exact"/>
        <w:rPr>
          <w:sz w:val="20"/>
          <w:szCs w:val="20"/>
          <w:color w:val="auto"/>
        </w:rPr>
      </w:pPr>
    </w:p>
    <w:p>
      <w:pPr>
        <w:ind w:left="960" w:right="20" w:hanging="32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1,542,376 shares of common stock issuable upon exercise of options outstanding as of February 29, 2016, which have a weighted average exercise price of $7.05 per share, of which 700,265 shares were exercisable as of February 29, 2016;</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1,483,492 shares of common stock issuable upon the vesting of restricted stock units as of February 29, 2016;</w:t>
      </w:r>
    </w:p>
    <w:p>
      <w:pPr>
        <w:spacing w:after="0" w:line="225" w:lineRule="exact"/>
        <w:rPr>
          <w:rFonts w:ascii="Arial" w:cs="Arial" w:eastAsia="Arial" w:hAnsi="Arial"/>
          <w:sz w:val="18"/>
          <w:szCs w:val="18"/>
          <w:color w:val="auto"/>
        </w:rPr>
      </w:pPr>
    </w:p>
    <w:p>
      <w:pPr>
        <w:ind w:left="960" w:hanging="32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1,340,029 shares of common stock reserved for issuance and available for future grant under our equity incentive plans as of February 29, 2016;</w:t>
      </w:r>
    </w:p>
    <w:p>
      <w:pPr>
        <w:spacing w:after="0" w:line="170" w:lineRule="exact"/>
        <w:rPr>
          <w:rFonts w:ascii="Arial" w:cs="Arial" w:eastAsia="Arial" w:hAnsi="Arial"/>
          <w:sz w:val="18"/>
          <w:szCs w:val="18"/>
          <w:color w:val="auto"/>
        </w:rPr>
      </w:pPr>
    </w:p>
    <w:p>
      <w:pPr>
        <w:jc w:val="both"/>
        <w:ind w:left="960" w:hanging="320"/>
        <w:spacing w:after="0" w:line="288"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240,688 shares of common stock issuable upon exercise of warrants outstanding as of February 29, 2016, which have a weighted average exercise price of $6.40 per share and all of which were exercisable as of February 29, 2016. Pursuant to certain anti-dilution provisions in an outstanding warrant to purchase up to 125,000 of these shares of common stock, upon the closing of this offering, the</w:t>
      </w:r>
    </w:p>
    <w:p>
      <w:pPr>
        <w:ind w:left="960"/>
        <w:spacing w:after="0"/>
        <w:tabs>
          <w:tab w:leader="none" w:pos="5120" w:val="left"/>
        </w:tabs>
        <w:rPr>
          <w:sz w:val="20"/>
          <w:szCs w:val="20"/>
          <w:color w:val="auto"/>
        </w:rPr>
      </w:pPr>
      <w:r>
        <w:rPr>
          <w:rFonts w:ascii="Arial" w:cs="Arial" w:eastAsia="Arial" w:hAnsi="Arial"/>
          <w:sz w:val="18"/>
          <w:szCs w:val="18"/>
          <w:color w:val="auto"/>
        </w:rPr>
        <w:t>exercise price of such warrant will adjust to $</w:t>
      </w:r>
      <w:r>
        <w:rPr>
          <w:sz w:val="20"/>
          <w:szCs w:val="20"/>
          <w:color w:val="auto"/>
        </w:rPr>
        <w:tab/>
      </w:r>
      <w:r>
        <w:rPr>
          <w:rFonts w:ascii="Arial" w:cs="Arial" w:eastAsia="Arial" w:hAnsi="Arial"/>
          <w:sz w:val="16"/>
          <w:szCs w:val="16"/>
          <w:color w:val="auto"/>
        </w:rPr>
        <w:t>per share, the price per share to the public in this offering; and</w:t>
      </w:r>
    </w:p>
    <w:p>
      <w:pPr>
        <w:spacing w:after="0" w:line="211" w:lineRule="exact"/>
        <w:rPr>
          <w:sz w:val="20"/>
          <w:szCs w:val="20"/>
          <w:color w:val="auto"/>
        </w:rPr>
      </w:pPr>
    </w:p>
    <w:p>
      <w:pPr>
        <w:ind w:left="960" w:hanging="320"/>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508,475 shares of common stock issuable upon conversion of a convertible note outstanding as of February 29, 2016, which was</w:t>
      </w:r>
    </w:p>
    <w:p>
      <w:pPr>
        <w:spacing w:after="0" w:line="35" w:lineRule="exact"/>
        <w:rPr>
          <w:sz w:val="20"/>
          <w:szCs w:val="20"/>
          <w:color w:val="auto"/>
        </w:rPr>
      </w:pPr>
    </w:p>
    <w:p>
      <w:pPr>
        <w:ind w:left="960"/>
        <w:spacing w:after="0" w:line="265" w:lineRule="auto"/>
        <w:rPr>
          <w:sz w:val="20"/>
          <w:szCs w:val="20"/>
          <w:color w:val="auto"/>
        </w:rPr>
      </w:pPr>
      <w:r>
        <w:rPr>
          <w:rFonts w:ascii="Arial" w:cs="Arial" w:eastAsia="Arial" w:hAnsi="Arial"/>
          <w:sz w:val="17"/>
          <w:szCs w:val="17"/>
          <w:color w:val="auto"/>
        </w:rPr>
        <w:t>convertible into shares of common stock at a conversion price of $5.90 per share as of February 29, 2016. Pursuant to certain anti-dilution provisions in the convertible note, upon the closing of this offering, the conversion price of the convertible note will adjust to</w:t>
      </w:r>
    </w:p>
    <w:p>
      <w:pPr>
        <w:ind w:left="960"/>
        <w:spacing w:after="0" w:line="261" w:lineRule="auto"/>
        <w:rPr>
          <w:sz w:val="20"/>
          <w:szCs w:val="20"/>
          <w:color w:val="auto"/>
        </w:rPr>
      </w:pPr>
      <w:r>
        <w:rPr>
          <w:rFonts w:ascii="Arial" w:cs="Arial" w:eastAsia="Arial" w:hAnsi="Arial"/>
          <w:sz w:val="18"/>
          <w:szCs w:val="18"/>
          <w:color w:val="auto"/>
        </w:rPr>
        <w:t>$ per share, the price per share to the public in this offering, and shares of common stock will be issuable upon conversion of the convertible note.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31" w:right="5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w:t>
      </w:r>
    </w:p>
    <w:p>
      <w:pPr>
        <w:jc w:val="both"/>
        <w:spacing w:after="0" w:line="255" w:lineRule="auto"/>
        <w:rPr>
          <w:sz w:val="20"/>
          <w:szCs w:val="20"/>
          <w:color w:val="auto"/>
        </w:rPr>
      </w:pPr>
      <w:r>
        <w:rPr>
          <w:rFonts w:ascii="Arial" w:cs="Arial" w:eastAsia="Arial" w:hAnsi="Arial"/>
          <w:sz w:val="18"/>
          <w:szCs w:val="18"/>
          <w:color w:val="auto"/>
        </w:rPr>
        <w:t>offering, you will suffer immediate and substantial dilution of $ per share in the net tangible book value of the common stock you purchase in this offering. See “Dilution” on page S-12 for a more detailed discussion of the dilution you will incur if you purchase shares of our common stock in this offering.</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and we may not use these proceeds effectively or in a manner with which you agree.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anticipate using the net proceeds from this offering for working capital and general corporate purposes. We have not reserved or allocated amounts for specific purposes, and we cannot specify with certainty how or when we will use any of the net proceeds. Our management will have broad discretion in the application of the net proceeds we receive from this offering, and you will not have the opportunity, as part of your investment decision, to assess whether the proceeds are being used effectively or in a manner with which you agree. The net proceeds may be used for corporate purposes that do not increase our operating results or market value. Until the net proceeds are used, they may be placed in investments that do not produce income or that lose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in the past been, and may in the future be, highly volatile and subject to wide fluctuations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working capital financing when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risks affecting our business discussed in these risk factors and the other risk factors incorporated herein by reference.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any contractual restrictions, such as those contained in our May 2015 loan agreement and related January 2016 note purchase agreement and convertible note with IMMY Funding LLC, an affiliate of Life Sciences Alternative Funding LLC,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sale of substantial amounts of our common stock in the public market, or the perception that such sales could occur, could cause the market price of our common stock to fall. Such sales could occur upon the expiration of any statutory holding period, such as under Rule 144 under the Securities Act of 1933, as amended (the ”Securities Act”), applicable to outstanding shares, upon expiration of any lock-up periods applicable to outstanding shares, such as those described in this prospectus supplement under “Underwriting—Lock-Up,” upon our issuance of shares upon the exercise of outstanding options or warrants, or upon our issuance of shares pursuant to our Controlled Equity Offering™ sales agreement with Cantor Fitzgerald &amp; Co. or any other offerings of our equity securities that we may elect to pursue, such as this offering.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 approximately 18% of our common stock that would be outstanding following such issuances. In addition, four individual stockholders collectively own, or have the right to acquire</w:t>
      </w:r>
    </w:p>
    <w:p>
      <w:pPr>
        <w:jc w:val="both"/>
        <w:spacing w:after="0" w:line="251" w:lineRule="auto"/>
        <w:rPr>
          <w:sz w:val="20"/>
          <w:szCs w:val="20"/>
          <w:color w:val="auto"/>
        </w:rPr>
      </w:pPr>
      <w:r>
        <w:rPr>
          <w:rFonts w:ascii="Arial" w:cs="Arial" w:eastAsia="Arial" w:hAnsi="Arial"/>
          <w:sz w:val="18"/>
          <w:szCs w:val="18"/>
          <w:color w:val="auto"/>
        </w:rPr>
        <w:t>within 60 days after , an additional approximately 35%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numerous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numerous risks, all of which you should consider carefully before making a decision to invest in our common stock. These risks include, among others, those listed below, which are more fully described in the reports we periodically file with the SEC and which are incorporated herein by reference. See “Incorporation of Certain Documents by Reference” and “Where You Can Find More Information” in this prospectus supplement for further information.</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losses in every year of our operations and we may never become profitable.</w:t>
      </w:r>
    </w:p>
    <w:p>
      <w:pPr>
        <w:spacing w:after="0" w:line="225"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aim to sell certain of our proprietary formulations primarily through a unified network of compounding pharmacies. To pursue this goal, we have acquired our four ImprimisRx compounding pharmacies and we have commenced construction efforts on two of these pharmacies, our Texas- and New Jersey-based facilities, in order for these locations to satisfy the requirements to register with the FDA as outsourcing facilities, although we have experienced delays and increased costs in these construction efforts. In spite of our efforts, we may not be successful in developing these facilities into outsourcing facilities, integrating our compounding pharmacies into our operations, or otherwise establishing a unified network of compounding pharmacies, which could materially harm our business plans and our prospects.</w:t>
      </w:r>
    </w:p>
    <w:p>
      <w:pPr>
        <w:spacing w:after="0" w:line="164"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limited experience commercializing our formulations or acquiring, building or operating compounding pharmacies or other prescription dispensing facilities. We have only been pursuing our business as a pharmaceutical company since December 2011, and we have only been pursuing our focus on compounded formulations and compounding pharmacies since November 2013.</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market acceptance of compounding pharmacies and compounded formulations, which contain FDA-approved ingredients but are not themselves approved by the FDA. As a result, physicians may be unwilling to prescribe, and patients may be unwilling to use, our proprietary customizable compounded formulations.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receive sufficient revenue through our ImprimisRx compounding pharmacies or other compounding pharmacies with which we may partner to fund our operations and recover our development costs.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compounding pharmacy business is significantly impacted by state and federal pharmacy, healthcare and other statutes and regulations, which may be costly to comply with and which are subject to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ind w:left="324" w:hanging="324"/>
        <w:spacing w:after="0" w:line="264"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ImprimisRx compounding pharmacies or any other pharmacy or outsourcing facility with which we partner fails to comply with the Controlled Substances Act, the Food Drug and Cosmetic Act or state statutes and regulations, the pharmacy could be required to cease operations or become subject to restrictions that could adversely affect our business.</w:t>
      </w:r>
    </w:p>
    <w:p>
      <w:pPr>
        <w:spacing w:after="0" w:line="181"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pharmaceutical and pharmacy industries are highly competitive, and as a result there are many competitive risks related to marketing and selling our proprietary formulations and operating our compounding pharmacy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revenues will be diminished if we fail to obtain acceptable prices or an adequate level of reimbursement from third-party payors.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successfully identify and acquire rights to potential formulations and successfully integrate them into our operations, our growth opportunities may be limited.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successfully develop and commercialize our proprietary formulations or any other assets we may acquire.</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establish, train and maintain an effective sales and marketing infrastructure, we will not be able to commercialize our proprietary formulations successfully.</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 the past and may in the future participate in strategic transactions that could impact our liquidity, increase our expenses and distract our management.</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significant indebtedness, including our $10 million loan agreement with and $3 million convertible note issued to IMMY Funding LLC, which will require substantial cash to service and which subjects us to certain financial requirements and business restrictions.</w:t>
      </w:r>
    </w:p>
    <w:p>
      <w:pPr>
        <w:spacing w:after="0" w:line="123" w:lineRule="exact"/>
        <w:rPr>
          <w:rFonts w:ascii="Arial" w:cs="Arial" w:eastAsia="Arial" w:hAnsi="Arial"/>
          <w:sz w:val="16"/>
          <w:szCs w:val="16"/>
          <w:color w:val="auto"/>
        </w:rPr>
      </w:pPr>
    </w:p>
    <w:p>
      <w:pPr>
        <w:jc w:val="both"/>
        <w:ind w:left="324" w:hanging="324"/>
        <w:spacing w:after="0" w:line="312"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correctly estimate our future operating expenses or capital expenditures. For example, we have incurred and expect to continue to incur greater than anticipated expenses developing our Texas- and New Jersey-based pharmacy facilities into outsourcing facilities and registering them as such with the FDA. Our inability to correctly estimate our expenses could lead to cash shortfalls.</w:t>
      </w:r>
    </w:p>
    <w:p>
      <w:pPr>
        <w:spacing w:after="0" w:line="146"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additional capital in order to continue operating our business, and such additional funds may not be available when needed, on acceptable terms, or at all.</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cybersecurity or other systems failures.</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seek FDA approval to market and sell any of our proprietary formulations, we may be unable to demonstrate the necessary safety and efficacy to obtain such FDA approval.</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completion of, or the termination of, any clinical or non-clinical trials for any product candidates for which we may seek FDA approval could adversely affect our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in the U.S. or abroad, we may not be able to prevent others from using our intellectual property, which may reduce the competitiveness and value of the related assets.</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proprietary formulations and technologies could potentially conflict with the rights of others, which may result in legal actions or force us to alter our products, cease or limit our operations relating to the affected products, or seek to obtain a license in order to continue manufacturing the affected products, which may not be available on acceptable terms or at all.</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11" w:name="page12"/>
    <w:bookmarkEnd w:id="11"/>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controls, we may not be able to accurately report our financial results.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dependent on our Chief Executive Officer, Mark L. Baum, for the continued growth and development of our Company.</w:t>
      </w:r>
    </w:p>
    <w:p>
      <w:pPr>
        <w:spacing w:after="0" w:line="225"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attract and retain key personnel and outside consultants, we may be unable to maintain or expand our business. We depend upon consultants and other third party service providers for key aspects of our business, which we may be unable to sufficiently manage.</w:t>
      </w:r>
    </w:p>
    <w:p>
      <w:pPr>
        <w:spacing w:after="0" w:line="1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USE OF PROCEEDS</w:t>
      </w:r>
    </w:p>
    <w:p>
      <w:pPr>
        <w:sectPr>
          <w:pgSz w:w="11900" w:h="16838" w:orient="portrait"/>
          <w:cols w:equalWidth="0" w:num="1">
            <w:col w:w="11420"/>
          </w:cols>
          <w:pgMar w:left="240" w:top="688" w:right="239" w:bottom="1440" w:gutter="0" w:footer="0" w:header="0"/>
        </w:sectPr>
      </w:pPr>
    </w:p>
    <w:p>
      <w:pPr>
        <w:spacing w:after="0" w:line="241" w:lineRule="exact"/>
        <w:rPr>
          <w:sz w:val="20"/>
          <w:szCs w:val="20"/>
          <w:color w:val="auto"/>
        </w:rPr>
      </w:pPr>
    </w:p>
    <w:p>
      <w:pPr>
        <w:ind w:left="660"/>
        <w:spacing w:after="0"/>
        <w:tabs>
          <w:tab w:leader="none" w:pos="7080" w:val="left"/>
        </w:tabs>
        <w:rPr>
          <w:sz w:val="20"/>
          <w:szCs w:val="20"/>
          <w:color w:val="auto"/>
        </w:rPr>
      </w:pPr>
      <w:r>
        <w:rPr>
          <w:rFonts w:ascii="Arial" w:cs="Arial" w:eastAsia="Arial" w:hAnsi="Arial"/>
          <w:sz w:val="18"/>
          <w:szCs w:val="18"/>
          <w:color w:val="auto"/>
        </w:rPr>
        <w:t>We estimate that our net proceeds from this offering will be approximately $</w:t>
      </w:r>
      <w:r>
        <w:rPr>
          <w:sz w:val="20"/>
          <w:szCs w:val="20"/>
          <w:color w:val="auto"/>
        </w:rPr>
        <w:tab/>
      </w:r>
      <w:r>
        <w:rPr>
          <w:rFonts w:ascii="Arial" w:cs="Arial" w:eastAsia="Arial" w:hAnsi="Arial"/>
          <w:sz w:val="16"/>
          <w:szCs w:val="16"/>
          <w:color w:val="auto"/>
        </w:rPr>
        <w:t>(or approximately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if the underwriters exercise</w:t>
      </w:r>
    </w:p>
    <w:p>
      <w:pPr>
        <w:spacing w:after="0" w:line="45" w:lineRule="exact"/>
        <w:rPr>
          <w:sz w:val="20"/>
          <w:szCs w:val="20"/>
          <w:color w:val="auto"/>
        </w:rPr>
      </w:pPr>
    </w:p>
    <w:p>
      <w:pPr>
        <w:sectPr>
          <w:pgSz w:w="11900" w:h="16838" w:orient="portrait"/>
          <w:cols w:equalWidth="0" w:num="2">
            <w:col w:w="8720" w:space="720"/>
            <w:col w:w="198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their over-allotment option in full), after deducting the underwriting discount and estimated offering expenses payable by us.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use the net proceeds from this offering for working capital and general corporate purposes, which may include, among other things, expenditures associated with our efforts to develop our compounding pharmacies in Texas and New Jersey into outsourcing facilities.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Amounts and timing of our actual expenditures will depend on numerous factors, including our pharmacy development and formulation commercialization efforts, as well as the amount of cash we use in our operations. Our management will have broad discretion in applying the net proceeds from this offering.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funds are used, we intend to invest the net proceeds from this offering in interest-bearing money market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net tangible book value (deficit) as of September 30, 2015 was approximately $(2,345,000), or approximately $(0.24) per share. Net tangible book value (deficit) is determined by subtracting our total liabilities from our total tangible assets, and net tangible book value (deficit) per share is determined by dividing our net tangible book value (deficit) by the number of outstanding shares of our common stock. After giving effect to the sale</w:t>
      </w:r>
    </w:p>
    <w:p>
      <w:pPr>
        <w:jc w:val="both"/>
        <w:spacing w:after="0" w:line="265" w:lineRule="auto"/>
        <w:rPr>
          <w:sz w:val="20"/>
          <w:szCs w:val="20"/>
          <w:color w:val="auto"/>
        </w:rPr>
      </w:pPr>
      <w:r>
        <w:rPr>
          <w:rFonts w:ascii="Arial" w:cs="Arial" w:eastAsia="Arial" w:hAnsi="Arial"/>
          <w:sz w:val="17"/>
          <w:szCs w:val="17"/>
          <w:color w:val="auto"/>
        </w:rPr>
        <w:t>of shares of our common stock in this offering at the public offering price of $ per share, and after deducting the underwriting discount and estimated offering expenses payable by us, our adjusted net tangible book value (deficit) as of September 30, 2015 would have been approximately</w:t>
      </w:r>
    </w:p>
    <w:tbl>
      <w:tblPr>
        <w:tblLayout w:type="fixed"/>
        <w:tblInd w:w="0" w:type="dxa"/>
        <w:tblCellMar>
          <w:top w:w="0" w:type="dxa"/>
          <w:left w:w="0" w:type="dxa"/>
          <w:bottom w:w="0" w:type="dxa"/>
          <w:right w:w="0" w:type="dxa"/>
        </w:tblCellMar>
      </w:tblPr>
      <w:tr>
        <w:trPr>
          <w:trHeight w:val="202"/>
        </w:trPr>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3560" w:type="dxa"/>
            <w:vAlign w:val="bottom"/>
          </w:tcPr>
          <w:p>
            <w:pPr>
              <w:ind w:left="1120"/>
              <w:spacing w:after="0" w:line="202" w:lineRule="exact"/>
              <w:rPr>
                <w:sz w:val="20"/>
                <w:szCs w:val="20"/>
                <w:color w:val="auto"/>
              </w:rPr>
            </w:pPr>
            <w:r>
              <w:rPr>
                <w:rFonts w:ascii="Arial" w:cs="Arial" w:eastAsia="Arial" w:hAnsi="Arial"/>
                <w:sz w:val="18"/>
                <w:szCs w:val="18"/>
                <w:color w:val="auto"/>
              </w:rPr>
              <w:t>, or approximately $</w:t>
            </w:r>
          </w:p>
        </w:tc>
        <w:tc>
          <w:tcPr>
            <w:tcW w:w="7720" w:type="dxa"/>
            <w:vAlign w:val="bottom"/>
            <w:gridSpan w:val="7"/>
          </w:tcPr>
          <w:p>
            <w:pPr>
              <w:jc w:val="right"/>
              <w:spacing w:after="0" w:line="202" w:lineRule="exact"/>
              <w:rPr>
                <w:sz w:val="20"/>
                <w:szCs w:val="20"/>
                <w:color w:val="auto"/>
              </w:rPr>
            </w:pPr>
            <w:r>
              <w:rPr>
                <w:rFonts w:ascii="Arial" w:cs="Arial" w:eastAsia="Arial" w:hAnsi="Arial"/>
                <w:sz w:val="18"/>
                <w:szCs w:val="18"/>
                <w:color w:val="auto"/>
                <w:w w:val="95"/>
              </w:rPr>
              <w:t>per share. This represents an immediate increase in net tangible book value (deficit) of approximately</w:t>
            </w:r>
          </w:p>
        </w:tc>
        <w:tc>
          <w:tcPr>
            <w:tcW w:w="0" w:type="dxa"/>
            <w:vAlign w:val="bottom"/>
          </w:tcPr>
          <w:p>
            <w:pPr>
              <w:spacing w:after="0"/>
              <w:rPr>
                <w:sz w:val="1"/>
                <w:szCs w:val="1"/>
                <w:color w:val="auto"/>
              </w:rPr>
            </w:pPr>
          </w:p>
        </w:tc>
      </w:tr>
      <w:tr>
        <w:trPr>
          <w:trHeight w:val="216"/>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960" w:type="dxa"/>
            <w:vAlign w:val="bottom"/>
            <w:gridSpan w:val="6"/>
          </w:tcPr>
          <w:p>
            <w:pPr>
              <w:ind w:left="880"/>
              <w:spacing w:after="0"/>
              <w:rPr>
                <w:sz w:val="20"/>
                <w:szCs w:val="20"/>
                <w:color w:val="auto"/>
              </w:rPr>
            </w:pPr>
            <w:r>
              <w:rPr>
                <w:rFonts w:ascii="Arial" w:cs="Arial" w:eastAsia="Arial" w:hAnsi="Arial"/>
                <w:sz w:val="18"/>
                <w:szCs w:val="18"/>
                <w:color w:val="auto"/>
                <w:w w:val="96"/>
              </w:rPr>
              <w:t>per share to our existing stockholders and an immediate dilution in net tangible book value (deficit) of approximately $</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per share to</w:t>
            </w:r>
          </w:p>
        </w:tc>
        <w:tc>
          <w:tcPr>
            <w:tcW w:w="0" w:type="dxa"/>
            <w:vAlign w:val="bottom"/>
          </w:tcPr>
          <w:p>
            <w:pPr>
              <w:spacing w:after="0"/>
              <w:rPr>
                <w:sz w:val="1"/>
                <w:szCs w:val="1"/>
                <w:color w:val="auto"/>
              </w:rPr>
            </w:pPr>
          </w:p>
        </w:tc>
      </w:tr>
      <w:tr>
        <w:trPr>
          <w:trHeight w:val="230"/>
        </w:trPr>
        <w:tc>
          <w:tcPr>
            <w:tcW w:w="9180" w:type="dxa"/>
            <w:vAlign w:val="bottom"/>
            <w:gridSpan w:val="6"/>
          </w:tcPr>
          <w:p>
            <w:pPr>
              <w:spacing w:after="0"/>
              <w:rPr>
                <w:sz w:val="20"/>
                <w:szCs w:val="20"/>
                <w:color w:val="auto"/>
              </w:rPr>
            </w:pPr>
            <w:r>
              <w:rPr>
                <w:rFonts w:ascii="Arial" w:cs="Arial" w:eastAsia="Arial" w:hAnsi="Arial"/>
                <w:sz w:val="18"/>
                <w:szCs w:val="18"/>
                <w:color w:val="auto"/>
              </w:rPr>
              <w:t>investors participating in this offering. The following table illustrates this calculation on a per share basis: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Public offering price per share of common stock</w:t>
            </w:r>
          </w:p>
        </w:tc>
        <w:tc>
          <w:tcPr>
            <w:tcW w:w="30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tangible book value (deficit) per share as of September 30, 2015</w:t>
            </w:r>
          </w:p>
        </w:tc>
        <w:tc>
          <w:tcPr>
            <w:tcW w:w="2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16" w:lineRule="exact"/>
              <w:rPr>
                <w:sz w:val="20"/>
                <w:szCs w:val="20"/>
                <w:color w:val="auto"/>
              </w:rPr>
            </w:pPr>
            <w:r>
              <w:rPr>
                <w:rFonts w:ascii="Arial" w:cs="Arial" w:eastAsia="Arial" w:hAnsi="Arial"/>
                <w:sz w:val="18"/>
                <w:szCs w:val="18"/>
                <w:color w:val="auto"/>
              </w:rPr>
              <w:t>(0.24</w:t>
            </w:r>
            <w:r>
              <w:rPr>
                <w:rFonts w:ascii="Arial" w:cs="Arial" w:eastAsia="Arial" w:hAnsi="Arial"/>
                <w:sz w:val="19"/>
                <w:szCs w:val="19"/>
                <w:color w:val="auto"/>
              </w:rPr>
              <w:t>)</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2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Adjusted net tangible book value (deficit) per share after giving effect to this offering</w:t>
            </w:r>
          </w:p>
        </w:tc>
        <w:tc>
          <w:tcPr>
            <w:tcW w:w="19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gridSpan w:val="2"/>
          </w:tcPr>
          <w:p>
            <w:pPr>
              <w:jc w:val="right"/>
              <w:ind w:right="107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2"/>
          </w:tcPr>
          <w:p>
            <w:pPr>
              <w:ind w:left="52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80" w:type="dxa"/>
            <w:vAlign w:val="bottom"/>
            <w:gridSpan w:val="6"/>
          </w:tcPr>
          <w:p>
            <w:pPr>
              <w:jc w:val="right"/>
              <w:spacing w:after="0"/>
              <w:rPr>
                <w:sz w:val="20"/>
                <w:szCs w:val="20"/>
                <w:color w:val="auto"/>
              </w:rPr>
            </w:pPr>
            <w:r>
              <w:rPr>
                <w:rFonts w:ascii="Arial" w:cs="Arial" w:eastAsia="Arial" w:hAnsi="Arial"/>
                <w:sz w:val="18"/>
                <w:szCs w:val="18"/>
                <w:color w:val="auto"/>
              </w:rPr>
              <w:t>shares of common stock at the public offering price of</w:t>
            </w:r>
          </w:p>
        </w:tc>
        <w:tc>
          <w:tcPr>
            <w:tcW w:w="0" w:type="dxa"/>
            <w:vAlign w:val="bottom"/>
          </w:tcPr>
          <w:p>
            <w:pPr>
              <w:spacing w:after="0"/>
              <w:rPr>
                <w:sz w:val="1"/>
                <w:szCs w:val="1"/>
                <w:color w:val="auto"/>
              </w:rPr>
            </w:pPr>
          </w:p>
        </w:tc>
      </w:tr>
    </w:tbl>
    <w:p>
      <w:pPr>
        <w:ind w:left="1360" w:hanging="1352"/>
        <w:spacing w:after="0"/>
        <w:tabs>
          <w:tab w:leader="none" w:pos="1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 share, our adjusted net tangible book value (deficit) as of September 30, 2015, after giving effect to this offering, would have been</w:t>
      </w:r>
    </w:p>
    <w:p>
      <w:pPr>
        <w:spacing w:after="0" w:line="3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per share, representing an increase in net tangible book value (deficit) of approximately $ per share to existing stockholders and immediate dilution in net tangible book value (deficit) of approximately $ per share to investors participating in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9,681,646 shares of common stock issued and outstanding as of September 30, 2015 and exclude:</w:t>
      </w:r>
    </w:p>
    <w:p>
      <w:pPr>
        <w:spacing w:after="0" w:line="248"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1,563,213 shares of common stock issuable upon exercise of options outstanding as of September 30, 2015, which have a weighted average exercise price of $7.05 per share, of which 613,121 shares were exercisable as of September 30, 2015;</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1,498,237 shares of common stock issuable upon the vesting of restricted stock units as of September 30,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1,334,192 shares of common stock reserved for issuance and available for future grant under our equity incentive plans as of September 30, 2015;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September 30, 2015, which have a weighted average exercise price of $7.41 per share, of which 240,688 shares were exercisable as of September 30, 2015.</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entered into an underwriting agreement with National Securities Corporation, as representative of the underwriters, pursuant to which the</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underwriters have agreed to purchase from us, severally and not jointly, an aggregate of shares of our common stock to be sold in this offering, at the public offering price set forth on the cover page of this prospectus supplement, less the underwriting discount.</w:t>
      </w:r>
    </w:p>
    <w:p>
      <w:pPr>
        <w:sectPr>
          <w:pgSz w:w="11900" w:h="16838" w:orient="portrait"/>
          <w:cols w:equalWidth="0" w:num="1">
            <w:col w:w="11420"/>
          </w:cols>
          <w:pgMar w:left="240" w:top="688" w:right="239" w:bottom="1440" w:gutter="0" w:footer="0" w:header="0"/>
        </w:sect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-4789805</wp:posOffset>
            </wp:positionH>
            <wp:positionV relativeFrom="paragraph">
              <wp:posOffset>20320</wp:posOffset>
            </wp:positionV>
            <wp:extent cx="57975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7980" w:space="720"/>
            <w:col w:w="2720"/>
          </w:cols>
          <w:pgMar w:left="240" w:top="688" w:right="2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National Securities Corporation</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Sterne Agee CRT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underwriters and their officers, directors, principals, employees, affiliates and shareholders against certain liabilities, including civil liabilities under the Securities Act resulting from this offering and to contribute to payments the underwriters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ectPr>
          <w:pgSz w:w="11900" w:h="16838" w:orient="portrait"/>
          <w:cols w:equalWidth="0" w:num="1">
            <w:col w:w="11420"/>
          </w:cols>
          <w:pgMar w:left="240" w:top="688" w:right="239" w:bottom="1440" w:gutter="0" w:footer="0" w:header="0"/>
          <w:type w:val="continuous"/>
        </w:sectPr>
      </w:pP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underwriters have advised us that they propose to initially offer the shares of common stock to the public at $ initial offering of the shares, the underwriters may from time to time vary the offering price and other selling terms.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per share. After the</w:t>
      </w:r>
    </w:p>
    <w:p>
      <w:pPr>
        <w:spacing w:after="0" w:line="460" w:lineRule="exact"/>
        <w:rPr>
          <w:sz w:val="20"/>
          <w:szCs w:val="20"/>
          <w:color w:val="auto"/>
        </w:rPr>
      </w:pPr>
    </w:p>
    <w:p>
      <w:pPr>
        <w:sectPr>
          <w:pgSz w:w="11900" w:h="16838" w:orient="portrait"/>
          <w:cols w:equalWidth="0" w:num="2">
            <w:col w:w="9280" w:space="720"/>
            <w:col w:w="142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Over-allotment Option to Purchase Additional Shares</w:t>
      </w:r>
    </w:p>
    <w:p>
      <w:pPr>
        <w:spacing w:after="0" w:line="229" w:lineRule="exact"/>
        <w:rPr>
          <w:sz w:val="20"/>
          <w:szCs w:val="20"/>
          <w:color w:val="auto"/>
        </w:rPr>
      </w:pPr>
    </w:p>
    <w:p>
      <w:pPr>
        <w:ind w:left="660"/>
        <w:spacing w:after="0"/>
        <w:tabs>
          <w:tab w:leader="none" w:pos="6460" w:val="left"/>
        </w:tabs>
        <w:rPr>
          <w:sz w:val="20"/>
          <w:szCs w:val="20"/>
          <w:color w:val="auto"/>
        </w:rPr>
      </w:pPr>
      <w:r>
        <w:rPr>
          <w:rFonts w:ascii="Arial" w:cs="Arial" w:eastAsia="Arial" w:hAnsi="Arial"/>
          <w:sz w:val="18"/>
          <w:szCs w:val="18"/>
          <w:color w:val="auto"/>
        </w:rPr>
        <w:t>We have granted to the underwriters an option to purchase up to</w:t>
      </w:r>
      <w:r>
        <w:rPr>
          <w:sz w:val="20"/>
          <w:szCs w:val="20"/>
          <w:color w:val="auto"/>
        </w:rPr>
        <w:tab/>
      </w:r>
      <w:r>
        <w:rPr>
          <w:rFonts w:ascii="Arial" w:cs="Arial" w:eastAsia="Arial" w:hAnsi="Arial"/>
          <w:sz w:val="16"/>
          <w:szCs w:val="16"/>
          <w:color w:val="auto"/>
        </w:rPr>
        <w:t>additional shares of common stock from us at the same price to the</w:t>
      </w:r>
    </w:p>
    <w:p>
      <w:pPr>
        <w:sectPr>
          <w:pgSz w:w="11900" w:h="16838" w:orient="portrait"/>
          <w:cols w:equalWidth="0" w:num="1">
            <w:col w:w="11420"/>
          </w:cols>
          <w:pgMar w:left="240" w:top="688" w:right="239" w:bottom="1440" w:gutter="0" w:footer="0" w:header="0"/>
          <w:type w:val="continuous"/>
        </w:sectPr>
      </w:pP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public, less the same underwriting discount, as set forth in the table on the cover page of this prospectus supplement. The underwriters may exercise this option any time during the 45-day period after the date of this prospectus supplement, but only to cover over-allotments, if any, including as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of our officers and directors have entered into a lock-up agreement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120 days following the date of this prospectus supplement, such persons may not offer, sell, pledge or otherwise dispose of these securities without the prior written consent of National Securities Corporation. In addition, we have agreed, subject to certain exceptions, for a period of 120 days following the date of this prospectus supplement, not to offer, sell, pledge or otherwise dispose of shares of our common stock and other of our securities, including securities that are convertible into shares of common stock and securities that are exchangeable or exercisable for shares of common stock, without the prior written consent of National Securities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 and Expenses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summarizes the per share underwriting discount to the public offering price of the shares offered pursuant to this prospectus supplement. These amounts are shown assuming both no exercise and full exercise of the over-allotment option. We have also agreed to pay up to $60,000 of the out-of-pocket fees and expenses of the underwriters, which include the fees and expenses of counsel to the underwriters, plus a non-accountable expense allowance in the amount of 50% of any underwriting compensation payable to Sterne Agee CRT in connection with the sale of the shares in this offering. The fees and expenses of the underwriters that we have agreed to reimburse are not included in the underwriting discount set forth in the table below. The underwriting discount was determined through arms’ length negotiations between us and the underwriters.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6" w:name="page17"/>
    <w:bookmarkEnd w:id="16"/>
    <w:tbl>
      <w:tblPr>
        <w:tblLayout w:type="fixed"/>
        <w:tblInd w:w="58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40" w:type="dxa"/>
            <w:vAlign w:val="bottom"/>
            <w:gridSpan w:val="4"/>
          </w:tcPr>
          <w:p>
            <w:pPr>
              <w:ind w:left="60"/>
              <w:spacing w:after="0"/>
              <w:rPr>
                <w:sz w:val="20"/>
                <w:szCs w:val="20"/>
                <w:color w:val="auto"/>
              </w:rPr>
            </w:pPr>
            <w:r>
              <w:rPr>
                <w:rFonts w:ascii="Arial" w:cs="Arial" w:eastAsia="Arial" w:hAnsi="Arial"/>
                <w:sz w:val="18"/>
                <w:szCs w:val="18"/>
                <w:b w:val="1"/>
                <w:bCs w:val="1"/>
                <w:color w:val="auto"/>
              </w:rPr>
              <w:t>Total</w:t>
            </w:r>
          </w:p>
        </w:tc>
      </w:tr>
      <w:tr>
        <w:trPr>
          <w:trHeight w:val="198"/>
        </w:trPr>
        <w:tc>
          <w:tcPr>
            <w:tcW w:w="5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b w:val="1"/>
                <w:bCs w:val="1"/>
                <w:color w:val="auto"/>
                <w:w w:val="90"/>
              </w:rPr>
              <w:t>Without Exercise</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With Exercise</w:t>
            </w:r>
          </w:p>
        </w:tc>
        <w:tc>
          <w:tcPr>
            <w:tcW w:w="100" w:type="dxa"/>
            <w:vAlign w:val="bottom"/>
          </w:tcPr>
          <w:p>
            <w:pPr>
              <w:spacing w:after="0"/>
              <w:rPr>
                <w:sz w:val="17"/>
                <w:szCs w:val="17"/>
                <w:color w:val="auto"/>
              </w:rPr>
            </w:pPr>
          </w:p>
        </w:tc>
      </w:tr>
      <w:tr>
        <w:trPr>
          <w:trHeight w:val="216"/>
        </w:trPr>
        <w:tc>
          <w:tcPr>
            <w:tcW w:w="5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of Option to</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of Option to</w:t>
            </w:r>
          </w:p>
        </w:tc>
      </w:tr>
      <w:tr>
        <w:trPr>
          <w:trHeight w:val="216"/>
        </w:trPr>
        <w:tc>
          <w:tcPr>
            <w:tcW w:w="5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w:t>
            </w:r>
          </w:p>
        </w:tc>
      </w:tr>
      <w:tr>
        <w:trPr>
          <w:trHeight w:val="216"/>
        </w:trPr>
        <w:tc>
          <w:tcPr>
            <w:tcW w:w="5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Additional</w:t>
            </w:r>
          </w:p>
        </w:tc>
      </w:tr>
      <w:tr>
        <w:trPr>
          <w:trHeight w:val="241"/>
        </w:trPr>
        <w:tc>
          <w:tcPr>
            <w:tcW w:w="588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Common Shares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Shares</w:t>
            </w:r>
          </w:p>
        </w:tc>
      </w:tr>
      <w:tr>
        <w:trPr>
          <w:trHeight w:val="21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 for common stock to be paid by us</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5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Notwithstanding the foregoing, we and the underwriters have agreed that the underwriters will only be entitled to a 3.0% discount (or $ per share) for the participation of two investors with which we have a pre-existing relationship.</w:t>
      </w:r>
    </w:p>
    <w:p>
      <w:pPr>
        <w:spacing w:after="0" w:line="17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estimate that the total expenses of the offering, excluding the underwriting discount, will be approximately $ without the exercise of the over-allotment option and $ assuming the full exercise of the over-allotment option. This includes $60,000 of the out-of-pocket fees and</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expenses of the underwriters, plus a non-accountable expense allowance in the amount of 50% of any underwriting compensation payable to Sterne Agee CRT in connection with the sale of the shares in this offering. These expenses are payable by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deducting fees due to the underwriters and our estimated offering expenses, we expect our net proceeds from this offering to be approximately</w:t>
      </w:r>
    </w:p>
    <w:p>
      <w:pPr>
        <w:spacing w:after="0" w:line="46" w:lineRule="exact"/>
        <w:rPr>
          <w:sz w:val="20"/>
          <w:szCs w:val="20"/>
          <w:color w:val="auto"/>
        </w:rPr>
      </w:pPr>
    </w:p>
    <w:p>
      <w:pPr>
        <w:ind w:left="1000" w:hanging="99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facilitate the offering, the underwriters may engage in transactions that stabilize, maintain or otherwise affect the price of the common stock during and after the offering. Specifically, the underwriters may over-allot or otherwise create a short position in the common stock for their own account by selling more shares of common stock than have been sold to them by us. The underwriters may elect to cover any such short position by purchasing shares of common stock in the open market or by exercising the over-allotment option granted to the underwriters. In addition, the underwriters may stabilize or maintain the price of the common stock by bidding for or purchasing shares of common stock in the open market and may impose penalty bids. If penalty bids are imposed, selling concessions allowed to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Capital Market, or otherwise and, if commenced, may be discontinued at any time. Neither we nor the underwriters make any representation or prediction as to the effect that the transactions described above may have on the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this offering, the underwriters (and any dealers that are members of the selling group) may also engage in passive market making transactions in our common stock. Passive market making consists of displaying bids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prospectus supplement in electronic format may be made available on the websites maintained by the underwriters and the underwriters may distribute prospectuses electronically. In those cases, prospective investors may view offering terms and a prospectus online and place orders online or through their financial advisors. Other than the prospectus in electronic format, the information on these websites is not part of this prospectus supplement, the accompanying prospectus or the registration statement of which this prospectus supplement and the accompanying prospectus form a part, has not been approved or endorsed by us or the underwriters, and should not be relied upon by investors.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Relationships with the Underwriters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From time to time in the ordinary course of business, the underwriters and their respective affiliates may in the future perform various commercial banking, financial advisory, investment banking and other financial services for us for which it will receive customary fees and reimbursement of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validity of the securities offered by this prospectus supplement will be passed upon for us by Golenbock Eiseman Assor Bell &amp; Peskoe LLP, New York, New York. Greenberg Traurig, LLP, Irvine, California, is acting as counsel for the representative of the underwriters in connection with this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subsidiary included in the Company’s Annual Report on Form 10-K for the year ended December 31, 2014 have been audited by KMJ Corbin &amp; Company LLP, an independent registered public accounting firm, as stated in their report which is incorporated by reference herein, and has been so incorporated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jc w:val="both"/>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2014 filed with the SEC on March 12, 2015 (and any portions of our Definitive Proxy Statement on Schedule 14A filed on April 10, 2015 that are incorporated by reference into such Annual Report on Form 10-K);</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June 30, 2015 and September 30, 2015 filed with the SEC on May 13, 2015, August 12, 2015, and November 12, 2015, respectively;</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2015, January 6, 2015, February 2, 2015, May 12, 2015, May 15, 2015, July 16, 2015, August 5, 2015, August 12, 2015, September 2, 2015, September 29, 2015, October 20, 2015, November 27, 2015, December 28, 2015, January 25, 2016, and March 11, 2016, and the amendments to our Current Reports on Form 8-K filed with the SEC on March 12, 2015 and August 6, 2015; and</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(SEC File No. 333-198675)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www.imprimispharma.com. We have not incorporated by reference into this prospectus supplement the information on our website and it is not a part of this document.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$75,000,000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IMPRIMIS PHARMACEUTICALS,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4060" w:hanging="162"/>
        <w:spacing w:after="0"/>
        <w:tabs>
          <w:tab w:leader="none" w:pos="4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4060" w:hanging="162"/>
        <w:spacing w:after="0"/>
        <w:tabs>
          <w:tab w:leader="none" w:pos="4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2014, the closing price of our common stock on the NASDAQCM was $8.22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24">
              <w:r>
                <w:rPr>
                  <w:rFonts w:ascii="Arial" w:cs="Arial" w:eastAsia="Arial" w:hAnsi="Arial"/>
                  <w:sz w:val="15"/>
                  <w:szCs w:val="15"/>
                  <w:color w:val="0000EE"/>
                </w:rPr>
                <w:t>PROSPECTUS SUMMARY</w:t>
              </w:r>
            </w:hyperlink>
          </w:p>
        </w:tc>
        <w:tc>
          <w:tcPr>
            <w:tcW w:w="8300" w:type="dxa"/>
            <w:vAlign w:val="bottom"/>
            <w:tcBorders>
              <w:bottom w:val="single" w:sz="8" w:color="CCEEFF"/>
            </w:tcBorders>
            <w:gridSpan w:val="7"/>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FORWARD-LOOKING STATEMENTS</w:t>
              </w:r>
            </w:hyperlink>
          </w:p>
        </w:tc>
        <w:tc>
          <w:tcPr>
            <w:tcW w:w="746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DILUTION</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CAPITAL STOCK</w:t>
              </w:r>
            </w:hyperlink>
          </w:p>
        </w:tc>
        <w:tc>
          <w:tcPr>
            <w:tcW w:w="752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DEPOSITARY SHARES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THE WARRANTS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DEBT SECURITIES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834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EXPERTS</w:t>
              </w:r>
            </w:hyperlink>
          </w:p>
        </w:tc>
        <w:tc>
          <w:tcPr>
            <w:tcW w:w="9620" w:type="dxa"/>
            <w:vAlign w:val="bottom"/>
            <w:tcBorders>
              <w:bottom w:val="single" w:sz="8" w:color="CCEEFF"/>
            </w:tcBorders>
            <w:gridSpan w:val="1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8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the end of two years after such payment was due, will be repaid to us thereafter. The holder may look only to us for such payment.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2489835</wp:posOffset>
            </wp:positionH>
            <wp:positionV relativeFrom="page">
              <wp:posOffset>431800</wp:posOffset>
            </wp:positionV>
            <wp:extent cx="2581275" cy="1166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154940</wp:posOffset>
            </wp:positionV>
            <wp:extent cx="36188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161925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National Securities Corporation</w:t>
      </w: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Sterne Agee CRT</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lvl w:ilvl="1">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2020-01-19T20:05:01Z</dcterms:created>
  <dcterms:modified xsi:type="dcterms:W3CDTF">2020-01-19T20:05:01Z</dcterms:modified>
</cp:coreProperties>
</file>