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25, 2017</w:t>
      </w:r>
    </w:p>
    <w:p>
      <w:pPr>
        <w:spacing w:after="0" w:line="225" w:lineRule="exact"/>
        <w:rPr>
          <w:sz w:val="24"/>
          <w:szCs w:val="24"/>
          <w:color w:val="auto"/>
        </w:rPr>
      </w:pPr>
    </w:p>
    <w:p>
      <w:pPr>
        <w:ind w:left="9340"/>
        <w:spacing w:after="0"/>
        <w:rPr>
          <w:sz w:val="20"/>
          <w:szCs w:val="20"/>
          <w:color w:val="auto"/>
        </w:rPr>
      </w:pPr>
      <w:r>
        <w:rPr>
          <w:rFonts w:ascii="Arial" w:cs="Arial" w:eastAsia="Arial" w:hAnsi="Arial"/>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8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3"/>
              </w:rPr>
              <w:t>Delaware</w:t>
            </w:r>
          </w:p>
        </w:tc>
        <w:tc>
          <w:tcPr>
            <w:tcW w:w="37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56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i w:val="1"/>
                <w:iCs w:val="1"/>
                <w:color w:val="auto"/>
                <w:w w:val="94"/>
              </w:rPr>
              <w:t>(State or other jurisdiction</w:t>
            </w: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jc w:val="center"/>
              <w:ind w:right="1770"/>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7680" w:type="dxa"/>
            <w:vAlign w:val="bottom"/>
            <w:gridSpan w:val="5"/>
          </w:tcPr>
          <w:p>
            <w:pPr>
              <w:jc w:val="center"/>
              <w:ind w:right="2060"/>
              <w:spacing w:after="0"/>
              <w:rPr>
                <w:sz w:val="20"/>
                <w:szCs w:val="20"/>
                <w:color w:val="auto"/>
              </w:rPr>
            </w:pPr>
            <w:r>
              <w:rPr>
                <w:rFonts w:ascii="Arial" w:cs="Arial" w:eastAsia="Arial" w:hAnsi="Arial"/>
                <w:sz w:val="18"/>
                <w:szCs w:val="18"/>
                <w:i w:val="1"/>
                <w:iCs w:val="1"/>
                <w:color w:val="auto"/>
                <w:w w:val="95"/>
              </w:rPr>
              <w:t>of incorporation or organization)</w:t>
            </w:r>
          </w:p>
        </w:tc>
        <w:tc>
          <w:tcPr>
            <w:tcW w:w="3740" w:type="dxa"/>
            <w:vAlign w:val="bottom"/>
          </w:tcPr>
          <w:p>
            <w:pPr>
              <w:jc w:val="center"/>
              <w:ind w:right="175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7680" w:type="dxa"/>
            <w:vAlign w:val="bottom"/>
            <w:gridSpan w:val="5"/>
          </w:tcPr>
          <w:p>
            <w:pPr>
              <w:jc w:val="center"/>
              <w:ind w:left="3650"/>
              <w:spacing w:after="0"/>
              <w:rPr>
                <w:sz w:val="20"/>
                <w:szCs w:val="20"/>
                <w:color w:val="auto"/>
              </w:rPr>
            </w:pPr>
            <w:r>
              <w:rPr>
                <w:rFonts w:ascii="Arial" w:cs="Arial" w:eastAsia="Arial" w:hAnsi="Arial"/>
                <w:sz w:val="18"/>
                <w:szCs w:val="18"/>
                <w:b w:val="1"/>
                <w:bCs w:val="1"/>
                <w:color w:val="auto"/>
                <w:w w:val="90"/>
              </w:rPr>
              <w:t>12264 El Camino Real, Suite 350</w:t>
            </w:r>
          </w:p>
        </w:tc>
        <w:tc>
          <w:tcPr>
            <w:tcW w:w="3740" w:type="dxa"/>
            <w:vAlign w:val="bottom"/>
          </w:tcPr>
          <w:p>
            <w:pPr>
              <w:spacing w:after="0"/>
              <w:rPr>
                <w:sz w:val="24"/>
                <w:szCs w:val="24"/>
                <w:color w:val="auto"/>
              </w:rPr>
            </w:pPr>
          </w:p>
        </w:tc>
      </w:tr>
      <w:tr>
        <w:trPr>
          <w:trHeight w:val="194"/>
        </w:trPr>
        <w:tc>
          <w:tcPr>
            <w:tcW w:w="4900" w:type="dxa"/>
            <w:vAlign w:val="bottom"/>
          </w:tcPr>
          <w:p>
            <w:pPr>
              <w:spacing w:after="0"/>
              <w:rPr>
                <w:sz w:val="16"/>
                <w:szCs w:val="16"/>
                <w:color w:val="auto"/>
              </w:rPr>
            </w:pPr>
          </w:p>
        </w:tc>
        <w:tc>
          <w:tcPr>
            <w:tcW w:w="2780" w:type="dxa"/>
            <w:vAlign w:val="bottom"/>
            <w:gridSpan w:val="4"/>
          </w:tcPr>
          <w:p>
            <w:pPr>
              <w:jc w:val="center"/>
              <w:ind w:right="1160"/>
              <w:spacing w:after="0" w:line="194" w:lineRule="exact"/>
              <w:rPr>
                <w:sz w:val="20"/>
                <w:szCs w:val="20"/>
                <w:color w:val="auto"/>
              </w:rPr>
            </w:pPr>
            <w:r>
              <w:rPr>
                <w:rFonts w:ascii="Arial" w:cs="Arial" w:eastAsia="Arial" w:hAnsi="Arial"/>
                <w:sz w:val="18"/>
                <w:szCs w:val="18"/>
                <w:b w:val="1"/>
                <w:bCs w:val="1"/>
                <w:color w:val="auto"/>
                <w:w w:val="90"/>
              </w:rPr>
              <w:t>San Diego, CA 92130</w:t>
            </w:r>
          </w:p>
        </w:tc>
        <w:tc>
          <w:tcPr>
            <w:tcW w:w="3740" w:type="dxa"/>
            <w:vAlign w:val="bottom"/>
          </w:tcPr>
          <w:p>
            <w:pPr>
              <w:spacing w:after="0"/>
              <w:rPr>
                <w:sz w:val="16"/>
                <w:szCs w:val="16"/>
                <w:color w:val="auto"/>
              </w:rPr>
            </w:pPr>
          </w:p>
        </w:tc>
      </w:tr>
      <w:tr>
        <w:trPr>
          <w:trHeight w:val="20"/>
        </w:trPr>
        <w:tc>
          <w:tcPr>
            <w:tcW w:w="4900" w:type="dxa"/>
            <w:vAlign w:val="bottom"/>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37"/>
        </w:trPr>
        <w:tc>
          <w:tcPr>
            <w:tcW w:w="7680" w:type="dxa"/>
            <w:vAlign w:val="bottom"/>
            <w:gridSpan w:val="5"/>
          </w:tcPr>
          <w:p>
            <w:pPr>
              <w:jc w:val="center"/>
              <w:ind w:left="3670"/>
              <w:spacing w:after="0"/>
              <w:rPr>
                <w:sz w:val="20"/>
                <w:szCs w:val="20"/>
                <w:color w:val="auto"/>
              </w:rPr>
            </w:pPr>
            <w:r>
              <w:rPr>
                <w:rFonts w:ascii="Arial" w:cs="Arial" w:eastAsia="Arial" w:hAnsi="Arial"/>
                <w:sz w:val="18"/>
                <w:szCs w:val="18"/>
                <w:i w:val="1"/>
                <w:iCs w:val="1"/>
                <w:color w:val="auto"/>
                <w:w w:val="91"/>
              </w:rPr>
              <w:t>(Address of Principal Executive Offices)(Zip Code)</w:t>
            </w:r>
          </w:p>
        </w:tc>
        <w:tc>
          <w:tcPr>
            <w:tcW w:w="37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Imprimis Pharmaceuticals, Inc. 2017 Incentive Stock and Awards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5715</wp:posOffset>
            </wp:positionV>
            <wp:extent cx="56000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00065"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Hudders,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Golenbock Eiseman Assor Bell &amp; Peskoe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711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907-7349</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 (Check one):</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950"/>
              <w:spacing w:after="0"/>
              <w:rPr>
                <w:sz w:val="20"/>
                <w:szCs w:val="20"/>
                <w:color w:val="auto"/>
              </w:rPr>
            </w:pPr>
            <w:r>
              <w:rPr>
                <w:rFonts w:ascii="Arial" w:cs="Arial" w:eastAsia="Arial" w:hAnsi="Arial"/>
                <w:sz w:val="18"/>
                <w:szCs w:val="18"/>
                <w:b w:val="1"/>
                <w:bCs w:val="1"/>
                <w:color w:val="auto"/>
              </w:rPr>
              <w:t>]</w:t>
            </w:r>
          </w:p>
        </w:tc>
        <w:tc>
          <w:tcPr>
            <w:tcW w:w="3860" w:type="dxa"/>
            <w:vAlign w:val="bottom"/>
          </w:tcPr>
          <w:p>
            <w:pPr>
              <w:ind w:left="1040"/>
              <w:spacing w:after="0"/>
              <w:rPr>
                <w:sz w:val="20"/>
                <w:szCs w:val="20"/>
                <w:color w:val="auto"/>
              </w:rPr>
            </w:pPr>
            <w:r>
              <w:rPr>
                <w:rFonts w:ascii="Arial" w:cs="Arial" w:eastAsia="Arial" w:hAnsi="Arial"/>
                <w:sz w:val="18"/>
                <w:szCs w:val="18"/>
                <w:b w:val="1"/>
                <w:bCs w:val="1"/>
                <w:color w:val="auto"/>
              </w:rPr>
              <w:t>Accelerated Filer</w:t>
            </w:r>
          </w:p>
        </w:tc>
        <w:tc>
          <w:tcPr>
            <w:tcW w:w="840" w:type="dxa"/>
            <w:vAlign w:val="bottom"/>
          </w:tcPr>
          <w:p>
            <w:pPr>
              <w:ind w:left="600"/>
              <w:spacing w:after="0"/>
              <w:rPr>
                <w:sz w:val="20"/>
                <w:szCs w:val="20"/>
                <w:color w:val="auto"/>
              </w:rPr>
            </w:pPr>
            <w:r>
              <w:rPr>
                <w:rFonts w:ascii="Arial" w:cs="Arial" w:eastAsia="Arial" w:hAnsi="Arial"/>
                <w:sz w:val="18"/>
                <w:szCs w:val="18"/>
                <w:b w:val="1"/>
                <w:bCs w:val="1"/>
                <w:color w:val="auto"/>
              </w:rPr>
              <w:t>[ ]</w:t>
            </w:r>
          </w:p>
        </w:tc>
      </w:tr>
      <w:tr>
        <w:trPr>
          <w:trHeight w:val="216"/>
        </w:trPr>
        <w:tc>
          <w:tcPr>
            <w:tcW w:w="332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950"/>
              <w:spacing w:after="0"/>
              <w:rPr>
                <w:sz w:val="20"/>
                <w:szCs w:val="20"/>
                <w:color w:val="auto"/>
              </w:rPr>
            </w:pPr>
            <w:r>
              <w:rPr>
                <w:rFonts w:ascii="Arial" w:cs="Arial" w:eastAsia="Arial" w:hAnsi="Arial"/>
                <w:sz w:val="18"/>
                <w:szCs w:val="18"/>
                <w:b w:val="1"/>
                <w:bCs w:val="1"/>
                <w:color w:val="auto"/>
              </w:rPr>
              <w:t>]</w:t>
            </w:r>
          </w:p>
        </w:tc>
        <w:tc>
          <w:tcPr>
            <w:tcW w:w="3860" w:type="dxa"/>
            <w:vAlign w:val="bottom"/>
          </w:tcPr>
          <w:p>
            <w:pPr>
              <w:ind w:left="1040"/>
              <w:spacing w:after="0"/>
              <w:rPr>
                <w:sz w:val="20"/>
                <w:szCs w:val="20"/>
                <w:color w:val="auto"/>
              </w:rPr>
            </w:pPr>
            <w:r>
              <w:rPr>
                <w:rFonts w:ascii="Arial" w:cs="Arial" w:eastAsia="Arial" w:hAnsi="Arial"/>
                <w:sz w:val="18"/>
                <w:szCs w:val="18"/>
                <w:b w:val="1"/>
                <w:bCs w:val="1"/>
                <w:color w:val="auto"/>
              </w:rPr>
              <w:t>Smaller Reporting Company</w:t>
            </w:r>
          </w:p>
        </w:tc>
        <w:tc>
          <w:tcPr>
            <w:tcW w:w="840" w:type="dxa"/>
            <w:vAlign w:val="bottom"/>
          </w:tcPr>
          <w:p>
            <w:pPr>
              <w:ind w:left="600"/>
              <w:spacing w:after="0"/>
              <w:rPr>
                <w:sz w:val="20"/>
                <w:szCs w:val="20"/>
                <w:color w:val="auto"/>
              </w:rPr>
            </w:pPr>
            <w:r>
              <w:rPr>
                <w:rFonts w:ascii="Arial" w:cs="Arial" w:eastAsia="Arial" w:hAnsi="Arial"/>
                <w:sz w:val="18"/>
                <w:szCs w:val="18"/>
                <w:b w:val="1"/>
                <w:bCs w:val="1"/>
                <w:color w:val="auto"/>
                <w:w w:val="91"/>
              </w:rPr>
              <w:t>[X]</w:t>
            </w:r>
          </w:p>
        </w:tc>
      </w:tr>
      <w:tr>
        <w:trPr>
          <w:trHeight w:val="234"/>
        </w:trPr>
        <w:tc>
          <w:tcPr>
            <w:tcW w:w="3320" w:type="dxa"/>
            <w:vAlign w:val="bottom"/>
          </w:tcPr>
          <w:p>
            <w:pPr>
              <w:spacing w:after="0"/>
              <w:rPr>
                <w:sz w:val="20"/>
                <w:szCs w:val="20"/>
                <w:color w:val="auto"/>
              </w:rPr>
            </w:pPr>
            <w:r>
              <w:rPr>
                <w:rFonts w:ascii="Arial" w:cs="Arial" w:eastAsia="Arial" w:hAnsi="Arial"/>
                <w:sz w:val="18"/>
                <w:szCs w:val="18"/>
                <w:i w:val="1"/>
                <w:iCs w:val="1"/>
                <w:color w:val="auto"/>
                <w:w w:val="94"/>
              </w:rPr>
              <w:t>(Do not check if smaller reporting company)</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60" w:type="dxa"/>
            <w:vAlign w:val="bottom"/>
          </w:tcPr>
          <w:p>
            <w:pPr>
              <w:ind w:left="1040"/>
              <w:spacing w:after="0"/>
              <w:rPr>
                <w:sz w:val="20"/>
                <w:szCs w:val="20"/>
                <w:color w:val="auto"/>
              </w:rPr>
            </w:pPr>
            <w:r>
              <w:rPr>
                <w:rFonts w:ascii="Arial" w:cs="Arial" w:eastAsia="Arial" w:hAnsi="Arial"/>
                <w:sz w:val="18"/>
                <w:szCs w:val="18"/>
                <w:b w:val="1"/>
                <w:bCs w:val="1"/>
                <w:color w:val="auto"/>
              </w:rPr>
              <w:t>Emerging Growth Company</w:t>
            </w:r>
          </w:p>
        </w:tc>
        <w:tc>
          <w:tcPr>
            <w:tcW w:w="840" w:type="dxa"/>
            <w:vAlign w:val="bottom"/>
          </w:tcPr>
          <w:p>
            <w:pPr>
              <w:ind w:left="600"/>
              <w:spacing w:after="0"/>
              <w:rPr>
                <w:sz w:val="20"/>
                <w:szCs w:val="20"/>
                <w:color w:val="auto"/>
              </w:rPr>
            </w:pPr>
            <w:r>
              <w:rPr>
                <w:rFonts w:ascii="Arial" w:cs="Arial" w:eastAsia="Arial" w:hAnsi="Arial"/>
                <w:sz w:val="18"/>
                <w:szCs w:val="18"/>
                <w:b w:val="1"/>
                <w:bCs w:val="1"/>
                <w:color w:val="auto"/>
              </w:rPr>
              <w:t>[ ]</w:t>
            </w: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vMerge w:val="restart"/>
          </w:tcPr>
          <w:p>
            <w:pPr>
              <w:jc w:val="center"/>
              <w:ind w:right="285"/>
              <w:spacing w:after="0"/>
              <w:rPr>
                <w:sz w:val="20"/>
                <w:szCs w:val="20"/>
                <w:color w:val="auto"/>
              </w:rPr>
            </w:pPr>
            <w:r>
              <w:rPr>
                <w:rFonts w:ascii="Arial" w:cs="Arial" w:eastAsia="Arial" w:hAnsi="Arial"/>
                <w:sz w:val="18"/>
                <w:szCs w:val="18"/>
                <w:color w:val="auto"/>
                <w:w w:val="92"/>
              </w:rPr>
              <w:t>Amount To Be</w:t>
            </w:r>
          </w:p>
        </w:tc>
        <w:tc>
          <w:tcPr>
            <w:tcW w:w="1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jc w:val="center"/>
              <w:ind w:right="325"/>
              <w:spacing w:after="0"/>
              <w:rPr>
                <w:sz w:val="20"/>
                <w:szCs w:val="20"/>
                <w:color w:val="auto"/>
              </w:rPr>
            </w:pPr>
            <w:r>
              <w:rPr>
                <w:rFonts w:ascii="Arial" w:cs="Arial" w:eastAsia="Arial" w:hAnsi="Arial"/>
                <w:sz w:val="18"/>
                <w:szCs w:val="18"/>
                <w:color w:val="auto"/>
                <w:w w:val="92"/>
              </w:rPr>
              <w:t>Proposed Maximum</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1"/>
              </w:rPr>
              <w:t>Proposed Maximum</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20" w:type="dxa"/>
            <w:vAlign w:val="bottom"/>
            <w:gridSpan w:val="2"/>
          </w:tcPr>
          <w:p>
            <w:pPr>
              <w:jc w:val="center"/>
              <w:ind w:right="140"/>
              <w:spacing w:after="0" w:line="179" w:lineRule="exact"/>
              <w:rPr>
                <w:sz w:val="20"/>
                <w:szCs w:val="20"/>
                <w:color w:val="auto"/>
              </w:rPr>
            </w:pPr>
            <w:r>
              <w:rPr>
                <w:rFonts w:ascii="Arial" w:cs="Arial" w:eastAsia="Arial" w:hAnsi="Arial"/>
                <w:sz w:val="18"/>
                <w:szCs w:val="18"/>
                <w:color w:val="auto"/>
                <w:w w:val="92"/>
              </w:rPr>
              <w:t>Title of Securities To Be</w:t>
            </w:r>
          </w:p>
        </w:tc>
        <w:tc>
          <w:tcPr>
            <w:tcW w:w="1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tcPr>
          <w:p>
            <w:pPr>
              <w:jc w:val="center"/>
              <w:ind w:right="385"/>
              <w:spacing w:after="0" w:line="179" w:lineRule="exact"/>
              <w:rPr>
                <w:sz w:val="20"/>
                <w:szCs w:val="20"/>
                <w:color w:val="auto"/>
              </w:rPr>
            </w:pPr>
            <w:r>
              <w:rPr>
                <w:rFonts w:ascii="Arial" w:cs="Arial" w:eastAsia="Arial" w:hAnsi="Arial"/>
                <w:sz w:val="18"/>
                <w:szCs w:val="18"/>
                <w:color w:val="auto"/>
                <w:w w:val="96"/>
              </w:rPr>
              <w:t>Offering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center"/>
              <w:ind w:right="340"/>
              <w:spacing w:after="0" w:line="179" w:lineRule="exact"/>
              <w:rPr>
                <w:sz w:val="20"/>
                <w:szCs w:val="20"/>
                <w:color w:val="auto"/>
              </w:rPr>
            </w:pPr>
            <w:r>
              <w:rPr>
                <w:rFonts w:ascii="Arial" w:cs="Arial" w:eastAsia="Arial" w:hAnsi="Arial"/>
                <w:sz w:val="18"/>
                <w:szCs w:val="18"/>
                <w:color w:val="auto"/>
                <w:w w:val="92"/>
              </w:rPr>
              <w:t>Aggregate Offering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280"/>
              <w:spacing w:after="0" w:line="179" w:lineRule="exact"/>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74"/>
        </w:trPr>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Registered</w:t>
            </w:r>
          </w:p>
        </w:tc>
        <w:tc>
          <w:tcPr>
            <w:tcW w:w="1620" w:type="dxa"/>
            <w:vAlign w:val="bottom"/>
            <w:gridSpan w:val="2"/>
          </w:tcPr>
          <w:p>
            <w:pPr>
              <w:jc w:val="center"/>
              <w:ind w:right="285"/>
              <w:spacing w:after="0" w:line="266" w:lineRule="exact"/>
              <w:rPr>
                <w:sz w:val="20"/>
                <w:szCs w:val="20"/>
                <w:color w:val="auto"/>
              </w:rPr>
            </w:pPr>
            <w:r>
              <w:rPr>
                <w:rFonts w:ascii="Arial" w:cs="Arial" w:eastAsia="Arial" w:hAnsi="Arial"/>
                <w:sz w:val="18"/>
                <w:szCs w:val="18"/>
                <w:color w:val="auto"/>
                <w:w w:val="84"/>
              </w:rPr>
              <w:t>Registered</w:t>
            </w:r>
            <w:r>
              <w:rPr>
                <w:rFonts w:ascii="Arial" w:cs="Arial" w:eastAsia="Arial" w:hAnsi="Arial"/>
                <w:sz w:val="30"/>
                <w:szCs w:val="30"/>
                <w:color w:val="auto"/>
                <w:w w:val="84"/>
                <w:vertAlign w:val="superscript"/>
              </w:rPr>
              <w:t>(1)</w:t>
            </w:r>
          </w:p>
        </w:tc>
        <w:tc>
          <w:tcPr>
            <w:tcW w:w="140" w:type="dxa"/>
            <w:vAlign w:val="bottom"/>
          </w:tcPr>
          <w:p>
            <w:pPr>
              <w:spacing w:after="0"/>
              <w:rPr>
                <w:sz w:val="23"/>
                <w:szCs w:val="23"/>
                <w:color w:val="auto"/>
              </w:rPr>
            </w:pPr>
          </w:p>
        </w:tc>
        <w:tc>
          <w:tcPr>
            <w:tcW w:w="1960" w:type="dxa"/>
            <w:vAlign w:val="bottom"/>
            <w:gridSpan w:val="2"/>
          </w:tcPr>
          <w:p>
            <w:pPr>
              <w:jc w:val="center"/>
              <w:ind w:right="325"/>
              <w:spacing w:after="0"/>
              <w:rPr>
                <w:sz w:val="20"/>
                <w:szCs w:val="20"/>
                <w:color w:val="auto"/>
              </w:rPr>
            </w:pPr>
            <w:r>
              <w:rPr>
                <w:rFonts w:ascii="Arial" w:cs="Arial" w:eastAsia="Arial" w:hAnsi="Arial"/>
                <w:sz w:val="18"/>
                <w:szCs w:val="18"/>
                <w:color w:val="auto"/>
                <w:w w:val="88"/>
              </w:rPr>
              <w:t>Price Per Share</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Registration Fee</w:t>
            </w:r>
          </w:p>
        </w:tc>
        <w:tc>
          <w:tcPr>
            <w:tcW w:w="0" w:type="dxa"/>
            <w:vAlign w:val="bottom"/>
          </w:tcPr>
          <w:p>
            <w:pPr>
              <w:spacing w:after="0"/>
              <w:rPr>
                <w:sz w:val="1"/>
                <w:szCs w:val="1"/>
                <w:color w:val="auto"/>
              </w:rPr>
            </w:pPr>
          </w:p>
        </w:tc>
      </w:tr>
      <w:tr>
        <w:trPr>
          <w:trHeight w:val="250"/>
        </w:trPr>
        <w:tc>
          <w:tcPr>
            <w:tcW w:w="39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7"/>
              </w:rPr>
              <w:t>2,000,000</w:t>
            </w:r>
          </w:p>
        </w:tc>
        <w:tc>
          <w:tcPr>
            <w:tcW w:w="360" w:type="dxa"/>
            <w:vAlign w:val="bottom"/>
            <w:tcBorders>
              <w:top w:val="single" w:sz="8" w:color="CCEEFF"/>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87"/>
              </w:rPr>
              <w:t>(2)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Borders>
              <w:top w:val="single" w:sz="8" w:color="CCEEFF"/>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87"/>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Totals</w:t>
            </w: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4,040,000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468.24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4"/>
          <w:szCs w:val="24"/>
          <w:color w:val="auto"/>
        </w:rPr>
      </w:pPr>
    </w:p>
    <w:p>
      <w:pPr>
        <w:jc w:val="both"/>
        <w:ind w:left="34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promulgated under the Securities Act of 1933, as amended (the “Securities Act”), this Registration Statement shall also cover any additional shares of the Registrant’s common stock that may become issuable under the Imprimis Pharmaceuticals, Inc. 2017 Incentive Stock and</w:t>
      </w:r>
    </w:p>
    <w:p>
      <w:pPr>
        <w:sectPr>
          <w:pgSz w:w="11900" w:h="16975" w:orient="portrait"/>
          <w:cols w:equalWidth="0" w:num="1">
            <w:col w:w="11420"/>
          </w:cols>
          <w:pgMar w:left="240" w:top="445" w:right="239" w:bottom="0" w:gutter="0" w:footer="0" w:header="0"/>
        </w:sectPr>
      </w:pPr>
    </w:p>
    <w:bookmarkStart w:id="1" w:name="page2"/>
    <w:bookmarkEnd w:id="1"/>
    <w:p>
      <w:pPr>
        <w:ind w:left="332"/>
        <w:spacing w:after="0" w:line="258" w:lineRule="auto"/>
        <w:rPr>
          <w:sz w:val="20"/>
          <w:szCs w:val="20"/>
          <w:color w:val="auto"/>
        </w:rPr>
      </w:pPr>
      <w:r>
        <w:rPr>
          <w:rFonts w:ascii="Arial" w:cs="Arial" w:eastAsia="Arial" w:hAnsi="Arial"/>
          <w:sz w:val="18"/>
          <w:szCs w:val="18"/>
          <w:color w:val="auto"/>
        </w:rPr>
        <w:t>Awards Plan (the “2017 Plan”) by reason of any stock dividend, stock split, recapitalization, or any other similar transaction that results in an increase in the number of outstanding shares of common stock.</w:t>
      </w:r>
    </w:p>
    <w:p>
      <w:pPr>
        <w:spacing w:after="0" w:line="1" w:lineRule="exact"/>
        <w:rPr>
          <w:sz w:val="20"/>
          <w:szCs w:val="20"/>
          <w:color w:val="auto"/>
        </w:rPr>
      </w:pPr>
    </w:p>
    <w:p>
      <w:pPr>
        <w:jc w:val="both"/>
        <w:ind w:left="332" w:hanging="332"/>
        <w:spacing w:after="0" w:line="250"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2,000,000 shares of common stock reserved for issuance pursuant to future awards under the 2017 Plan. To the extent that any awards outstanding under the 2017 Plan are forfeited or lapse unexercised, the shares of common stock reserved for issuance pursuant to such awards as of the date of this Registration Statement will become available for issuance under the 2017 Plan.</w:t>
      </w:r>
    </w:p>
    <w:p>
      <w:pPr>
        <w:spacing w:after="0" w:line="1" w:lineRule="exact"/>
        <w:rPr>
          <w:rFonts w:ascii="Arial" w:cs="Arial" w:eastAsia="Arial" w:hAnsi="Arial"/>
          <w:sz w:val="18"/>
          <w:szCs w:val="18"/>
          <w:color w:val="auto"/>
        </w:rPr>
      </w:pPr>
    </w:p>
    <w:p>
      <w:pPr>
        <w:ind w:left="332" w:hanging="332"/>
        <w:spacing w:after="0" w:line="261"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in accordance with Rules 457(c) and 457(h) solely for the purpose of calculating the registration fee on the basis of $2.02, the average of the high and low sale prices per share of common stock as reported on the The Nasdaq Capital Market on August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477520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documents containing the information specified in Item 1 and Item 2 of Part I of Form S-8 will be sent or given to participants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Imprimis Pharmaceuticals, Inc. (the “Registrant”) will furnish without charge to each person to whom the prospectus is delivered, upon the written or oral request of such person, a copy of any and all of the documents incorporated by reference in Item 3 of Part II of this Registration Statement and incorporated by reference in the Section 10(a) prospectus, other than exhibits to such documents (unless such exhibits are specifically incorporated by reference to the information that is incorporated). Written requests should be made to the Chief Financial Officer of Imprimis Pharmaceuticals, Inc., at 12264 El Camino Real, Suite 350, San Diego, California 92130.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Commission:</w:t>
      </w:r>
    </w:p>
    <w:p>
      <w:pPr>
        <w:spacing w:after="0" w:line="248" w:lineRule="exact"/>
        <w:rPr>
          <w:sz w:val="20"/>
          <w:szCs w:val="20"/>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2016, filed with the Commission on March 21, 2017;</w:t>
      </w:r>
    </w:p>
    <w:p>
      <w:pPr>
        <w:spacing w:after="0" w:line="225"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period ended March 31, 2017, filed with the Commission on May 10, 2017, and Quarterly Report on Form 10-Q for the period ended June 30, 2017, filed with the Commission on August 10, 2017;</w:t>
      </w:r>
    </w:p>
    <w:p>
      <w:pPr>
        <w:spacing w:after="0" w:line="170" w:lineRule="exact"/>
        <w:rPr>
          <w:rFonts w:ascii="Arial" w:cs="Arial" w:eastAsia="Arial" w:hAnsi="Arial"/>
          <w:sz w:val="18"/>
          <w:szCs w:val="18"/>
          <w:color w:val="auto"/>
        </w:rPr>
      </w:pPr>
    </w:p>
    <w:p>
      <w:pPr>
        <w:jc w:val="both"/>
        <w:ind w:left="720" w:hanging="334"/>
        <w:spacing w:after="0" w:line="286"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Current Reports on Form 8-K filed with the Commission on February 17, 2017, March 22, 2017, April 6, 2017, April 17, 2017, May 2, 2017, June 16, 2017, June 20, 2017, June 29, 2017 and July 20, 2017, except in each case, documents or information that has been furnished rather than filed pursuant to the rules of the Commission shall not be incorporated by reference herein; and</w:t>
      </w:r>
    </w:p>
    <w:p>
      <w:pPr>
        <w:spacing w:after="0" w:line="165" w:lineRule="exact"/>
        <w:rPr>
          <w:rFonts w:ascii="Arial" w:cs="Arial" w:eastAsia="Arial" w:hAnsi="Arial"/>
          <w:sz w:val="17"/>
          <w:szCs w:val="17"/>
          <w:color w:val="auto"/>
        </w:rPr>
      </w:pPr>
    </w:p>
    <w:p>
      <w:pPr>
        <w:ind w:left="720" w:hanging="334"/>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including any amendment or report filed for the purpose of updating such description.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all documents filed by the Registrant pursuant to Sections 13(a), 13(c), 14, and 15(d) of the Securities Exchange Act of 1934, as amended (the “Exchange Act”), subsequent to the date of this Registration Statement and prior to the filing of a post-effective amendment to this Registration Statement which indicates that all securities offered hereunder have been sold or which deregisters all securities then remaining unsold, shall be deemed to be incorporated by reference into this Registration Statement and to be a part hereof from the date of filing of such documents.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subsequently filed document which also is incorporated or is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shares of common stock offered hereby will be passed upon by Golenbock Eiseman Assor Bell &amp; Peskoe,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Registrant’s Amended and Restated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The Registrant’s Amended and Restated Certificate of Incorporation and By-laws provide that the Registrant shall indemnify its directors and executive officers and may indemnify its employees and other agents to the fullest extent permitted by the General Corporation Law of the State of Delaware.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indemnification provisions contained in the Registrant’s charter documents, the Registrant generally enters into separate indemnification agreements with its directors and officers. These agreements require the Registrant,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Registrant’s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Registrant.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has purchased and intends to maintain insurance on behalf of any person who is or was a director or officer against any loss arising from any claim asserted against him or her and incurred by him or her in any such capacity, subject to certain exclusions.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52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432"/>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520" w:type="dxa"/>
            <w:vAlign w:val="bottom"/>
            <w:tcBorders>
              <w:top w:val="single" w:sz="8" w:color="auto"/>
            </w:tcBorders>
            <w:gridSpan w:val="6"/>
          </w:tcPr>
          <w:p>
            <w:pPr>
              <w:spacing w:after="0"/>
              <w:rPr>
                <w:rFonts w:ascii="Arial" w:cs="Arial" w:eastAsia="Arial" w:hAnsi="Arial"/>
                <w:sz w:val="18"/>
                <w:szCs w:val="18"/>
                <w:color w:val="0000EE"/>
              </w:rPr>
            </w:pPr>
            <w:hyperlink r:id="rId19">
              <w:r>
                <w:rPr>
                  <w:rFonts w:ascii="Arial" w:cs="Arial" w:eastAsia="Arial" w:hAnsi="Arial"/>
                  <w:sz w:val="18"/>
                  <w:szCs w:val="18"/>
                  <w:color w:val="0000EE"/>
                </w:rPr>
                <w:t>Form of Incentive Stock Option Agreement</w:t>
              </w:r>
            </w:hyperlink>
            <w:r>
              <w:rPr>
                <w:rFonts w:ascii="Arial" w:cs="Arial" w:eastAsia="Arial" w:hAnsi="Arial"/>
                <w:sz w:val="30"/>
                <w:szCs w:val="30"/>
                <w:color w:val="000000"/>
                <w:vertAlign w:val="superscript"/>
              </w:rPr>
              <w:t>(1)</w:t>
            </w: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520" w:type="dxa"/>
            <w:vAlign w:val="bottom"/>
            <w:gridSpan w:val="6"/>
          </w:tcPr>
          <w:p>
            <w:pPr>
              <w:spacing w:after="0" w:line="236" w:lineRule="exact"/>
              <w:rPr>
                <w:rFonts w:ascii="Arial" w:cs="Arial" w:eastAsia="Arial" w:hAnsi="Arial"/>
                <w:sz w:val="17"/>
                <w:szCs w:val="17"/>
                <w:color w:val="0000EE"/>
              </w:rPr>
            </w:pPr>
            <w:hyperlink r:id="rId20">
              <w:r>
                <w:rPr>
                  <w:rFonts w:ascii="Arial" w:cs="Arial" w:eastAsia="Arial" w:hAnsi="Arial"/>
                  <w:sz w:val="17"/>
                  <w:szCs w:val="17"/>
                  <w:color w:val="0000EE"/>
                </w:rPr>
                <w:t>Form of Non-Statutory Stock Option Agreement</w:t>
              </w:r>
            </w:hyperlink>
            <w:r>
              <w:rPr>
                <w:rFonts w:ascii="Arial" w:cs="Arial" w:eastAsia="Arial" w:hAnsi="Arial"/>
                <w:sz w:val="27"/>
                <w:szCs w:val="27"/>
                <w:color w:val="000000"/>
                <w:vertAlign w:val="superscript"/>
              </w:rPr>
              <w:t>(2)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500" w:type="dxa"/>
            <w:vAlign w:val="bottom"/>
            <w:tcBorders>
              <w:top w:val="single" w:sz="8" w:color="0000EE"/>
            </w:tcBorders>
            <w:gridSpan w:val="4"/>
          </w:tcPr>
          <w:p>
            <w:pPr>
              <w:spacing w:after="0" w:line="236" w:lineRule="exact"/>
              <w:rPr>
                <w:rFonts w:ascii="Arial" w:cs="Arial" w:eastAsia="Arial" w:hAnsi="Arial"/>
                <w:sz w:val="17"/>
                <w:szCs w:val="17"/>
                <w:color w:val="0000EE"/>
                <w:w w:val="99"/>
              </w:rPr>
            </w:pPr>
            <w:hyperlink r:id="rId21">
              <w:r>
                <w:rPr>
                  <w:rFonts w:ascii="Arial" w:cs="Arial" w:eastAsia="Arial" w:hAnsi="Arial"/>
                  <w:sz w:val="17"/>
                  <w:szCs w:val="17"/>
                  <w:color w:val="0000EE"/>
                  <w:w w:val="99"/>
                </w:rPr>
                <w:t>Form of Restricted Stock Award Agreement</w:t>
              </w:r>
            </w:hyperlink>
            <w:r>
              <w:rPr>
                <w:rFonts w:ascii="Arial" w:cs="Arial" w:eastAsia="Arial" w:hAnsi="Arial"/>
                <w:sz w:val="27"/>
                <w:szCs w:val="27"/>
                <w:color w:val="000000"/>
                <w:w w:val="99"/>
                <w:vertAlign w:val="superscript"/>
              </w:rPr>
              <w:t>(3)</w:t>
            </w:r>
          </w:p>
        </w:tc>
        <w:tc>
          <w:tcPr>
            <w:tcW w:w="70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520" w:type="dxa"/>
            <w:vAlign w:val="bottom"/>
            <w:gridSpan w:val="6"/>
          </w:tcPr>
          <w:p>
            <w:pPr>
              <w:spacing w:after="0" w:line="236" w:lineRule="exact"/>
              <w:rPr>
                <w:rFonts w:ascii="Arial" w:cs="Arial" w:eastAsia="Arial" w:hAnsi="Arial"/>
                <w:sz w:val="17"/>
                <w:szCs w:val="17"/>
                <w:color w:val="0000EE"/>
              </w:rPr>
            </w:pPr>
            <w:hyperlink r:id="rId22">
              <w:r>
                <w:rPr>
                  <w:rFonts w:ascii="Arial" w:cs="Arial" w:eastAsia="Arial" w:hAnsi="Arial"/>
                  <w:sz w:val="17"/>
                  <w:szCs w:val="17"/>
                  <w:color w:val="0000EE"/>
                </w:rPr>
                <w:t>Form of Restricted Stock Unit Agreement</w:t>
              </w:r>
            </w:hyperlink>
            <w:r>
              <w:rPr>
                <w:rFonts w:ascii="Arial" w:cs="Arial" w:eastAsia="Arial" w:hAnsi="Arial"/>
                <w:sz w:val="27"/>
                <w:szCs w:val="27"/>
                <w:color w:val="000000"/>
                <w:vertAlign w:val="superscript"/>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520" w:type="dxa"/>
            <w:vAlign w:val="bottom"/>
            <w:gridSpan w:val="6"/>
          </w:tcPr>
          <w:p>
            <w:pPr>
              <w:spacing w:after="0"/>
              <w:rPr>
                <w:sz w:val="20"/>
                <w:szCs w:val="20"/>
                <w:color w:val="auto"/>
              </w:rPr>
            </w:pPr>
            <w:r>
              <w:rPr>
                <w:rFonts w:ascii="Arial" w:cs="Arial" w:eastAsia="Arial" w:hAnsi="Arial"/>
                <w:sz w:val="18"/>
                <w:szCs w:val="18"/>
                <w:color w:val="auto"/>
              </w:rPr>
              <w:t>Opinion of Golenbock Eiseman Assor Bell &amp; Peskoe LLP*</w:t>
            </w:r>
          </w:p>
        </w:tc>
        <w:tc>
          <w:tcPr>
            <w:tcW w:w="0" w:type="dxa"/>
            <w:vAlign w:val="bottom"/>
          </w:tcPr>
          <w:p>
            <w:pPr>
              <w:spacing w:after="0"/>
              <w:rPr>
                <w:sz w:val="1"/>
                <w:szCs w:val="1"/>
                <w:color w:val="auto"/>
              </w:rPr>
            </w:pPr>
          </w:p>
        </w:tc>
      </w:tr>
      <w:tr>
        <w:trPr>
          <w:trHeight w:val="190"/>
        </w:trPr>
        <w:tc>
          <w:tcPr>
            <w:tcW w:w="78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0520" w:type="dxa"/>
            <w:vAlign w:val="bottom"/>
            <w:gridSpan w:val="6"/>
          </w:tcPr>
          <w:p>
            <w:pPr>
              <w:spacing w:after="0" w:line="190" w:lineRule="exact"/>
              <w:rPr>
                <w:rFonts w:ascii="Arial" w:cs="Arial" w:eastAsia="Arial" w:hAnsi="Arial"/>
                <w:sz w:val="18"/>
                <w:szCs w:val="18"/>
                <w:color w:val="0000EE"/>
              </w:rPr>
            </w:pPr>
            <w:hyperlink w:anchor="page11">
              <w:r>
                <w:rPr>
                  <w:rFonts w:ascii="Arial" w:cs="Arial" w:eastAsia="Arial" w:hAnsi="Arial"/>
                  <w:sz w:val="18"/>
                  <w:szCs w:val="18"/>
                  <w:color w:val="0000EE"/>
                </w:rPr>
                <w:t>Imprimis Pharmaceuticals, Inc. 2017 Incentive Stock and Awards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80" w:type="dxa"/>
            <w:vAlign w:val="bottom"/>
            <w:gridSpan w:val="5"/>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0520" w:type="dxa"/>
            <w:vAlign w:val="bottom"/>
            <w:gridSpan w:val="6"/>
          </w:tcPr>
          <w:p>
            <w:pPr>
              <w:spacing w:after="0"/>
              <w:rPr>
                <w:sz w:val="20"/>
                <w:szCs w:val="20"/>
                <w:color w:val="auto"/>
              </w:rPr>
            </w:pPr>
            <w:r>
              <w:rPr>
                <w:rFonts w:ascii="Arial" w:cs="Arial" w:eastAsia="Arial" w:hAnsi="Arial"/>
                <w:sz w:val="18"/>
                <w:szCs w:val="18"/>
                <w:color w:val="auto"/>
              </w:rPr>
              <w:t>Consent of Golenbock Eiseman Assor Bell &amp; Peskoe LLP (included in Exhibit 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0520" w:type="dxa"/>
            <w:vAlign w:val="bottom"/>
            <w:gridSpan w:val="6"/>
          </w:tcPr>
          <w:p>
            <w:pPr>
              <w:spacing w:after="0"/>
              <w:rPr>
                <w:sz w:val="20"/>
                <w:szCs w:val="20"/>
                <w:color w:val="auto"/>
              </w:rPr>
            </w:pPr>
            <w:r>
              <w:rPr>
                <w:rFonts w:ascii="Arial" w:cs="Arial" w:eastAsia="Arial" w:hAnsi="Arial"/>
                <w:sz w:val="18"/>
                <w:szCs w:val="18"/>
                <w:color w:val="auto"/>
              </w:rPr>
              <w:t>Consent of KMJ Corbin and Company LLP, Independent Registered Public Accounting Firm*</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10520" w:type="dxa"/>
            <w:vAlign w:val="bottom"/>
            <w:gridSpan w:val="6"/>
          </w:tcPr>
          <w:p>
            <w:pPr>
              <w:spacing w:after="0"/>
              <w:rPr>
                <w:sz w:val="20"/>
                <w:szCs w:val="20"/>
                <w:color w:val="auto"/>
              </w:rPr>
            </w:pPr>
            <w:r>
              <w:rPr>
                <w:rFonts w:ascii="Arial" w:cs="Arial" w:eastAsia="Arial" w:hAnsi="Arial"/>
                <w:sz w:val="18"/>
                <w:szCs w:val="18"/>
                <w:color w:val="auto"/>
              </w:rPr>
              <w:t>Power of Attorney (included on signature page of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as filed with the Commission on June 16,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as filed with the Commission on June 16,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10.3 to the Registrant’s Current Report on Form 8-K, as filed with the Commission on June 16,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10.4 to the Registrant’s Current Report on Form 8-K, as filed with the Commission on June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b w:val="1"/>
          <w:bCs w:val="1"/>
          <w:color w:val="auto"/>
        </w:rPr>
        <w:t>Undertakings.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p>
    <w:p>
      <w:pPr>
        <w:spacing w:after="0" w:line="211"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980" w:firstLine="325"/>
        <w:spacing w:after="0" w:line="255" w:lineRule="auto"/>
        <w:tabs>
          <w:tab w:leader="none" w:pos="1579"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980" w:firstLine="325"/>
        <w:spacing w:after="0" w:line="277" w:lineRule="auto"/>
        <w:tabs>
          <w:tab w:leader="none" w:pos="1628"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Securities Exchange Act of 1934 that are incorporated by reference in this Registration Statement.</w:t>
      </w:r>
    </w:p>
    <w:p>
      <w:pPr>
        <w:spacing w:after="0" w:line="181" w:lineRule="exact"/>
        <w:rPr>
          <w:sz w:val="20"/>
          <w:szCs w:val="20"/>
          <w:color w:val="auto"/>
        </w:rPr>
      </w:pPr>
    </w:p>
    <w:p>
      <w:pPr>
        <w:jc w:val="both"/>
        <w:ind w:left="660" w:firstLine="320"/>
        <w:spacing w:after="0" w:line="264" w:lineRule="auto"/>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1" w:lineRule="exact"/>
        <w:rPr>
          <w:rFonts w:ascii="Arial" w:cs="Arial" w:eastAsia="Arial" w:hAnsi="Arial"/>
          <w:sz w:val="18"/>
          <w:szCs w:val="18"/>
          <w:color w:val="auto"/>
        </w:rPr>
      </w:pPr>
    </w:p>
    <w:p>
      <w:pPr>
        <w:ind w:left="660" w:firstLine="320"/>
        <w:spacing w:after="0" w:line="277"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3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jc w:val="both"/>
        <w:ind w:firstLine="656"/>
        <w:spacing w:after="0" w:line="291" w:lineRule="auto"/>
        <w:tabs>
          <w:tab w:leader="none" w:pos="907"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August 25, 2017.</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Mark L.</w:t>
      </w:r>
      <w:r>
        <w:rPr>
          <w:rFonts w:ascii="Arial" w:cs="Arial" w:eastAsia="Arial" w:hAnsi="Arial"/>
          <w:sz w:val="16"/>
          <w:szCs w:val="16"/>
          <w:b w:val="1"/>
          <w:bCs w:val="1"/>
          <w:color w:val="auto"/>
        </w:rPr>
        <w:t xml:space="preserve"> </w:t>
      </w:r>
      <w:r>
        <w:rPr>
          <w:rFonts w:ascii="Arial" w:cs="Arial" w:eastAsia="Arial" w:hAnsi="Arial"/>
          <w:sz w:val="16"/>
          <w:szCs w:val="16"/>
          <w:color w:val="auto"/>
        </w:rPr>
        <w:t>Baum and Andrew R. Boll, and each of them, as his true and lawful attorney-in-fact and agents, with full power of substitution and resubstitution, for him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hereby grants 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the Power of Attorney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20"/>
                <w:szCs w:val="20"/>
                <w:color w:val="auto"/>
              </w:rPr>
            </w:pPr>
          </w:p>
        </w:tc>
        <w:tc>
          <w:tcPr>
            <w:tcW w:w="514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Position</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3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25, 2017</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20"/>
                <w:szCs w:val="20"/>
                <w:color w:val="auto"/>
              </w:rPr>
            </w:pPr>
          </w:p>
        </w:tc>
        <w:tc>
          <w:tcPr>
            <w:tcW w:w="536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25, 2017</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Andrew R. Boll</w:t>
            </w:r>
          </w:p>
        </w:tc>
        <w:tc>
          <w:tcPr>
            <w:tcW w:w="240" w:type="dxa"/>
            <w:vAlign w:val="bottom"/>
          </w:tcPr>
          <w:p>
            <w:pPr>
              <w:spacing w:after="0"/>
              <w:rPr>
                <w:sz w:val="20"/>
                <w:szCs w:val="20"/>
                <w:color w:val="auto"/>
              </w:rPr>
            </w:pPr>
          </w:p>
        </w:tc>
        <w:tc>
          <w:tcPr>
            <w:tcW w:w="536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170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25, 2017</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Stephen G. Austin</w:t>
            </w: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25, 2017</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Robert J. Kammer</w:t>
            </w: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25, 2017</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Richard L. Lindstrom</w:t>
            </w: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J. Principi</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25, 2017</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Anthony J. Principi</w:t>
            </w: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20" w:type="dxa"/>
            <w:vAlign w:val="bottom"/>
            <w:gridSpan w:val="2"/>
          </w:tcPr>
          <w:p>
            <w:pPr>
              <w:ind w:left="6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52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432"/>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520" w:type="dxa"/>
            <w:vAlign w:val="bottom"/>
            <w:tcBorders>
              <w:top w:val="single" w:sz="8" w:color="auto"/>
            </w:tcBorders>
            <w:gridSpan w:val="6"/>
          </w:tcPr>
          <w:p>
            <w:pPr>
              <w:spacing w:after="0"/>
              <w:rPr>
                <w:rFonts w:ascii="Arial" w:cs="Arial" w:eastAsia="Arial" w:hAnsi="Arial"/>
                <w:sz w:val="18"/>
                <w:szCs w:val="18"/>
                <w:color w:val="0000EE"/>
              </w:rPr>
            </w:pPr>
            <w:hyperlink r:id="rId19">
              <w:r>
                <w:rPr>
                  <w:rFonts w:ascii="Arial" w:cs="Arial" w:eastAsia="Arial" w:hAnsi="Arial"/>
                  <w:sz w:val="18"/>
                  <w:szCs w:val="18"/>
                  <w:color w:val="0000EE"/>
                </w:rPr>
                <w:t>Form of Incentive Stock Option Agreement</w:t>
              </w:r>
            </w:hyperlink>
            <w:r>
              <w:rPr>
                <w:rFonts w:ascii="Arial" w:cs="Arial" w:eastAsia="Arial" w:hAnsi="Arial"/>
                <w:sz w:val="30"/>
                <w:szCs w:val="30"/>
                <w:color w:val="000000"/>
                <w:vertAlign w:val="superscript"/>
              </w:rPr>
              <w:t>(1)</w:t>
            </w: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520" w:type="dxa"/>
            <w:vAlign w:val="bottom"/>
            <w:gridSpan w:val="6"/>
          </w:tcPr>
          <w:p>
            <w:pPr>
              <w:spacing w:after="0" w:line="236" w:lineRule="exact"/>
              <w:rPr>
                <w:rFonts w:ascii="Arial" w:cs="Arial" w:eastAsia="Arial" w:hAnsi="Arial"/>
                <w:sz w:val="17"/>
                <w:szCs w:val="17"/>
                <w:color w:val="0000EE"/>
              </w:rPr>
            </w:pPr>
            <w:hyperlink r:id="rId20">
              <w:r>
                <w:rPr>
                  <w:rFonts w:ascii="Arial" w:cs="Arial" w:eastAsia="Arial" w:hAnsi="Arial"/>
                  <w:sz w:val="17"/>
                  <w:szCs w:val="17"/>
                  <w:color w:val="0000EE"/>
                </w:rPr>
                <w:t>Form of Non-Statutory Stock Option Agreement</w:t>
              </w:r>
            </w:hyperlink>
            <w:r>
              <w:rPr>
                <w:rFonts w:ascii="Arial" w:cs="Arial" w:eastAsia="Arial" w:hAnsi="Arial"/>
                <w:sz w:val="27"/>
                <w:szCs w:val="27"/>
                <w:color w:val="000000"/>
                <w:vertAlign w:val="superscript"/>
              </w:rPr>
              <w:t>(2)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500" w:type="dxa"/>
            <w:vAlign w:val="bottom"/>
            <w:tcBorders>
              <w:top w:val="single" w:sz="8" w:color="0000EE"/>
            </w:tcBorders>
            <w:gridSpan w:val="4"/>
          </w:tcPr>
          <w:p>
            <w:pPr>
              <w:spacing w:after="0" w:line="236" w:lineRule="exact"/>
              <w:rPr>
                <w:rFonts w:ascii="Arial" w:cs="Arial" w:eastAsia="Arial" w:hAnsi="Arial"/>
                <w:sz w:val="17"/>
                <w:szCs w:val="17"/>
                <w:color w:val="0000EE"/>
                <w:w w:val="99"/>
              </w:rPr>
            </w:pPr>
            <w:hyperlink r:id="rId21">
              <w:r>
                <w:rPr>
                  <w:rFonts w:ascii="Arial" w:cs="Arial" w:eastAsia="Arial" w:hAnsi="Arial"/>
                  <w:sz w:val="17"/>
                  <w:szCs w:val="17"/>
                  <w:color w:val="0000EE"/>
                  <w:w w:val="99"/>
                </w:rPr>
                <w:t>Form of Restricted Stock Award Agreement</w:t>
              </w:r>
            </w:hyperlink>
            <w:r>
              <w:rPr>
                <w:rFonts w:ascii="Arial" w:cs="Arial" w:eastAsia="Arial" w:hAnsi="Arial"/>
                <w:sz w:val="27"/>
                <w:szCs w:val="27"/>
                <w:color w:val="000000"/>
                <w:w w:val="99"/>
                <w:vertAlign w:val="superscript"/>
              </w:rPr>
              <w:t>(3)</w:t>
            </w:r>
          </w:p>
        </w:tc>
        <w:tc>
          <w:tcPr>
            <w:tcW w:w="70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520" w:type="dxa"/>
            <w:vAlign w:val="bottom"/>
            <w:gridSpan w:val="6"/>
          </w:tcPr>
          <w:p>
            <w:pPr>
              <w:spacing w:after="0" w:line="236" w:lineRule="exact"/>
              <w:rPr>
                <w:rFonts w:ascii="Arial" w:cs="Arial" w:eastAsia="Arial" w:hAnsi="Arial"/>
                <w:sz w:val="17"/>
                <w:szCs w:val="17"/>
                <w:color w:val="0000EE"/>
              </w:rPr>
            </w:pPr>
            <w:hyperlink r:id="rId22">
              <w:r>
                <w:rPr>
                  <w:rFonts w:ascii="Arial" w:cs="Arial" w:eastAsia="Arial" w:hAnsi="Arial"/>
                  <w:sz w:val="17"/>
                  <w:szCs w:val="17"/>
                  <w:color w:val="0000EE"/>
                </w:rPr>
                <w:t>Form of Restricted Stock Unit Agreement</w:t>
              </w:r>
            </w:hyperlink>
            <w:r>
              <w:rPr>
                <w:rFonts w:ascii="Arial" w:cs="Arial" w:eastAsia="Arial" w:hAnsi="Arial"/>
                <w:sz w:val="27"/>
                <w:szCs w:val="27"/>
                <w:color w:val="000000"/>
                <w:vertAlign w:val="superscript"/>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520" w:type="dxa"/>
            <w:vAlign w:val="bottom"/>
            <w:gridSpan w:val="6"/>
          </w:tcPr>
          <w:p>
            <w:pPr>
              <w:spacing w:after="0"/>
              <w:rPr>
                <w:sz w:val="20"/>
                <w:szCs w:val="20"/>
                <w:color w:val="auto"/>
              </w:rPr>
            </w:pPr>
            <w:r>
              <w:rPr>
                <w:rFonts w:ascii="Arial" w:cs="Arial" w:eastAsia="Arial" w:hAnsi="Arial"/>
                <w:sz w:val="18"/>
                <w:szCs w:val="18"/>
                <w:color w:val="auto"/>
              </w:rPr>
              <w:t>Opinion of Golenbock Eiseman Assor Bell &amp; Peskoe LLP*</w:t>
            </w:r>
          </w:p>
        </w:tc>
        <w:tc>
          <w:tcPr>
            <w:tcW w:w="0" w:type="dxa"/>
            <w:vAlign w:val="bottom"/>
          </w:tcPr>
          <w:p>
            <w:pPr>
              <w:spacing w:after="0"/>
              <w:rPr>
                <w:sz w:val="1"/>
                <w:szCs w:val="1"/>
                <w:color w:val="auto"/>
              </w:rPr>
            </w:pPr>
          </w:p>
        </w:tc>
      </w:tr>
      <w:tr>
        <w:trPr>
          <w:trHeight w:val="190"/>
        </w:trPr>
        <w:tc>
          <w:tcPr>
            <w:tcW w:w="78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0520" w:type="dxa"/>
            <w:vAlign w:val="bottom"/>
            <w:gridSpan w:val="6"/>
          </w:tcPr>
          <w:p>
            <w:pPr>
              <w:spacing w:after="0" w:line="190" w:lineRule="exact"/>
              <w:rPr>
                <w:rFonts w:ascii="Arial" w:cs="Arial" w:eastAsia="Arial" w:hAnsi="Arial"/>
                <w:sz w:val="18"/>
                <w:szCs w:val="18"/>
                <w:color w:val="0000EE"/>
              </w:rPr>
            </w:pPr>
            <w:hyperlink w:anchor="page11">
              <w:r>
                <w:rPr>
                  <w:rFonts w:ascii="Arial" w:cs="Arial" w:eastAsia="Arial" w:hAnsi="Arial"/>
                  <w:sz w:val="18"/>
                  <w:szCs w:val="18"/>
                  <w:color w:val="0000EE"/>
                </w:rPr>
                <w:t>Imprimis Pharmaceuticals, Inc. 2017 Incentive Stock and Awards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80" w:type="dxa"/>
            <w:vAlign w:val="bottom"/>
            <w:gridSpan w:val="5"/>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0520" w:type="dxa"/>
            <w:vAlign w:val="bottom"/>
            <w:gridSpan w:val="6"/>
          </w:tcPr>
          <w:p>
            <w:pPr>
              <w:spacing w:after="0"/>
              <w:rPr>
                <w:sz w:val="20"/>
                <w:szCs w:val="20"/>
                <w:color w:val="auto"/>
              </w:rPr>
            </w:pPr>
            <w:r>
              <w:rPr>
                <w:rFonts w:ascii="Arial" w:cs="Arial" w:eastAsia="Arial" w:hAnsi="Arial"/>
                <w:sz w:val="18"/>
                <w:szCs w:val="18"/>
                <w:color w:val="auto"/>
              </w:rPr>
              <w:t>Consent of Golenbock Eiseman Assor Bell &amp; Peskoe LLP (included in Exhibit 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0520" w:type="dxa"/>
            <w:vAlign w:val="bottom"/>
            <w:gridSpan w:val="6"/>
          </w:tcPr>
          <w:p>
            <w:pPr>
              <w:spacing w:after="0"/>
              <w:rPr>
                <w:sz w:val="20"/>
                <w:szCs w:val="20"/>
                <w:color w:val="auto"/>
              </w:rPr>
            </w:pPr>
            <w:r>
              <w:rPr>
                <w:rFonts w:ascii="Arial" w:cs="Arial" w:eastAsia="Arial" w:hAnsi="Arial"/>
                <w:sz w:val="18"/>
                <w:szCs w:val="18"/>
                <w:color w:val="auto"/>
              </w:rPr>
              <w:t>Consent of KMJ Corbin and Company LLP, Independent Registered Public Accounting Firm*</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10520" w:type="dxa"/>
            <w:vAlign w:val="bottom"/>
            <w:gridSpan w:val="6"/>
          </w:tcPr>
          <w:p>
            <w:pPr>
              <w:spacing w:after="0"/>
              <w:rPr>
                <w:sz w:val="20"/>
                <w:szCs w:val="20"/>
                <w:color w:val="auto"/>
              </w:rPr>
            </w:pPr>
            <w:r>
              <w:rPr>
                <w:rFonts w:ascii="Arial" w:cs="Arial" w:eastAsia="Arial" w:hAnsi="Arial"/>
                <w:sz w:val="18"/>
                <w:szCs w:val="18"/>
                <w:color w:val="auto"/>
              </w:rPr>
              <w:t>Power of Attorney (included on signature page of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as filed with the Commission on June 16,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as filed with the Commission on June 16,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10.3 to the Registrant’s Current Report on Form 8-K, as filed with the Commission on June 16,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10.4 to the Registrant’s Current Report on Form 8-K, as filed with the Commission on June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August 25,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acted as counsel to Imprimis Pharmaceuticals, Inc. (the “Company”) in connection with its Registration Statement on Form S-8, as may be amended and supplemented from time to time (the “Registration Statement”), filed with the Securities and Exchange Commission under the Securities Act of 1933, as amended, in connection with the registration by the Company of 2,000,000 shares (the “Shares”) of common stock, $0.001 par value per share (the “Common Stock”), of the Company issuable under the Company’s 2017 Incentive Stock and Awards Plan (“Plan”).</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purposes of rendering this opinion, we have examined originals or copies of such documents and records as we have deemed appropriate. In conducting such examination, we have assumed the genuineness of all signatures and the authenticity of all documents submitted to us as originals and conformity to original documents of all documents submitted to us as copies.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upon and subject to the foregoing and the effect, if any, of the matters discussed below, after having given due regard to such issues of law as we deemed relevant, we are of the opinion that the Shares, when issued, delivered and paid for in accordance with the Plan and the terms of the individual award agreements, as applicable, will be legally issued, fully paid and non-assessable.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furnishing this opinion to the Company solely in connection with the Registration Statement. This opinion may not be relied on by, nor copies delivered to, any other person or entity without our prior written consent. Notwithstanding the preceding sentence we hereby consent to the filing of this opinion as an exhibit to the Registration Statement and to its use as part of the Registration Statement.</w:t>
      </w:r>
    </w:p>
    <w:p>
      <w:pPr>
        <w:spacing w:after="0" w:line="1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 Golenbock Eiseman, Assor Bell &amp; Peskoe,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INCENTIVE STOCK AND AWARDS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Purpose of the Plan.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this 2017 Incentive Stock and Awards Plan (the “</w:t>
      </w:r>
      <w:r>
        <w:rPr>
          <w:rFonts w:ascii="Arial" w:cs="Arial" w:eastAsia="Arial" w:hAnsi="Arial"/>
          <w:sz w:val="18"/>
          <w:szCs w:val="18"/>
          <w:u w:val="single" w:color="auto"/>
          <w:color w:val="auto"/>
        </w:rPr>
        <w:t>Plan</w:t>
      </w:r>
      <w:r>
        <w:rPr>
          <w:rFonts w:ascii="Arial" w:cs="Arial" w:eastAsia="Arial" w:hAnsi="Arial"/>
          <w:sz w:val="18"/>
          <w:szCs w:val="18"/>
          <w:color w:val="auto"/>
        </w:rPr>
        <w:t>”) of Imprimis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is to enable the Company to offer to its employees, officers, directors, advisors and consultants whose past, present and/or potential contributions to the Company and/or any Subsidiary of the Company, within the meaning of Section 424(f) of the United States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have been, are or will be important to the success of the Company, an opportunity to acquire an equity interest in the Company. It is further intended that certain options granted pursuant to the Plan shall constitute incentive stock options within the meaning of Section 422 of the Code (the “</w:t>
      </w:r>
      <w:r>
        <w:rPr>
          <w:rFonts w:ascii="Arial" w:cs="Arial" w:eastAsia="Arial" w:hAnsi="Arial"/>
          <w:sz w:val="18"/>
          <w:szCs w:val="18"/>
          <w:u w:val="single" w:color="auto"/>
          <w:color w:val="auto"/>
        </w:rPr>
        <w:t>Incentive Options</w:t>
      </w:r>
      <w:r>
        <w:rPr>
          <w:rFonts w:ascii="Arial" w:cs="Arial" w:eastAsia="Arial" w:hAnsi="Arial"/>
          <w:sz w:val="18"/>
          <w:szCs w:val="18"/>
          <w:color w:val="auto"/>
        </w:rPr>
        <w:t>”) while certain other options granted pursuant to the Plan shall be nonqualified stock options (the “</w:t>
      </w:r>
      <w:r>
        <w:rPr>
          <w:rFonts w:ascii="Arial" w:cs="Arial" w:eastAsia="Arial" w:hAnsi="Arial"/>
          <w:sz w:val="18"/>
          <w:szCs w:val="18"/>
          <w:u w:val="single" w:color="auto"/>
          <w:color w:val="auto"/>
        </w:rPr>
        <w:t>Nonqualified Options</w:t>
      </w:r>
      <w:r>
        <w:rPr>
          <w:rFonts w:ascii="Arial" w:cs="Arial" w:eastAsia="Arial" w:hAnsi="Arial"/>
          <w:sz w:val="18"/>
          <w:szCs w:val="18"/>
          <w:color w:val="auto"/>
        </w:rPr>
        <w:t>”). Incentive Options and Nonqualified Options are hereinafter referred to collectively as “</w:t>
      </w: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intends that the Plan meet the requirements of Rule 16b-3 (“</w:t>
      </w:r>
      <w:r>
        <w:rPr>
          <w:rFonts w:ascii="Arial" w:cs="Arial" w:eastAsia="Arial" w:hAnsi="Arial"/>
          <w:sz w:val="18"/>
          <w:szCs w:val="18"/>
          <w:u w:val="single" w:color="auto"/>
          <w:color w:val="auto"/>
        </w:rPr>
        <w:t>Rule 16b-3</w:t>
      </w:r>
      <w:r>
        <w:rPr>
          <w:rFonts w:ascii="Arial" w:cs="Arial" w:eastAsia="Arial" w:hAnsi="Arial"/>
          <w:sz w:val="18"/>
          <w:szCs w:val="18"/>
          <w:color w:val="auto"/>
        </w:rPr>
        <w:t>”) promulgated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that transactions of the type specified in subparagraphs (c) to (f) inclusive of Rule 16b-3 by officers and directors of the Company pursuant to the Plan will be exempt from the operation of Section 16(b) of the Exchange Act. Further, the Plan is intended to satisfy the performance-based compensation exception to the limitation on the Company’s tax deductions imposed by Section 162(m) of the Code with respect to those Options, awards of Restricted Stock (as defined below), and awards of Restricted Stock Units (as defined below) for which qualification for such exception is intended. In all cases, the terms, provisions, conditions and limitations of the Plan shall be construed and interpreted consistent with the Company’s intent as stated in this Section 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Administration of the Plan.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shall appoint and maintain as administrator of the Plan a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consisting of two or more directors who are (i) “Independent Directors” (as such term is defined under the rules of the NASDAQ Stock Market), (ii) “Non-Employee Directors” (as such term is defined in Rule 16b¬3) and (iii) “Outside Directors” (as such term is defined in Section 162(m) of the Code), which shall serve at the pleasure of the Board. The Committee, subject to Sections 3, 5, 6 and 7 hereof, shall have full power and authority to designate recipients of Options, restricted stock (“</w:t>
      </w:r>
      <w:r>
        <w:rPr>
          <w:rFonts w:ascii="Arial" w:cs="Arial" w:eastAsia="Arial" w:hAnsi="Arial"/>
          <w:sz w:val="16"/>
          <w:szCs w:val="16"/>
          <w:u w:val="single" w:color="auto"/>
          <w:color w:val="auto"/>
        </w:rPr>
        <w:t>Restricted Stock</w:t>
      </w:r>
      <w:r>
        <w:rPr>
          <w:rFonts w:ascii="Arial" w:cs="Arial" w:eastAsia="Arial" w:hAnsi="Arial"/>
          <w:sz w:val="16"/>
          <w:szCs w:val="16"/>
          <w:color w:val="auto"/>
        </w:rPr>
        <w:t>”) and restricted stock units (“</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and to determine the terms and conditions of the respective Option, Restricted Stock and Restricted Stock Unit agreements (which need not be identical) and to interpret the provisions and supervise the administration of the Plan. The Committee shall have the authority, without limitation, to designate which Options granted under the Plan shall be Incentive Options and which shall be Nonqualified Options. To the extent any Option does not qualify as an Incentive Option, it shall constitute a separate Nonqualified Option.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both"/>
        <w:ind w:firstLine="648"/>
        <w:spacing w:after="0" w:line="271" w:lineRule="auto"/>
        <w:rPr>
          <w:sz w:val="20"/>
          <w:szCs w:val="20"/>
          <w:color w:val="auto"/>
        </w:rPr>
      </w:pPr>
      <w:r>
        <w:rPr>
          <w:rFonts w:ascii="Arial" w:cs="Arial" w:eastAsia="Arial" w:hAnsi="Arial"/>
          <w:sz w:val="17"/>
          <w:szCs w:val="17"/>
          <w:color w:val="auto"/>
        </w:rPr>
        <w:t>Subject to the provisions of the Plan, the Committee shall interpret the Plan and all Options, Restricted Stock and Restricted Stock Units granted under the Plan, shall make such rules as it deems necessary for the proper administration of the Plan, shall make all other determinations necessary or advisable for the administration of the Plan and shall correct any defects or supply any omission or reconcile any inconsistency in the Plan or in any Options, Restricted Stock or Restricted Stock Units granted under the Plan in the manner and to the extent that the Committee deems desirable to carry into effect the Plan or any Options, Restricted Stock or Restricted Stock Units. The act or determination of a majority of the Committee shall be the act or determination of the Committee and any decision reduced to writing and signed by all of the members of the Committee shall be fully effective as if it had been made by a majority of the Committee at a meeting duly held for such purpose. Subject to the provisions of the Plan, any action taken or determination made by the Committee pursuant to this and the other Sections of the Plan shall be conclusive on all parties.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the event that for any reason the Committee is unable to act or if the Committee at the time of any grant, award or other acquisition under the Plan does not consist of two or more Non-Employee Directors, or if there shall be no such Committee, or if the Board otherwise determines to administer the Plan, then the Plan shall be administered by the Board, and references herein to the Committee (except in the proviso to this sentence) shall be deemed to be references to the Board, and any such grant, award or other acquisition may be approved or ratified in any other manner contemplated by subparagraph (d) of Rule 16b-3;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grants to the Company’s Chief Executive Officer or to any of the Company’s other four most highly compensated officers that are intended to qualify as performance-based compensation under Section 162(m) of the Code may only be granted by the Committee.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Designation of Optionees and Grantees.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persons eligible for participation in the Plan as recipients of Options (the “</w:t>
      </w:r>
      <w:r>
        <w:rPr>
          <w:rFonts w:ascii="Arial" w:cs="Arial" w:eastAsia="Arial" w:hAnsi="Arial"/>
          <w:sz w:val="16"/>
          <w:szCs w:val="16"/>
          <w:u w:val="single" w:color="auto"/>
          <w:color w:val="auto"/>
        </w:rPr>
        <w:t>Optionees</w:t>
      </w:r>
      <w:r>
        <w:rPr>
          <w:rFonts w:ascii="Arial" w:cs="Arial" w:eastAsia="Arial" w:hAnsi="Arial"/>
          <w:sz w:val="16"/>
          <w:szCs w:val="16"/>
          <w:color w:val="auto"/>
        </w:rPr>
        <w:t>”) or Restricted Stock or Restricted Stock Units (the “</w:t>
      </w:r>
      <w:r>
        <w:rPr>
          <w:rFonts w:ascii="Arial" w:cs="Arial" w:eastAsia="Arial" w:hAnsi="Arial"/>
          <w:sz w:val="16"/>
          <w:szCs w:val="16"/>
          <w:u w:val="single" w:color="auto"/>
          <w:color w:val="auto"/>
        </w:rPr>
        <w:t>Grantees</w:t>
      </w:r>
      <w:r>
        <w:rPr>
          <w:rFonts w:ascii="Arial" w:cs="Arial" w:eastAsia="Arial" w:hAnsi="Arial"/>
          <w:sz w:val="16"/>
          <w:szCs w:val="16"/>
          <w:color w:val="auto"/>
        </w:rPr>
        <w:t>” and together with Optionees, the “</w:t>
      </w:r>
      <w:r>
        <w:rPr>
          <w:rFonts w:ascii="Arial" w:cs="Arial" w:eastAsia="Arial" w:hAnsi="Arial"/>
          <w:sz w:val="16"/>
          <w:szCs w:val="16"/>
          <w:u w:val="single" w:color="auto"/>
          <w:color w:val="auto"/>
        </w:rPr>
        <w:t>Participants</w:t>
      </w:r>
      <w:r>
        <w:rPr>
          <w:rFonts w:ascii="Arial" w:cs="Arial" w:eastAsia="Arial" w:hAnsi="Arial"/>
          <w:sz w:val="16"/>
          <w:szCs w:val="16"/>
          <w:color w:val="auto"/>
        </w:rPr>
        <w:t>”) shall include directors, officers and employees of, and consultants and advisors to, the Company or any Subsidiary; provided that Incentive Options may only be granted to employees of the Company and any Subsidiary. In selecting Participants, and in determining the number of shares to be covered by each Option or award of Restricted Stock or Restricted Stock Units granted to Participants, the Committee may consider any factors it deems relevant, including, without limitation, the office or position held by the Participant or the Participant’s relationship to the Company, the Participant’s degree of responsibility for and contribution to the growth and success of the Company or any Subsidiary, the Participant’s length of service, promotions and potential. A Participant who has been granted an Option, Restricted Stock or Restricted Stock Units hereunder may be granted an additional Option or Options, Restricted Stock or Restricted Stock Units if the Committee shall so determine.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ind w:left="640"/>
        <w:spacing w:after="0"/>
        <w:rPr>
          <w:sz w:val="20"/>
          <w:szCs w:val="20"/>
          <w:color w:val="auto"/>
        </w:rPr>
      </w:pPr>
      <w:r>
        <w:rPr>
          <w:rFonts w:ascii="Arial" w:cs="Arial" w:eastAsia="Arial" w:hAnsi="Arial"/>
          <w:sz w:val="18"/>
          <w:szCs w:val="18"/>
          <w:b w:val="1"/>
          <w:bCs w:val="1"/>
          <w:color w:val="auto"/>
        </w:rPr>
        <w:t>4. Stock Reserved for the Plan.</w:t>
      </w:r>
    </w:p>
    <w:p>
      <w:pPr>
        <w:spacing w:after="0" w:line="229" w:lineRule="exact"/>
        <w:rPr>
          <w:sz w:val="20"/>
          <w:szCs w:val="20"/>
          <w:color w:val="auto"/>
        </w:rPr>
      </w:pPr>
    </w:p>
    <w:p>
      <w:pPr>
        <w:jc w:val="both"/>
        <w:ind w:left="-20" w:firstLine="656"/>
        <w:spacing w:after="0" w:line="270" w:lineRule="auto"/>
        <w:tabs>
          <w:tab w:leader="none" w:pos="884"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Subject to adjustment as provided in Section 9 hereof, a total of 2,000,000 shares of the Company’s common stock, par value $0.001 per share (the “Stock”),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or Restricted Stock Units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or Restricted Stock Units expire or be canceled prior to its exercise or vesting in full or should the number of shares of Stock to be delivered upon the exercise or vesting in full of an Option or award of Restricted Stock or Restricted Stock Units be reduced for any reason, the shares of Stock theretofore subject to such Option, Restricted Stock or Restricted Stock Units may be subject to future Options, Restricted Stock or Restricted Stock Units under the Plan.</w:t>
      </w:r>
    </w:p>
    <w:p>
      <w:pPr>
        <w:spacing w:after="0" w:line="181" w:lineRule="exact"/>
        <w:rPr>
          <w:rFonts w:ascii="Arial" w:cs="Arial" w:eastAsia="Arial" w:hAnsi="Arial"/>
          <w:sz w:val="17"/>
          <w:szCs w:val="17"/>
          <w:color w:val="auto"/>
        </w:rPr>
      </w:pPr>
    </w:p>
    <w:p>
      <w:pPr>
        <w:jc w:val="both"/>
        <w:ind w:left="-20" w:firstLine="656"/>
        <w:spacing w:after="0" w:line="254" w:lineRule="auto"/>
        <w:tabs>
          <w:tab w:leader="none" w:pos="9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maximum number of shares of Stock with respect to which Options may be granted to any Optionee in any calendar year shall be five hundred thousand (500,000) shares. In connection with an Optionee’s commencement of employment or service with the Company or any Subsidiary, an Optionee may be granted Options for up to an additional two hundred thousand (200,000) shares which shall not count against the limit set forth in the previous sentence. The foregoing limitations shall be adjusted proportionately in connection with any change in the Company’s capitalization pursuant to Section 9, below. To the extent required by Section 162(m) of the Code or the regulations thereunder, in applying the foregoing limitations with respect to an Optionee, if any Option is canceled, the canceled Option shall continue to count against the maximum number of Shares with respect to which Options may be granted to the Optionee. For this purpose, the repricing of an Option shall be treated as the cancellation of the existing Option and the grant of a new Option.</w:t>
      </w:r>
    </w:p>
    <w:p>
      <w:pPr>
        <w:spacing w:after="0" w:line="192" w:lineRule="exact"/>
        <w:rPr>
          <w:rFonts w:ascii="Arial" w:cs="Arial" w:eastAsia="Arial" w:hAnsi="Arial"/>
          <w:sz w:val="18"/>
          <w:szCs w:val="18"/>
          <w:color w:val="auto"/>
        </w:rPr>
      </w:pPr>
    </w:p>
    <w:p>
      <w:pPr>
        <w:jc w:val="both"/>
        <w:ind w:left="-20" w:firstLine="656"/>
        <w:spacing w:after="0" w:line="268" w:lineRule="auto"/>
        <w:tabs>
          <w:tab w:leader="none" w:pos="8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awards of Restricted Stock or Restricted Stock Units that are intended to qualify as “performance-based compensation” under Section 162(m) of the Code, the maximum number of shares of Stock with respect to which such awards may be granted to any Grantee in any calendar year shall be five hundred thousand (500,000) shares. The foregoing limitation shall be adjusted proportionately in connection with any change in the Company’s capitalization pursuant to Section 9, below. Subject to the terms of the Plan, awards of Restricted Stock or Restricted Stock Units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or Restricted Stock Unit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8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color w:val="auto"/>
        </w:rPr>
        <w:t>5. Terms and Conditions of Options.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Options granted under the Plan shall be subject to the following conditions and shall contain such additional terms and conditions, not inconsistent with the terms of the Plan, as the Committee shall deem desirable:</w:t>
      </w:r>
    </w:p>
    <w:p>
      <w:pPr>
        <w:spacing w:after="0" w:line="170" w:lineRule="exact"/>
        <w:rPr>
          <w:sz w:val="20"/>
          <w:szCs w:val="20"/>
          <w:color w:val="auto"/>
        </w:rPr>
      </w:pPr>
    </w:p>
    <w:p>
      <w:pPr>
        <w:jc w:val="both"/>
        <w:ind w:firstLine="1305"/>
        <w:spacing w:after="0" w:line="285" w:lineRule="auto"/>
        <w:tabs>
          <w:tab w:leader="none" w:pos="154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The purchase price of each share of Stock purchasable, under an Incentive Option shall be determined by the Committee at the time of grant, but shall not be less than 100% of the Fair Market Value (as defined below) of such share of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Stock shall be at least 110% of the Fair Market Value per share of Stock on the date of grant. The purchase price of each share of Stock purchasable under a Nonqualified Option shall not be less than 100% of the Fair Market Value, of such share of Stock on the date the Option is granted. The exercise price for each Option shall be subject to adjustment as provided in Section 9 below. “Fair Market Value” means: (i) if the Stock is listed on one or more established stock exchanges or national market systems, including without limitation The NASDAQ Global Select Market, The NASDAQ Global Market or The NASDAQ Capital Market of The NASDAQ Stock Market LLC, the closing sales price for such Stock (or the closing bid, if no sales were reported) as quoted on the principal exchange or system on which the Stock is listed (as determined by the Committee) on the date of grant of the Option or Stock (or, if no closing sales price or closing bid was reported on that date, as applicable, on the last trading date such closing sales price or closing bid was reported), as reported in The Wall Street Journal or such other source as the Committee deems reliable; (ii) if the Stock is regularly quoted on an automated quotation system (including but not limited to the OTC Bulletin Board) or by a recognized securities dealer, the closing sales price for such Stock as quoted on such system or by such securities dealer on the date of grant of the Option or Stock, but if selling prices are not reported, the Fair Market Value of a share of Stock shall be the mean between the high bid and low asked prices for the Stock on the date of grant of the Option or Stock (or, if no such prices were reported on that date, on the last date such prices were reported), as reported in The Wall Street Journal or, such other source as the Committee deems reliable; or (iii) in the absence of an established market for the Stock of the type described in (i) and (ii), above, the Fair Market Value thereof shall be determined by the Committee in good faith. Anything in this Section 5(a) to the contrary notwithstanding, in no event shall the purchase price of a share of Stock be less than the minimum price permitted under the rules and policies of any national securities exchange on which the shares of Stock are listed.</w:t>
      </w:r>
    </w:p>
    <w:p>
      <w:pPr>
        <w:spacing w:after="0" w:line="170" w:lineRule="exact"/>
        <w:rPr>
          <w:rFonts w:ascii="Arial" w:cs="Arial" w:eastAsia="Arial" w:hAnsi="Arial"/>
          <w:sz w:val="16"/>
          <w:szCs w:val="16"/>
          <w:color w:val="auto"/>
        </w:rPr>
      </w:pPr>
    </w:p>
    <w:p>
      <w:pPr>
        <w:jc w:val="both"/>
        <w:ind w:firstLine="1305"/>
        <w:spacing w:after="0" w:line="279" w:lineRule="auto"/>
        <w:tabs>
          <w:tab w:leader="none" w:pos="155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Option Term</w:t>
      </w:r>
      <w:r>
        <w:rPr>
          <w:rFonts w:ascii="Arial" w:cs="Arial" w:eastAsia="Arial" w:hAnsi="Arial"/>
          <w:sz w:val="17"/>
          <w:szCs w:val="17"/>
          <w:color w:val="auto"/>
        </w:rPr>
        <w:t>. The term of each Option shall be fixed by the Committee, but no Option shall be exercisable more than ten years after the date such Option is granted and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shall be exercisable more than five years after the date such Incentive Option is granted.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jc w:val="both"/>
        <w:ind w:firstLine="1305"/>
        <w:spacing w:after="0" w:line="255" w:lineRule="auto"/>
        <w:tabs>
          <w:tab w:leader="none" w:pos="154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xml:space="preserve">. Subject to Section 5(j) hereof, Options shall be exercisable at such time or times and subject to such terms and conditions as shall be determined by the Committee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absence of any Option vesting periods designated by the Committee at the time of grant, Options shall vest and become exercisable as to one-third of the total number of shares subject to the Option on each of the first, second and third anniversaries of the date of grant; and provided further that no Options shall be exercisable until such time as any vesting limitation required by Section 16 of the Exchange Act, and related rules, shall be satisfied if such limitation shall be required for continued validity of the exemption provided under Rule 16b-3(d)(3).</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occurrence of a “Change in Control” (as hereinafter defined),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shall terminate within a specified number of days after notice to the Optionee thereunder, and each such Optionee shall receive, with respect to each share of Company Stock subject to such Option, an amount equal to the excess of the Fair Market Value of such shares immediately prior to such Change in Control over the exercise price per share of such Option; such amount shall be payable in cash, in one or more kinds of property (including the property, if any, payable in the transaction) or a combination thereof, as the Committee shall determine in its sole discretion.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the Plan, unless otherwise defined in an employment agreement between the Company and the relevant Optionee, a Change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Control shall be deemed to have occurred if:</w:t>
      </w:r>
    </w:p>
    <w:p>
      <w:pPr>
        <w:spacing w:after="0" w:line="211" w:lineRule="exact"/>
        <w:rPr>
          <w:sz w:val="20"/>
          <w:szCs w:val="20"/>
          <w:color w:val="auto"/>
        </w:rPr>
      </w:pPr>
    </w:p>
    <w:p>
      <w:pPr>
        <w:jc w:val="both"/>
        <w:ind w:left="1300" w:firstLine="653"/>
        <w:spacing w:after="0" w:line="302" w:lineRule="auto"/>
        <w:tabs>
          <w:tab w:leader="none" w:pos="21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tender offer (or series of related offers) shall be made and consummated for the ownership of 50% or more of the outstanding voting securities of the Company, unless as a result of such tender offer more than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affiliates;</w:t>
      </w:r>
    </w:p>
    <w:p>
      <w:pPr>
        <w:spacing w:after="0" w:line="154" w:lineRule="exact"/>
        <w:rPr>
          <w:rFonts w:ascii="Arial" w:cs="Arial" w:eastAsia="Arial" w:hAnsi="Arial"/>
          <w:sz w:val="16"/>
          <w:szCs w:val="16"/>
          <w:color w:val="auto"/>
        </w:rPr>
      </w:pPr>
    </w:p>
    <w:p>
      <w:pPr>
        <w:jc w:val="both"/>
        <w:ind w:left="1300" w:firstLine="653"/>
        <w:spacing w:after="0" w:line="259" w:lineRule="auto"/>
        <w:tabs>
          <w:tab w:leader="none" w:pos="22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shall be merged or consolidated with another corporation, unless as a result of such merger or consolidation more than 50% of the outstanding voting securities of the surviving or resulting corporation shall be owned in the aggregate by the stockholders of the Company (as of the time immediately prior to such transaction), any employee benefit plan of the Company or its Subsidiaries, and their affiliates;</w:t>
      </w:r>
    </w:p>
    <w:p>
      <w:pPr>
        <w:spacing w:after="0" w:line="186" w:lineRule="exact"/>
        <w:rPr>
          <w:rFonts w:ascii="Arial" w:cs="Arial" w:eastAsia="Arial" w:hAnsi="Arial"/>
          <w:sz w:val="18"/>
          <w:szCs w:val="18"/>
          <w:color w:val="auto"/>
        </w:rPr>
      </w:pPr>
    </w:p>
    <w:p>
      <w:pPr>
        <w:jc w:val="both"/>
        <w:ind w:left="1300" w:firstLine="653"/>
        <w:spacing w:after="0" w:line="286" w:lineRule="auto"/>
        <w:tabs>
          <w:tab w:leader="none" w:pos="226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shall sell substantially all of its assets to another corporation that is not wholly owned by the Company, unless as a result of such sale more than 50% of such assets shall be owned in the aggregate by the stockholders of the Company (as of the time immediately prior to such transaction), any employee benefit plan of the Company or its Subsidiaries and their affiliates;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ind w:left="1300" w:firstLine="653"/>
        <w:spacing w:after="0" w:line="302" w:lineRule="auto"/>
        <w:tabs>
          <w:tab w:leader="none" w:pos="22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Person (as defined below) shall acquire 50% or more of the outstanding voting securities of the Company (whether directly, indirectly, beneficially or of record), unless as a result of such acquisition more than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affiliates.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if Change of Control is defined in an employment agreement between the Company and the relevant Optionee, then, with respect to such Optionee, Change of Control shall have the meaning ascribed to it in such employment agreement.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For purposes of this Section 5(c), ownership of voting securities shall take into account and shall include ownership as determined by applying the provisions of Rule 13d-3(d)(I)(i) (as in effect on the date hereof) under the Exchange Act. In addition, for such purposes, “Person” shall have the meaning given in Section 3(a)(9) of the Exchange Act, as modified and used in Sections 13(d) and 14(d)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include (A) the Company or any of its Subsidiaries; (B) a trustee or other fiduciary holding securities under an employee benefit plan of the Company or any of its Subsidiaries; (C) an underwriter temporarily holding securities pursuant to an offering of such securities; or (D) a corporation owned, directly or indirectly, by the stockholders of the Company in substantially the same proportion as their ownership of stock of the Company.</w:t>
      </w:r>
    </w:p>
    <w:p>
      <w:pPr>
        <w:spacing w:after="0" w:line="178" w:lineRule="exact"/>
        <w:rPr>
          <w:sz w:val="20"/>
          <w:szCs w:val="20"/>
          <w:color w:val="auto"/>
        </w:rPr>
      </w:pPr>
    </w:p>
    <w:p>
      <w:pPr>
        <w:jc w:val="both"/>
        <w:ind w:firstLine="1305"/>
        <w:spacing w:after="0" w:line="269" w:lineRule="auto"/>
        <w:tabs>
          <w:tab w:leader="none" w:pos="1551"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Options to the extent then exercisable may be exercised in whole or in part at any time during the option period, by giving written notice to the Company specifying the number of shares of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Stock owned by the Optionee (based on the Fair Market Value of the Stock which is not the subject of any pledge or security interest, (ii) in the form of shares of Stock withheld by the Company from the shares of Stock otherwise to be received with such withheld shares of Stock having a Fair Market Value equal to the exercise price of the Option, or (iii) by a combination of the foregoing, such Fair Market Value determined by applying the principles set forth in Section 5(a), provided that the combined value of all cash and cash equivalents and the Fair Market Value of any shares surrendered to the Company is at least equal to such exercise price and except with respect to (ii) above, such method of payment will not cause a disqualifying disposition of all or a portion of the Stock received upon exercise of an Incentive Option. An Optionee shall have the right to dividends and other rights of a stockholder with respect to shares of Stock purchased upon exercise of an Option at such time as the Optionee (i) has given written notice of exercise and has paid in full for such shares, and (ii) has satisfied such conditions that may be imposed by the Company with respect to the withholding of taxes.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both"/>
        <w:ind w:left="-20" w:firstLine="1305"/>
        <w:spacing w:after="0" w:line="297" w:lineRule="auto"/>
        <w:tabs>
          <w:tab w:leader="none" w:pos="1521"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Options</w:t>
      </w:r>
      <w:r>
        <w:rPr>
          <w:rFonts w:ascii="Arial" w:cs="Arial" w:eastAsia="Arial" w:hAnsi="Arial"/>
          <w:sz w:val="16"/>
          <w:szCs w:val="16"/>
          <w:color w:val="auto"/>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hereof shall be void and ineffective and shall give no right to the purported transferee.</w:t>
      </w:r>
    </w:p>
    <w:p>
      <w:pPr>
        <w:spacing w:after="0" w:line="158" w:lineRule="exact"/>
        <w:rPr>
          <w:rFonts w:ascii="Arial" w:cs="Arial" w:eastAsia="Arial" w:hAnsi="Arial"/>
          <w:sz w:val="16"/>
          <w:szCs w:val="16"/>
          <w:color w:val="auto"/>
        </w:rPr>
      </w:pPr>
    </w:p>
    <w:p>
      <w:pPr>
        <w:jc w:val="both"/>
        <w:ind w:left="-20" w:firstLine="1305"/>
        <w:spacing w:after="0" w:line="276" w:lineRule="auto"/>
        <w:tabs>
          <w:tab w:leader="none" w:pos="1501"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Termination by Death</w:t>
      </w:r>
      <w:r>
        <w:rPr>
          <w:rFonts w:ascii="Arial" w:cs="Arial" w:eastAsia="Arial" w:hAnsi="Arial"/>
          <w:sz w:val="17"/>
          <w:szCs w:val="17"/>
          <w:color w:val="auto"/>
        </w:rPr>
        <w:t>. Unless otherwise determined by the Committee, if any Optionee’s employment with or service to the Company or any Subsidiary terminates by reason of death, the Option may thereafter be exercised, to the extent then exercisable (or on such accelerated basis as the Committee shall determine at or after grant), by the legal representative of the estate or by the legatee of the Optionee under the will of the Optionee, for a period of one (1) year after the date of such death (or, if later, such time as the Option may be exercised pursuant to Section 15(d) hereof) or until the expiration of the stated term of such Option as provided under the Plan, whichever period is shorter.</w:t>
      </w:r>
    </w:p>
    <w:p>
      <w:pPr>
        <w:spacing w:after="0" w:line="172" w:lineRule="exact"/>
        <w:rPr>
          <w:rFonts w:ascii="Arial" w:cs="Arial" w:eastAsia="Arial" w:hAnsi="Arial"/>
          <w:sz w:val="17"/>
          <w:szCs w:val="17"/>
          <w:color w:val="auto"/>
        </w:rPr>
      </w:pPr>
    </w:p>
    <w:p>
      <w:pPr>
        <w:jc w:val="both"/>
        <w:ind w:left="-20" w:firstLine="1305"/>
        <w:spacing w:after="0" w:line="270" w:lineRule="auto"/>
        <w:tabs>
          <w:tab w:leader="none" w:pos="1531"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w:t>
      </w:r>
      <w:r>
        <w:rPr>
          <w:rFonts w:ascii="Arial" w:cs="Arial" w:eastAsia="Arial" w:hAnsi="Arial"/>
          <w:sz w:val="17"/>
          <w:szCs w:val="17"/>
          <w:color w:val="auto"/>
        </w:rPr>
        <w:t xml:space="preserve">.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period is shorter;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 “Disability” shall mean an Optionee’s total and permanent disability; </w:t>
      </w:r>
      <w:r>
        <w:rPr>
          <w:rFonts w:ascii="Arial" w:cs="Arial" w:eastAsia="Arial" w:hAnsi="Arial"/>
          <w:sz w:val="17"/>
          <w:szCs w:val="17"/>
          <w:i w:val="1"/>
          <w:iCs w:val="1"/>
          <w:color w:val="auto"/>
        </w:rPr>
        <w:t>provided</w:t>
      </w:r>
      <w:r>
        <w:rPr>
          <w:rFonts w:ascii="Arial" w:cs="Arial" w:eastAsia="Arial" w:hAnsi="Arial"/>
          <w:sz w:val="17"/>
          <w:szCs w:val="17"/>
          <w:color w:val="auto"/>
        </w:rPr>
        <w:t>, that if Disability is defined in an employment agreement between the Company and the relevant Optionee, then, with respect to such Optionee, Disability shall have the meaning ascribed to it in such employment agreement.</w:t>
      </w:r>
    </w:p>
    <w:p>
      <w:pPr>
        <w:spacing w:after="0" w:line="177" w:lineRule="exact"/>
        <w:rPr>
          <w:rFonts w:ascii="Arial" w:cs="Arial" w:eastAsia="Arial" w:hAnsi="Arial"/>
          <w:sz w:val="17"/>
          <w:szCs w:val="17"/>
          <w:color w:val="auto"/>
        </w:rPr>
      </w:pPr>
    </w:p>
    <w:p>
      <w:pPr>
        <w:jc w:val="both"/>
        <w:ind w:left="-20" w:firstLine="1305"/>
        <w:spacing w:after="0" w:line="271" w:lineRule="auto"/>
        <w:tabs>
          <w:tab w:leader="none" w:pos="1531"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Retirement</w:t>
      </w:r>
      <w:r>
        <w:rPr>
          <w:rFonts w:ascii="Arial" w:cs="Arial" w:eastAsia="Arial" w:hAnsi="Arial"/>
          <w:sz w:val="17"/>
          <w:szCs w:val="17"/>
          <w:color w:val="auto"/>
        </w:rPr>
        <w:t xml:space="preserve">.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Retirement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date is earlier;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7" w:name="page18"/>
    <w:bookmarkEnd w:id="17"/>
    <w:p>
      <w:pPr>
        <w:jc w:val="both"/>
        <w:ind w:firstLine="648"/>
        <w:spacing w:after="0" w:line="259" w:lineRule="auto"/>
        <w:rPr>
          <w:sz w:val="20"/>
          <w:szCs w:val="20"/>
          <w:color w:val="auto"/>
        </w:rPr>
      </w:pPr>
      <w:r>
        <w:rPr>
          <w:rFonts w:ascii="Arial" w:cs="Arial" w:eastAsia="Arial" w:hAnsi="Arial"/>
          <w:sz w:val="18"/>
          <w:szCs w:val="18"/>
          <w:color w:val="auto"/>
        </w:rPr>
        <w:t>For purposes of this paragraph (h), “</w:t>
      </w:r>
      <w:r>
        <w:rPr>
          <w:rFonts w:ascii="Arial" w:cs="Arial" w:eastAsia="Arial" w:hAnsi="Arial"/>
          <w:sz w:val="18"/>
          <w:szCs w:val="18"/>
          <w:u w:val="single" w:color="auto"/>
          <w:color w:val="auto"/>
        </w:rPr>
        <w:t>Normal Retirement</w:t>
      </w:r>
      <w:r>
        <w:rPr>
          <w:rFonts w:ascii="Arial" w:cs="Arial" w:eastAsia="Arial" w:hAnsi="Arial"/>
          <w:sz w:val="18"/>
          <w:szCs w:val="18"/>
          <w:color w:val="auto"/>
        </w:rPr>
        <w:t>” shall mean retirement from active employment with the Company or any Subsidiary on or after the normal retirement date specified in the applicable Company or Subsidiary pension plan or if no such pension plan, age 65, and “</w:t>
      </w:r>
      <w:r>
        <w:rPr>
          <w:rFonts w:ascii="Arial" w:cs="Arial" w:eastAsia="Arial" w:hAnsi="Arial"/>
          <w:sz w:val="18"/>
          <w:szCs w:val="18"/>
          <w:u w:val="single" w:color="auto"/>
          <w:color w:val="auto"/>
        </w:rPr>
        <w:t>Early Retirement</w:t>
      </w:r>
      <w:r>
        <w:rPr>
          <w:rFonts w:ascii="Arial" w:cs="Arial" w:eastAsia="Arial" w:hAnsi="Arial"/>
          <w:sz w:val="18"/>
          <w:szCs w:val="18"/>
          <w:color w:val="auto"/>
        </w:rPr>
        <w:t>” shall mean retirement from active employment with the Company or any Subsidiary pursuant to the early retirement provisions of the applicable Company or Subsidiary pension plan or if no such pension plan, age 55.</w:t>
      </w:r>
    </w:p>
    <w:p>
      <w:pPr>
        <w:spacing w:after="0" w:line="187" w:lineRule="exact"/>
        <w:rPr>
          <w:sz w:val="20"/>
          <w:szCs w:val="20"/>
          <w:color w:val="auto"/>
        </w:rPr>
      </w:pPr>
    </w:p>
    <w:p>
      <w:pPr>
        <w:jc w:val="both"/>
        <w:ind w:firstLine="1305"/>
        <w:spacing w:after="0" w:line="272" w:lineRule="auto"/>
        <w:tabs>
          <w:tab w:leader="none" w:pos="152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Other Terminations</w:t>
      </w:r>
      <w:r>
        <w:rPr>
          <w:rFonts w:ascii="Arial" w:cs="Arial" w:eastAsia="Arial" w:hAnsi="Arial"/>
          <w:sz w:val="17"/>
          <w:szCs w:val="17"/>
          <w:color w:val="auto"/>
        </w:rPr>
        <w:t>. Unless otherwise determined by the Committee upon grant, if any Optionee’s employment with or service to the Company or any Subsidiary is terminated by such Optionee for any reason other than death, Disability, Normal or Early Retirement or Good Reason (as defined below), the Option shall thereupon terminate, except that the portion of any Option that was exercisable on the date of such termination of employment or service may be exercised for the lesser of ninety (90) days after the date of termination (or, if later, such time as the Option may be exercised pursuant to Section 15(d) hereof) or the balance of such Option’s term, which ever period is shorter. The transfer of an Optionee from the employ of or service to the Company to the employ of or service to a Subsidiary, or vice versa, or from one Subsidiary to another, shall not be deemed to constitute a termination of employment or service for purposes of the Plan.</w:t>
      </w:r>
    </w:p>
    <w:p>
      <w:pPr>
        <w:spacing w:after="0" w:line="177" w:lineRule="exact"/>
        <w:rPr>
          <w:rFonts w:ascii="Arial" w:cs="Arial" w:eastAsia="Arial" w:hAnsi="Arial"/>
          <w:sz w:val="17"/>
          <w:szCs w:val="17"/>
          <w:color w:val="auto"/>
        </w:rPr>
      </w:pPr>
    </w:p>
    <w:p>
      <w:pPr>
        <w:jc w:val="both"/>
        <w:ind w:left="1300" w:firstLine="653"/>
        <w:spacing w:after="0" w:line="269" w:lineRule="auto"/>
        <w:tabs>
          <w:tab w:leader="none" w:pos="2173"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In the event that the Optionee’s employment or service with the Company or any Subsidiary is terminated by the Company or such Subsidiary for “cause” any unexercised portion of any Option shall immediately terminate in its entirety. For purposes hereof, unless otherwise defined in an employment agreement between the Company and the relevant Optionee, “Cause” shall exist upon a good-faith determination by the Board, following a hearing before the Board at which an Optionee was represented by counsel and given an opportunity to be heard, that such Optionee has been accused of fraud, dishonesty or act detrimental to the interests of the Company or any Subsidiary of Company or that such Optionee has been accused of or convicted of an act of willful and material embezzlement or fraud against the Company or of a felony under any state or federal statute;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it is specifically understood that “Cause” shall not include any act of commission or omission in the good-faith exercise of such Optionee’s business judgment as a director, officer or employee of the Company, as the case may be, or upon the advice of counsel to the Company. Notwithstanding the foregoing, if Cause is defined in an employment agreement between the Company and the relevant Optionee, then, with respect to such Optionee, Cause shall have the meaning ascribed to it in such employment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ind w:left="1300" w:firstLine="653"/>
        <w:spacing w:after="0" w:line="290" w:lineRule="auto"/>
        <w:tabs>
          <w:tab w:leader="none" w:pos="22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the event that an Optionee is removed as a director, officer or employee by the Company at any time other than for “Cause” or resigns as a director, officer or employee for “Good Reason” the Option granted to such Optionee may be exercised by the Optionee, to the extent the Option was exercisable on the date such Optionee ceases to be a director, officer or employee. Such Option may be exercised at any time within one (1) year after the date the Optionee ceases to be a director, officer or employee (or, if later, such time as the Option may be exercised pursuant to Section 15(d) hereof), or the date on which the Option otherwise expires by its terms; whichever period is shorter, at which time the Option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Optionee dies before the Options terminate and are no longer exercisable, the terms and provisions of Section 5(1) shall control. For purposes of this Section 5(i), and unless otherwise defined in an employment agreement between the Company and the relevant Optionee, Good Reason shall exist upon the occurrence of the following:</w:t>
      </w:r>
    </w:p>
    <w:p>
      <w:pPr>
        <w:spacing w:after="0" w:line="166" w:lineRule="exact"/>
        <w:rPr>
          <w:sz w:val="20"/>
          <w:szCs w:val="20"/>
          <w:color w:val="auto"/>
        </w:rPr>
      </w:pPr>
    </w:p>
    <w:p>
      <w:pPr>
        <w:ind w:left="2340" w:right="20" w:hanging="387"/>
        <w:spacing w:after="0" w:line="277" w:lineRule="auto"/>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assignment to Optionee of any duties inconsistent with the position in the Company that Optionee held immediately prior to the assignment;</w:t>
      </w:r>
    </w:p>
    <w:p>
      <w:pPr>
        <w:spacing w:after="0" w:line="170" w:lineRule="exact"/>
        <w:rPr>
          <w:rFonts w:ascii="Arial" w:cs="Arial" w:eastAsia="Arial" w:hAnsi="Arial"/>
          <w:sz w:val="18"/>
          <w:szCs w:val="18"/>
          <w:color w:val="auto"/>
        </w:rPr>
      </w:pPr>
    </w:p>
    <w:p>
      <w:pPr>
        <w:jc w:val="both"/>
        <w:ind w:left="2340" w:hanging="387"/>
        <w:spacing w:after="0" w:line="286" w:lineRule="auto"/>
        <w:tabs>
          <w:tab w:leader="none" w:pos="2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Change of Control resulting in a significant adverse alteration in the status or conditions of Optionee’s participation with the Company or other nature of Optionee’s responsibilities from those in effect prior to such Change of Control, including any significant alteration in Optionee’s responsibilities immediately prior to such Change in Control; and</w:t>
      </w:r>
    </w:p>
    <w:p>
      <w:pPr>
        <w:spacing w:after="0" w:line="165" w:lineRule="exact"/>
        <w:rPr>
          <w:rFonts w:ascii="Arial" w:cs="Arial" w:eastAsia="Arial" w:hAnsi="Arial"/>
          <w:sz w:val="17"/>
          <w:szCs w:val="17"/>
          <w:color w:val="auto"/>
        </w:rPr>
      </w:pPr>
    </w:p>
    <w:p>
      <w:pPr>
        <w:ind w:left="2340" w:hanging="387"/>
        <w:spacing w:after="0" w:line="277" w:lineRule="auto"/>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by the Company to continue to provide Optionee with benefits substantially similar to those enjoyed by Optionee prior to such failure.</w:t>
      </w:r>
    </w:p>
    <w:p>
      <w:pPr>
        <w:spacing w:after="0" w:line="170"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Notwithstanding the foregoing, if Good Reason is defined in an employment agreement between the Company and the relevant Optionee, then, with respect to such Optionee, Good Reason shall have the meaning ascribed to it in such employment agreement.</w:t>
      </w:r>
    </w:p>
    <w:p>
      <w:pPr>
        <w:spacing w:after="0" w:line="147" w:lineRule="exact"/>
        <w:rPr>
          <w:sz w:val="20"/>
          <w:szCs w:val="20"/>
          <w:color w:val="auto"/>
        </w:rPr>
      </w:pPr>
    </w:p>
    <w:p>
      <w:pPr>
        <w:jc w:val="both"/>
        <w:ind w:firstLine="1305"/>
        <w:spacing w:after="0" w:line="264" w:lineRule="auto"/>
        <w:tabs>
          <w:tab w:leader="none" w:pos="1511"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Limit on Value of Incentive Option</w:t>
      </w:r>
      <w:r>
        <w:rPr>
          <w:rFonts w:ascii="Arial" w:cs="Arial" w:eastAsia="Arial" w:hAnsi="Arial"/>
          <w:sz w:val="18"/>
          <w:szCs w:val="18"/>
          <w:color w:val="auto"/>
        </w:rPr>
        <w:t>. The aggregate Fair Market Value, determined as of the date the Incentive Option is granted, of Stock for which Incentive Options are exercisable for the first time by any Optionee during any calendar year under the Plan (and/or any other stock option plans of the Company or any Subsidiary) shall not exceed $100,000.</w:t>
      </w:r>
    </w:p>
    <w:p>
      <w:pPr>
        <w:spacing w:after="0" w:line="177" w:lineRule="exact"/>
        <w:rPr>
          <w:rFonts w:ascii="Arial" w:cs="Arial" w:eastAsia="Arial" w:hAnsi="Arial"/>
          <w:sz w:val="18"/>
          <w:szCs w:val="18"/>
          <w:color w:val="auto"/>
        </w:rPr>
      </w:pPr>
    </w:p>
    <w:p>
      <w:pPr>
        <w:ind w:left="840" w:hanging="184"/>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Restricted Stock may be granted under this Plan aside from, or in association with, any other award and shall be subject to the following conditions and shall contain such additional terms and conditions (including provisions relating to the acceleration of vesting of Restricted Stock upon a Change of Control), not inconsistent with the terms of the Plan, as the Committee shall deem desirable:</w:t>
      </w:r>
    </w:p>
    <w:p>
      <w:pPr>
        <w:spacing w:after="0" w:line="181" w:lineRule="exact"/>
        <w:rPr>
          <w:sz w:val="20"/>
          <w:szCs w:val="20"/>
          <w:color w:val="auto"/>
        </w:rPr>
      </w:pPr>
    </w:p>
    <w:p>
      <w:pPr>
        <w:jc w:val="both"/>
        <w:ind w:firstLine="1305"/>
        <w:spacing w:after="0" w:line="302" w:lineRule="auto"/>
        <w:tabs>
          <w:tab w:leader="none" w:pos="155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Grantee rights</w:t>
      </w:r>
      <w:r>
        <w:rPr>
          <w:rFonts w:ascii="Arial" w:cs="Arial" w:eastAsia="Arial" w:hAnsi="Arial"/>
          <w:sz w:val="16"/>
          <w:szCs w:val="16"/>
          <w:color w:val="auto"/>
        </w:rPr>
        <w:t>. A Grantee shall have no rights to an award of Restricted Stock unless and until Grantee accepts the award within the period prescribed by the Committee and, if the Committee shall deem desirable, makes payment to the Company in cash, or by check or such other instrument as may be acceptable to the Committee. After acceptance and issuance of a certificate or certificates, as provided for below, the Grantee shall have the rights of a stockholder with respect to Restricted Stock subject to the non-transferability and forfeiture restrictions described in Section 6(d) below.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ind w:right="20" w:firstLine="1305"/>
        <w:spacing w:after="0" w:line="277" w:lineRule="auto"/>
        <w:tabs>
          <w:tab w:leader="none" w:pos="156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The Company shall issue in the Grantee’s name a certificate or certificates for the shares of Common Stock associated with the award promptly after the Grantee accepts such award.</w:t>
      </w:r>
    </w:p>
    <w:p>
      <w:pPr>
        <w:spacing w:after="0" w:line="170" w:lineRule="exact"/>
        <w:rPr>
          <w:rFonts w:ascii="Arial" w:cs="Arial" w:eastAsia="Arial" w:hAnsi="Arial"/>
          <w:sz w:val="18"/>
          <w:szCs w:val="18"/>
          <w:color w:val="auto"/>
        </w:rPr>
      </w:pPr>
    </w:p>
    <w:p>
      <w:pPr>
        <w:ind w:firstLine="1305"/>
        <w:spacing w:after="0" w:line="277" w:lineRule="auto"/>
        <w:tabs>
          <w:tab w:leader="none" w:pos="154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Delivery of Certificates</w:t>
      </w:r>
      <w:r>
        <w:rPr>
          <w:rFonts w:ascii="Arial" w:cs="Arial" w:eastAsia="Arial" w:hAnsi="Arial"/>
          <w:sz w:val="18"/>
          <w:szCs w:val="18"/>
          <w:color w:val="auto"/>
        </w:rPr>
        <w:t>. Unless otherwise provided, any certificate or certificates issued evidencing shares of Restricted Stock shall not be delivered to the Grantee until such shares are free of any restrictions specified by the Committee at the time of grant.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55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Forfeitability, Non-transferability of Restricted Stock</w:t>
      </w:r>
      <w:r>
        <w:rPr>
          <w:rFonts w:ascii="Arial" w:cs="Arial" w:eastAsia="Arial" w:hAnsi="Arial"/>
          <w:sz w:val="17"/>
          <w:szCs w:val="17"/>
          <w:color w:val="auto"/>
        </w:rPr>
        <w:t>. Shares of Restricted Stock are forfeitable until the terms of the Restricted Stock grant have 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shall be subject to the same restrictions as such shares of Restricted Stock.</w:t>
      </w:r>
    </w:p>
    <w:p>
      <w:pPr>
        <w:spacing w:after="0" w:line="171" w:lineRule="exact"/>
        <w:rPr>
          <w:rFonts w:ascii="Arial" w:cs="Arial" w:eastAsia="Arial" w:hAnsi="Arial"/>
          <w:sz w:val="17"/>
          <w:szCs w:val="17"/>
          <w:color w:val="auto"/>
        </w:rPr>
      </w:pPr>
    </w:p>
    <w:p>
      <w:pPr>
        <w:ind w:firstLine="1305"/>
        <w:spacing w:after="0" w:line="277" w:lineRule="auto"/>
        <w:tabs>
          <w:tab w:leader="none" w:pos="154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Upon the occurrence of a Change in Control as defined in Section 5(c), the Committee may accelerate the vesting of outstanding Restricted Stock, in whole or in part, as determined by the Committee, in its sole discretion.</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152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Unless otherwise determined by the Committee at or after grant, in the event the Grantee ceases to be an employee or otherwise associated with the Company for any other reason, all shares of Restricted Stock theretofore awarded to him which are still subject to restrictions shall be forfeited and the Company shall have the right to complete the blank stock power. The Committee may provide (on or after grant) that restrictions or forfeiture conditions relating to shares of Restricted Stock will be waived in whole or in part in the event of termination resulting from specified causes, and the Committee may in other cases waive in whole or in part restrictions or forfeiture conditions relating to Restricted Stock.</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 Terms and Conditions of Restricted Stock Units.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Restricted Stock Units may be granted under this Plan aside from, or in association with, any other award and shall be subject to the following conditions and shall contain such additional terms and conditions (including provisions relating to the acceleration of vesting of Restricted Stock Units upon a Change of Control), not inconsistent with the terms of the Plan, as the Committee shall deem desirable:</w:t>
      </w:r>
    </w:p>
    <w:p>
      <w:pPr>
        <w:spacing w:after="0" w:line="181" w:lineRule="exact"/>
        <w:rPr>
          <w:sz w:val="20"/>
          <w:szCs w:val="20"/>
          <w:color w:val="auto"/>
        </w:rPr>
      </w:pPr>
    </w:p>
    <w:p>
      <w:pPr>
        <w:ind w:firstLine="1305"/>
        <w:spacing w:after="0" w:line="277" w:lineRule="auto"/>
        <w:tabs>
          <w:tab w:leader="none" w:pos="154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Grantee rights</w:t>
      </w:r>
      <w:r>
        <w:rPr>
          <w:rFonts w:ascii="Arial" w:cs="Arial" w:eastAsia="Arial" w:hAnsi="Arial"/>
          <w:sz w:val="18"/>
          <w:szCs w:val="18"/>
          <w:color w:val="auto"/>
        </w:rPr>
        <w:t>. A Grantee shall have no rights to an award of Restricted Stock Units unless and until Grantee accepts the award within the period prescribed by the Committee.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5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Committee and set forth in the Restricted Stock Unit agreement. The Committee, in its sole discretion, may only settle earned Restricted Stock Units in cash, shares of Common Stock, or a combination of both.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ind w:firstLine="1305"/>
        <w:spacing w:after="0" w:line="342" w:lineRule="auto"/>
        <w:tabs>
          <w:tab w:leader="none" w:pos="1541"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Forfeitability, Non-transferability of Restricted Stock Units</w:t>
      </w:r>
      <w:r>
        <w:rPr>
          <w:rFonts w:ascii="Arial" w:cs="Arial" w:eastAsia="Arial" w:hAnsi="Arial"/>
          <w:sz w:val="16"/>
          <w:szCs w:val="16"/>
          <w:color w:val="auto"/>
        </w:rPr>
        <w:t>. Restricted Stock Units are forfeitable until the terms of the Restricted Stock Unit grant have been satisfied. Restricted Stock Units are not transferable until the date on which the Committee has specified such restrictions have lapsed.</w:t>
      </w:r>
    </w:p>
    <w:p>
      <w:pPr>
        <w:spacing w:after="0" w:line="123" w:lineRule="exact"/>
        <w:rPr>
          <w:rFonts w:ascii="Arial" w:cs="Arial" w:eastAsia="Arial" w:hAnsi="Arial"/>
          <w:sz w:val="16"/>
          <w:szCs w:val="16"/>
          <w:color w:val="auto"/>
        </w:rPr>
      </w:pPr>
    </w:p>
    <w:p>
      <w:pPr>
        <w:ind w:firstLine="1305"/>
        <w:spacing w:after="0" w:line="277" w:lineRule="auto"/>
        <w:tabs>
          <w:tab w:leader="none" w:pos="155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Upon the occurrence of a Change in Control as defined in Section 5(c), the Committee may accelerate the vesting of outstanding Restricted Stock Units, in whole or in part, as determined by the Committee, in its sole discretion.</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54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Unless otherwise determined by the Committee at or after grant, in the event the Grantee ceases to be an employee or otherwise associated with the Company for any other reason, all unvested Restricted Stock Units theretofore awarded to him shall be forfeited. The Committee may provide (on or after grant) that forfeiture conditions relating to Restricted Stock Units will be waived in whole or in part in the event of termination resulting from specified causes, and the Committee may in other cases waive in whole or in part forfeiture conditions relating to Restricted Stock Units.</w:t>
      </w:r>
    </w:p>
    <w:p>
      <w:pPr>
        <w:spacing w:after="0" w:line="184" w:lineRule="exact"/>
        <w:rPr>
          <w:rFonts w:ascii="Arial" w:cs="Arial" w:eastAsia="Arial" w:hAnsi="Arial"/>
          <w:sz w:val="18"/>
          <w:szCs w:val="18"/>
          <w:color w:val="auto"/>
        </w:rPr>
      </w:pPr>
    </w:p>
    <w:p>
      <w:pPr>
        <w:ind w:left="840" w:hanging="184"/>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Option or award of Restricted Stock or Restricted Stock Units shall be granted pursuant to the Plan on or after the date which is ten years from the effective date of the Plan, but Options and awards of Restricted Stock and Restricted Stock Units theretofore granted may extend beyond that date.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 Capital Change of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any merger, reorganization, consolidation, recapitalization, stock dividend, or other change in corporate structure affecting the Stock, the Committee shall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shall be maintained (to the extent possible) as immediately before the occurrence of such event. The Committee shall, to the extent feasible, make such other adjustments as may be required under the tax laws so that any Incentive Options previously granted shall not be deemed modified within the meaning of Section 424(h) of the Code. Appropriate adjustments shall also be made in the case of outstanding Restricted Stock and Restricted Stock Units granted under the Plan.</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adjustments described above will be made only to the extent consistent with continued qualification of the Option under Section 422 of the Code (in the case of an Incentive Option) and Section 409A of the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color w:val="auto"/>
        </w:rPr>
        <w:t>10. Purchase for Investment/Conditions.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the Options and shares covered by the Plan have been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the Company has determined that such registration is unnecessary, each person exercising or receiving Options, Restricted Stock or Restricted Stock Units under the Plan may be required by the Company to give a representation in writing that he is acquiring the securities for his own account for investment and not with a view to, or for sale in connection with, the distribution of any part thereof. The Committee may impose any additional or further restrictions on awards of Options, Restricted Stock or Restricted Stock Units as shall be determined by the Committee at the time of award.</w:t>
      </w:r>
    </w:p>
    <w:p>
      <w:pPr>
        <w:spacing w:after="0" w:line="169" w:lineRule="exact"/>
        <w:rPr>
          <w:sz w:val="20"/>
          <w:szCs w:val="20"/>
          <w:color w:val="auto"/>
        </w:rPr>
      </w:pPr>
    </w:p>
    <w:p>
      <w:pPr>
        <w:ind w:left="920" w:hanging="264"/>
        <w:spacing w:after="0"/>
        <w:tabs>
          <w:tab w:leader="none" w:pos="9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rFonts w:ascii="Arial" w:cs="Arial" w:eastAsia="Arial" w:hAnsi="Arial"/>
          <w:sz w:val="18"/>
          <w:szCs w:val="18"/>
          <w:b w:val="1"/>
          <w:bCs w:val="1"/>
          <w:color w:val="auto"/>
        </w:rPr>
      </w:pPr>
    </w:p>
    <w:p>
      <w:pPr>
        <w:jc w:val="both"/>
        <w:ind w:firstLine="1305"/>
        <w:spacing w:after="0" w:line="264" w:lineRule="auto"/>
        <w:tabs>
          <w:tab w:leader="none" w:pos="15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may make such provisions as it may deem appropriate, consistent with applicable law, in connection with any Options, Restricted Stock or Restricted Stock Units granted under the Plan with respect to the withholding of any taxes (including income or employment taxes) or any other tax matters.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any Grantee, in connection with the acquisition of Restricted Stock, makes the election permitted under Section 83(b) of the Code (that is, an election to include in gross income in the year of transfer the amounts specified in Section 83(b)), such Grantee shall notify the Company of the election with the Internal Revenue Service pursuant to regulations issued under the authority of Code Section 83(b).</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any Grantee shall make any disposition of shares of Stock issued pursuant to the exercise of an Incentive Option under the circumstances described in Section 421(b) of the Code (relating to certain disqualifying dispositions), such Grantee shall notify the Company of such disposition within ten (10) days hereof.</w:t>
      </w:r>
    </w:p>
    <w:p>
      <w:pPr>
        <w:spacing w:after="0" w:line="177" w:lineRule="exact"/>
        <w:rPr>
          <w:rFonts w:ascii="Arial" w:cs="Arial" w:eastAsia="Arial" w:hAnsi="Arial"/>
          <w:sz w:val="18"/>
          <w:szCs w:val="18"/>
          <w:color w:val="auto"/>
        </w:rPr>
      </w:pPr>
    </w:p>
    <w:p>
      <w:pPr>
        <w:ind w:left="920" w:hanging="264"/>
        <w:spacing w:after="0"/>
        <w:tabs>
          <w:tab w:leader="none" w:pos="9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shall be effective upon the earlier to occur of its adoption by the Board or its approval by the stockholders of the Company; provided, however, that if, and only if, certain options are intended to qualify as Incentive Stock Options, the Plan must be approved by the Company’s stockholders no later than one-year after approval by the Board, and further, that in the event certain Option, Restricted Stock or Restricted Stock Unit grants hereunder are intended to qualify as performance-based compensation within the meaning of Section 162(m) of the Code, the requirements as to stockholder approval set forth in Section 162(m) of the Code are satisfied.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Amendment and Termination.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may amend, suspend, or terminate the Plan, except that no amendment shall be made that would impair the rights of any Participant under any Option, Restricted Stock or Restricted Stock Units theretofore granted without the Participant’s consent, and except that no amendment shall be made which, without the approval of the stockholders of the Company would: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ind w:left="1540" w:hanging="235"/>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materially increase the number of shares that may be issued under the Plan, except as is provided in Section 8;</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materially increase the benefits accruing to the Participants under the Plan;</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materially modify the requirements as to eligibility for participation in the Plan;</w:t>
      </w:r>
    </w:p>
    <w:p>
      <w:pPr>
        <w:spacing w:after="0" w:line="225" w:lineRule="exact"/>
        <w:rPr>
          <w:rFonts w:ascii="Arial" w:cs="Arial" w:eastAsia="Arial" w:hAnsi="Arial"/>
          <w:sz w:val="18"/>
          <w:szCs w:val="18"/>
          <w:color w:val="auto"/>
        </w:rPr>
      </w:pPr>
    </w:p>
    <w:p>
      <w:pPr>
        <w:ind w:firstLine="1305"/>
        <w:spacing w:after="0" w:line="342" w:lineRule="auto"/>
        <w:tabs>
          <w:tab w:leader="none" w:pos="15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the exercise price of an Incentive Option to less than 100% of the Fair Market Value per share of Stock on the date of grant thereof or the exercise price of a Nonqualified Option to less than 100% of the Fair Market Value per share of Stock on the date of grant thereof; or</w:t>
      </w:r>
    </w:p>
    <w:p>
      <w:pPr>
        <w:spacing w:after="0" w:line="123" w:lineRule="exact"/>
        <w:rPr>
          <w:rFonts w:ascii="Arial" w:cs="Arial" w:eastAsia="Arial" w:hAnsi="Arial"/>
          <w:sz w:val="16"/>
          <w:szCs w:val="16"/>
          <w:color w:val="auto"/>
        </w:rPr>
      </w:pPr>
    </w:p>
    <w:p>
      <w:pPr>
        <w:ind w:left="1540" w:hanging="235"/>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 the term of any Option beyond that provided for in Section 5(b).</w:t>
      </w:r>
    </w:p>
    <w:p>
      <w:pPr>
        <w:spacing w:after="0" w:line="225" w:lineRule="exact"/>
        <w:rPr>
          <w:rFonts w:ascii="Arial" w:cs="Arial" w:eastAsia="Arial" w:hAnsi="Arial"/>
          <w:sz w:val="18"/>
          <w:szCs w:val="18"/>
          <w:color w:val="auto"/>
        </w:rPr>
      </w:pPr>
    </w:p>
    <w:p>
      <w:pPr>
        <w:ind w:firstLine="1305"/>
        <w:spacing w:after="0" w:line="277" w:lineRule="auto"/>
        <w:tabs>
          <w:tab w:leader="none" w:pos="15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otherwise provided in Sections 5(d) and 8 hereof, reduce the exercise price of outstanding Options or effect repricing through cancellations and re-grants of new Options.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forgoing, the Committee may amend the terms of any Option, Restricted Stock or Restricted Stock Units theretofore granted, prospectively or retrospectively, but no such amendment shall impair the rights of any Participant without the Participant’s consent.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It is the intention of the Board that the Plan comply strictly with the provisions of Section 409A of the Code and Treasury Regulations and other Internal Revenue Service guidance promulgated thereunder (the “</w:t>
      </w:r>
      <w:r>
        <w:rPr>
          <w:rFonts w:ascii="Arial" w:cs="Arial" w:eastAsia="Arial" w:hAnsi="Arial"/>
          <w:sz w:val="17"/>
          <w:szCs w:val="17"/>
          <w:u w:val="single" w:color="auto"/>
          <w:color w:val="auto"/>
        </w:rPr>
        <w:t>Section 409A Rules</w:t>
      </w:r>
      <w:r>
        <w:rPr>
          <w:rFonts w:ascii="Arial" w:cs="Arial" w:eastAsia="Arial" w:hAnsi="Arial"/>
          <w:sz w:val="17"/>
          <w:szCs w:val="17"/>
          <w:color w:val="auto"/>
        </w:rPr>
        <w:t>”) and the Committee shall exercise its discretion in granting awards hereunder (and the terms of such awards), accordingly. The Plan and any grant of an award hereunder may be amended from time to time (without, in the case of an award, the consent of the Participant) as may be necessary or appropriate to comply with the Section 409A Rules.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Government Regulations.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Plan, and the grant and exercise of Options, Restricted Stock or Restricted Stock Units hereunder, and the obligation of the Company to sell and deliver shares under such Options, Restricted Stock and Restricted Stock Units shall be subject to all applicable laws, rules and regulations, and to such approvals by any governmental agencies, national securities exchanges and interdealer quotation systems as may be required.</w:t>
      </w:r>
    </w:p>
    <w:p>
      <w:pPr>
        <w:spacing w:after="0" w:line="162" w:lineRule="exact"/>
        <w:rPr>
          <w:sz w:val="20"/>
          <w:szCs w:val="20"/>
          <w:color w:val="auto"/>
        </w:rPr>
      </w:pPr>
    </w:p>
    <w:p>
      <w:pPr>
        <w:ind w:left="920" w:hanging="264"/>
        <w:spacing w:after="0"/>
        <w:tabs>
          <w:tab w:leader="none" w:pos="9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9" w:lineRule="exact"/>
        <w:rPr>
          <w:rFonts w:ascii="Arial" w:cs="Arial" w:eastAsia="Arial" w:hAnsi="Arial"/>
          <w:sz w:val="18"/>
          <w:szCs w:val="18"/>
          <w:b w:val="1"/>
          <w:bCs w:val="1"/>
          <w:color w:val="auto"/>
        </w:rPr>
      </w:pPr>
    </w:p>
    <w:p>
      <w:pPr>
        <w:jc w:val="both"/>
        <w:ind w:firstLine="1305"/>
        <w:spacing w:after="0" w:line="257" w:lineRule="auto"/>
        <w:tabs>
          <w:tab w:leader="none" w:pos="156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All certificates for shares of Stock delivered under the Plan shall be subject to such stop transfer orders and other restrictions as the Committee may deem advisable under the rules, regulations and other requirements of the Securities and Exchange Commission, or other securities commission having jurisdiction, any applicable Federal or state securities law, any stock exchange or interdealer quotation system upon which the Stock is then listed or traded and the Committee may cause a legend or legends to be placed on any such certificates to make appropriate reference to such restrictions.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both"/>
        <w:ind w:firstLine="1305"/>
        <w:spacing w:after="0" w:line="279" w:lineRule="auto"/>
        <w:tabs>
          <w:tab w:leader="none" w:pos="1551"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Employment Matters</w:t>
      </w:r>
      <w:r>
        <w:rPr>
          <w:rFonts w:ascii="Arial" w:cs="Arial" w:eastAsia="Arial" w:hAnsi="Arial"/>
          <w:sz w:val="17"/>
          <w:szCs w:val="17"/>
          <w:color w:val="auto"/>
        </w:rPr>
        <w:t>. Neither the adoption of the Plan nor any grant or award under the Plan shall confer upon any Participant who is an employee of the Company or any Subsidiary any right to continued employment or, in the case of a Participant who is a director, continued service as a director, with the Company or a Subsidiary, as the case may be, nor shall it interfere in any way with the right of the Company or any Subsidiary to terminate the employment of any of its employees, the service of any of its directors or the retention of any of its consultants or advisors at any time.</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541"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member of the Committee, or any officer or employee of the Company acting on behalf of the Committee, shall be personally liable for any action, determination or interpretation taken or made in good faith with respect to the Plan, and all members of the Committee and each and any officer or employee of the Company acting on their behalf shall, to the extent permitted by law, be fully indemnified and protected by the Company in respect of any such action, determination or interpretation.</w:t>
      </w:r>
    </w:p>
    <w:p>
      <w:pPr>
        <w:spacing w:after="0" w:line="186" w:lineRule="exact"/>
        <w:rPr>
          <w:rFonts w:ascii="Arial" w:cs="Arial" w:eastAsia="Arial" w:hAnsi="Arial"/>
          <w:sz w:val="18"/>
          <w:szCs w:val="18"/>
          <w:color w:val="auto"/>
        </w:rPr>
      </w:pPr>
    </w:p>
    <w:p>
      <w:pPr>
        <w:jc w:val="both"/>
        <w:ind w:firstLine="1305"/>
        <w:spacing w:after="0" w:line="253" w:lineRule="auto"/>
        <w:tabs>
          <w:tab w:leader="none" w:pos="156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Registration of Stock</w:t>
      </w:r>
      <w:r>
        <w:rPr>
          <w:rFonts w:ascii="Arial" w:cs="Arial" w:eastAsia="Arial" w:hAnsi="Arial"/>
          <w:sz w:val="18"/>
          <w:szCs w:val="18"/>
          <w:color w:val="auto"/>
        </w:rPr>
        <w:t>. Notwithstanding any other provision in the Plan, no Option may be exercised unless and until the Stock to be issued upon the exercise thereof has been registered under the Securities Act and applicable state securities laws, or are, in the opinion of counsel to the Company, exempt from such registration in the United States. The Company shall not be under any obligation to register under applicable federal or state securities laws any Stock to be issued upon the exercise of an Option or vesting of Restricted Stock Units granted hereunder in order to permit the exercise of an Option or vesting of Restricted Stock Units and the issuance and sale of the Stock subject to such Option or Restricted Stock Units, although the Company may in its sole discretion register such Stock at such time as the Company shall determine. If the Company chooses to comply with such an exemption from registration, the Stock issued under the Plan may, at the direction of the Committee, bear an appropriate restrictive legend restricting the transfer or pledge of the Stock represented thereby, and the Committee may also give appropriate stop transfer instructions with respect to such Stock to the Company’s transfer agent.</w:t>
      </w:r>
    </w:p>
    <w:p>
      <w:pPr>
        <w:spacing w:after="0" w:line="193" w:lineRule="exact"/>
        <w:rPr>
          <w:rFonts w:ascii="Arial" w:cs="Arial" w:eastAsia="Arial" w:hAnsi="Arial"/>
          <w:sz w:val="18"/>
          <w:szCs w:val="18"/>
          <w:color w:val="auto"/>
        </w:rPr>
      </w:pPr>
    </w:p>
    <w:p>
      <w:pPr>
        <w:ind w:left="920" w:hanging="264"/>
        <w:spacing w:after="0"/>
        <w:tabs>
          <w:tab w:leader="none" w:pos="9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Non-Uniform Determinations.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Committee’s determinations under the Plan, including, without limitation, (i) the determination of the Participants to receive awards, (ii) the form, amount and timing of such awards, (iii) the terms and provisions of such awards and (iii) the agreements evidencing the same, need not be uniform and may be made by it selectively among Participants who receive, or who are eligible to receive, awards under the Plan, whether or not such Participants are similarly situated.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17. Governing Law.</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validity, construction, and effect of the Plan and any rules and regulations relating to the Plan shall be determined in accordance with the internal laws of the State of Delaware, without giving effect to principles of conflicts of laws, and applicable federal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4805680</wp:posOffset>
            </wp:positionH>
            <wp:positionV relativeFrom="page">
              <wp:posOffset>226060</wp:posOffset>
            </wp:positionV>
            <wp:extent cx="2598420" cy="900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598420" cy="90043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21, 2017, relating to the consolidated financial statements of Imprimis Pharmaceuticals, Inc. and subsidiaries, appearing in the Annual Report on Form 10-K of Imprimis Pharmaceuticals, Inc. and subsidiaries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25, 2017</w:t>
      </w:r>
    </w:p>
    <w:p>
      <w:pPr>
        <w:spacing w:after="0" w:line="204" w:lineRule="exact"/>
        <w:rPr>
          <w:sz w:val="20"/>
          <w:szCs w:val="20"/>
          <w:color w:val="auto"/>
        </w:rPr>
      </w:pPr>
    </w:p>
    <w:p>
      <w:pPr>
        <w:ind w:left="340" w:right="3980"/>
        <w:spacing w:after="0" w:line="246" w:lineRule="auto"/>
        <w:rPr>
          <w:sz w:val="20"/>
          <w:szCs w:val="20"/>
          <w:color w:val="auto"/>
        </w:rPr>
      </w:pPr>
      <w:r>
        <w:rPr>
          <w:rFonts w:ascii="Arial" w:cs="Arial" w:eastAsia="Arial" w:hAnsi="Arial"/>
          <w:sz w:val="15"/>
          <w:szCs w:val="15"/>
          <w:color w:val="939171"/>
        </w:rPr>
        <w:t xml:space="preserve">p </w:t>
      </w:r>
      <w:r>
        <w:rPr>
          <w:rFonts w:ascii="Arial" w:cs="Arial" w:eastAsia="Arial" w:hAnsi="Arial"/>
          <w:sz w:val="15"/>
          <w:szCs w:val="15"/>
          <w:b w:val="1"/>
          <w:bCs w:val="1"/>
          <w:color w:val="939171"/>
        </w:rPr>
        <w:t>714 380 6565</w:t>
      </w:r>
      <w:r>
        <w:rPr>
          <w:rFonts w:ascii="Arial" w:cs="Arial" w:eastAsia="Arial" w:hAnsi="Arial"/>
          <w:sz w:val="15"/>
          <w:szCs w:val="15"/>
          <w:color w:val="939171"/>
        </w:rPr>
        <w:t xml:space="preserve"> f </w:t>
      </w:r>
      <w:r>
        <w:rPr>
          <w:rFonts w:ascii="Arial" w:cs="Arial" w:eastAsia="Arial" w:hAnsi="Arial"/>
          <w:sz w:val="15"/>
          <w:szCs w:val="15"/>
          <w:b w:val="1"/>
          <w:bCs w:val="1"/>
          <w:color w:val="939171"/>
        </w:rPr>
        <w:t>714 380 6566</w:t>
      </w:r>
      <w:r>
        <w:rPr>
          <w:rFonts w:ascii="Arial" w:cs="Arial" w:eastAsia="Arial" w:hAnsi="Arial"/>
          <w:sz w:val="15"/>
          <w:szCs w:val="15"/>
          <w:color w:val="939171"/>
        </w:rPr>
        <w:t xml:space="preserve"> 555 Anton Blvd Suite 1000 Costa Mesa CA 92626 </w:t>
      </w:r>
      <w:r>
        <w:rPr>
          <w:rFonts w:ascii="Arial" w:cs="Arial" w:eastAsia="Arial" w:hAnsi="Arial"/>
          <w:sz w:val="15"/>
          <w:szCs w:val="15"/>
          <w:b w:val="1"/>
          <w:bCs w:val="1"/>
          <w:color w:val="939171"/>
        </w:rPr>
        <w:t>kmjpartnerscpa.com</w:t>
      </w:r>
      <w:r>
        <w:rPr>
          <w:rFonts w:ascii="Arial" w:cs="Arial" w:eastAsia="Arial" w:hAnsi="Arial"/>
          <w:sz w:val="15"/>
          <w:szCs w:val="15"/>
          <w:color w:val="939171"/>
        </w:rPr>
        <w:t xml:space="preserve"> p </w:t>
      </w:r>
      <w:r>
        <w:rPr>
          <w:rFonts w:ascii="Arial" w:cs="Arial" w:eastAsia="Arial" w:hAnsi="Arial"/>
          <w:sz w:val="15"/>
          <w:szCs w:val="15"/>
          <w:b w:val="1"/>
          <w:bCs w:val="1"/>
          <w:color w:val="939171"/>
        </w:rPr>
        <w:t>818 999 5885</w:t>
      </w:r>
      <w:r>
        <w:rPr>
          <w:rFonts w:ascii="Arial" w:cs="Arial" w:eastAsia="Arial" w:hAnsi="Arial"/>
          <w:sz w:val="15"/>
          <w:szCs w:val="15"/>
          <w:color w:val="939171"/>
        </w:rPr>
        <w:t xml:space="preserve"> f </w:t>
      </w:r>
      <w:r>
        <w:rPr>
          <w:rFonts w:ascii="Arial" w:cs="Arial" w:eastAsia="Arial" w:hAnsi="Arial"/>
          <w:sz w:val="15"/>
          <w:szCs w:val="15"/>
          <w:b w:val="1"/>
          <w:bCs w:val="1"/>
          <w:color w:val="939171"/>
        </w:rPr>
        <w:t>818 704 4668</w:t>
      </w:r>
      <w:r>
        <w:rPr>
          <w:rFonts w:ascii="Arial" w:cs="Arial" w:eastAsia="Arial" w:hAnsi="Arial"/>
          <w:sz w:val="15"/>
          <w:szCs w:val="15"/>
          <w:color w:val="939171"/>
        </w:rPr>
        <w:t xml:space="preserve"> 20720 Ventura Blvd Suite 160 Woodland Hills CA 91364 p </w:t>
      </w:r>
      <w:r>
        <w:rPr>
          <w:rFonts w:ascii="Arial" w:cs="Arial" w:eastAsia="Arial" w:hAnsi="Arial"/>
          <w:sz w:val="15"/>
          <w:szCs w:val="15"/>
          <w:b w:val="1"/>
          <w:bCs w:val="1"/>
          <w:color w:val="939171"/>
        </w:rPr>
        <w:t>760 431 5465</w:t>
      </w:r>
      <w:r>
        <w:rPr>
          <w:rFonts w:ascii="Arial" w:cs="Arial" w:eastAsia="Arial" w:hAnsi="Arial"/>
          <w:sz w:val="15"/>
          <w:szCs w:val="15"/>
          <w:color w:val="939171"/>
        </w:rPr>
        <w:t xml:space="preserve"> f </w:t>
      </w:r>
      <w:r>
        <w:rPr>
          <w:rFonts w:ascii="Arial" w:cs="Arial" w:eastAsia="Arial" w:hAnsi="Arial"/>
          <w:sz w:val="15"/>
          <w:szCs w:val="15"/>
          <w:b w:val="1"/>
          <w:bCs w:val="1"/>
          <w:color w:val="939171"/>
        </w:rPr>
        <w:t>760 431 5466</w:t>
      </w:r>
      <w:r>
        <w:rPr>
          <w:rFonts w:ascii="Arial" w:cs="Arial" w:eastAsia="Arial" w:hAnsi="Arial"/>
          <w:sz w:val="15"/>
          <w:szCs w:val="15"/>
          <w:color w:val="939171"/>
        </w:rPr>
        <w:t xml:space="preserve"> 2768 Loker Avenue West Suite 101 Carlsbad CA 92010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88265</wp:posOffset>
            </wp:positionV>
            <wp:extent cx="199834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998345" cy="15430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257130A3"/>
    <w:multiLevelType w:val="hybridMultilevel"/>
    <w:lvl w:ilvl="0">
      <w:lvlJc w:val="left"/>
      <w:lvlText w:val="%1"/>
      <w:numFmt w:val="lowerLetter"/>
      <w:start w:val="1"/>
    </w:lvl>
    <w:lvl w:ilvl="1">
      <w:lvlJc w:val="left"/>
      <w:lvlText w:val="(%2)"/>
      <w:numFmt w:val="decimal"/>
      <w:start w:val="2"/>
    </w:lvl>
  </w:abstractNum>
  <w:abstractNum w:abstractNumId="7">
    <w:nsid w:val="62BBD95A"/>
    <w:multiLevelType w:val="hybridMultilevel"/>
    <w:lvl w:ilvl="0">
      <w:lvlJc w:val="left"/>
      <w:lvlText w:val="(%1)"/>
      <w:numFmt w:val="lowerLetter"/>
      <w:start w:val="2"/>
    </w:lvl>
    <w:lvl w:ilvl="1">
      <w:lvlJc w:val="left"/>
      <w:lvlText w:val="%2"/>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3"/>
    </w:lvl>
  </w:abstractNum>
  <w:abstractNum w:abstractNumId="13">
    <w:nsid w:val="2D1D5AE9"/>
    <w:multiLevelType w:val="hybridMultilevel"/>
    <w:lvl w:ilvl="0">
      <w:lvlJc w:val="left"/>
      <w:lvlText w:val="(%1)"/>
      <w:numFmt w:val="lowerRoman"/>
      <w:start w:val="1"/>
    </w:lvl>
  </w:abstractNum>
  <w:abstractNum w:abstractNumId="14">
    <w:nsid w:val="6763845E"/>
    <w:multiLevelType w:val="hybridMultilevel"/>
    <w:lvl w:ilvl="0">
      <w:lvlJc w:val="left"/>
      <w:lvlText w:val="(%1)"/>
      <w:numFmt w:val="lowerRoman"/>
      <w:start w:val="4"/>
    </w:lvl>
  </w:abstractNum>
  <w:abstractNum w:abstractNumId="15">
    <w:nsid w:val="75A2A8D4"/>
    <w:multiLevelType w:val="hybridMultilevel"/>
    <w:lvl w:ilvl="0">
      <w:lvlJc w:val="left"/>
      <w:lvlText w:val="(%1)"/>
      <w:numFmt w:val="lowerLetter"/>
      <w:start w:val="4"/>
    </w:lvl>
  </w:abstractNum>
  <w:abstractNum w:abstractNumId="16">
    <w:nsid w:val="8EDBDAB"/>
    <w:multiLevelType w:val="hybridMultilevel"/>
    <w:lvl w:ilvl="0">
      <w:lvlJc w:val="left"/>
      <w:lvlText w:val="(%1)"/>
      <w:numFmt w:val="lowerLetter"/>
      <w:start w:val="5"/>
    </w:lvl>
  </w:abstractNum>
  <w:abstractNum w:abstractNumId="17">
    <w:nsid w:val="79838CB2"/>
    <w:multiLevelType w:val="hybridMultilevel"/>
    <w:lvl w:ilvl="0">
      <w:lvlJc w:val="left"/>
      <w:lvlText w:val="(%1)"/>
      <w:numFmt w:val="lowerRoman"/>
      <w:start w:val="1"/>
    </w:lvl>
    <w:lvl w:ilvl="1">
      <w:lvlJc w:val="left"/>
      <w:lvlText w:val="(%2)"/>
      <w:numFmt w:val="lowerRoman"/>
      <w:start w:val="1"/>
    </w:lvl>
  </w:abstractNum>
  <w:abstractNum w:abstractNumId="18">
    <w:nsid w:val="4353D0CD"/>
    <w:multiLevelType w:val="hybridMultilevel"/>
    <w:lvl w:ilvl="0">
      <w:lvlJc w:val="left"/>
      <w:lvlText w:val="(%1)"/>
      <w:numFmt w:val="lowerRoman"/>
      <w:start w:val="2"/>
    </w:lvl>
  </w:abstractNum>
  <w:abstractNum w:abstractNumId="19">
    <w:nsid w:val="B03E0C6"/>
    <w:multiLevelType w:val="hybridMultilevel"/>
    <w:lvl w:ilvl="0">
      <w:lvlJc w:val="left"/>
      <w:lvlText w:val="(%1)"/>
      <w:numFmt w:val="upperLetter"/>
      <w:start w:val="1"/>
    </w:lvl>
  </w:abstractNum>
  <w:abstractNum w:abstractNumId="20">
    <w:nsid w:val="189A769B"/>
    <w:multiLevelType w:val="hybridMultilevel"/>
    <w:lvl w:ilvl="0">
      <w:lvlJc w:val="left"/>
      <w:lvlText w:val="%1"/>
      <w:numFmt w:val="decimal"/>
      <w:start w:val="1"/>
    </w:lvl>
    <w:lvl w:ilvl="1">
      <w:lvlJc w:val="left"/>
      <w:lvlText w:val="(%2)"/>
      <w:numFmt w:val="lowerLetter"/>
      <w:start w:val="10"/>
    </w:lvl>
  </w:abstractNum>
  <w:abstractNum w:abstractNumId="21">
    <w:nsid w:val="54E49EB4"/>
    <w:multiLevelType w:val="hybridMultilevel"/>
    <w:lvl w:ilvl="0">
      <w:lvlJc w:val="left"/>
      <w:lvlText w:val="%1."/>
      <w:numFmt w:val="decimal"/>
      <w:start w:val="6"/>
    </w:lvl>
    <w:lvl w:ilvl="1">
      <w:lvlJc w:val="left"/>
      <w:lvlText w:val="%2"/>
      <w:numFmt w:val="lowerLetter"/>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1"/>
    </w:lvl>
    <w:lvl w:ilvl="1">
      <w:lvlJc w:val="left"/>
      <w:lvlText w:val="(%2)"/>
      <w:numFmt w:val="lowerLetter"/>
      <w:start w:val="3"/>
    </w:lvl>
  </w:abstractNum>
  <w:abstractNum w:abstractNumId="26">
    <w:nsid w:val="3A95F874"/>
    <w:multiLevelType w:val="hybridMultilevel"/>
    <w:lvl w:ilvl="0">
      <w:lvlJc w:val="left"/>
      <w:lvlText w:val="%1."/>
      <w:numFmt w:val="decimal"/>
      <w:start w:val="8"/>
    </w:lvl>
    <w:lvl w:ilvl="1">
      <w:lvlJc w:val="left"/>
      <w:lvlText w:val="%2"/>
      <w:numFmt w:val="lowerLetter"/>
      <w:start w:val="1"/>
    </w:lvl>
  </w:abstractNum>
  <w:abstractNum w:abstractNumId="27">
    <w:nsid w:val="8138641"/>
    <w:multiLevelType w:val="hybridMultilevel"/>
    <w:lvl w:ilvl="0">
      <w:lvlJc w:val="left"/>
      <w:lvlText w:val="%1."/>
      <w:numFmt w:val="decimal"/>
      <w:start w:val="11"/>
    </w:lvl>
    <w:lvl w:ilvl="1">
      <w:lvlJc w:val="left"/>
      <w:lvlText w:val="(%2)"/>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decimal"/>
      <w:start w:val="15"/>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2"/>
    </w:lvl>
  </w:abstractNum>
  <w:abstractNum w:abstractNumId="31">
    <w:nsid w:val="6CEAF087"/>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jpe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jpeg"/><Relationship Id="rId19" Type="http://schemas.openxmlformats.org/officeDocument/2006/relationships/hyperlink" Target="http://www.sec.gov/Archives/edgar/data/1360214/000149315217006741/ex10-1.htm" TargetMode="External"/><Relationship Id="rId20" Type="http://schemas.openxmlformats.org/officeDocument/2006/relationships/hyperlink" Target="http://www.sec.gov/Archives/edgar/data/1360214/000149315217006741/ex10-2.htm" TargetMode="External"/><Relationship Id="rId21" Type="http://schemas.openxmlformats.org/officeDocument/2006/relationships/hyperlink" Target="http://www.sec.gov/Archives/edgar/data/1360214/000149315217006741/ex10-3.htm" TargetMode="External"/><Relationship Id="rId22" Type="http://schemas.openxmlformats.org/officeDocument/2006/relationships/hyperlink" Target="http://www.sec.gov/Archives/edgar/data/1360214/000149315217006741/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2020-01-18T04:09:30Z</dcterms:created>
  <dcterms:modified xsi:type="dcterms:W3CDTF">2020-01-18T04:09:30Z</dcterms:modified>
</cp:coreProperties>
</file>