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333-239669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13,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$17,500,000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161290</wp:posOffset>
            </wp:positionV>
            <wp:extent cx="145732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220"/>
        <w:spacing w:after="0"/>
        <w:rPr>
          <w:sz w:val="20"/>
          <w:szCs w:val="20"/>
          <w:color w:val="auto"/>
        </w:rPr>
      </w:pPr>
      <w:r>
        <w:rPr>
          <w:rFonts w:ascii="Arial" w:cs="Arial" w:eastAsia="Arial" w:hAnsi="Arial"/>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8.625%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offering $17,500,000 principal amount of our 8.625% senior notes due 2026 (the “Notes”) as described in this prospectus supplement and the accompanying prospectus. Interest on the Notes will accrue from April 20, 2021 and will be paid quarterly in arrears on January 31, April 30, July 31 and October 31 of each year, commencing on July 31, 2021, and at maturity. The Notes will mature on April 30, 2026. We may redeem the Notes for cash in whole or in part at any time at our option on or after February 1, 2026 and prior to maturity, at a price equal to 100% of their principal amount, plus accrued and unpaid interest to, but excluding, the date of redemption. See “Description of the Notes — Optional Redemption.” The Notes will be issued in denominations of $25 and in integral multiples in excess thereof.</w:t>
      </w:r>
    </w:p>
    <w:p>
      <w:pPr>
        <w:spacing w:after="0" w:line="192" w:lineRule="exact"/>
        <w:rPr>
          <w:sz w:val="24"/>
          <w:szCs w:val="24"/>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new Notes are being offered as additional notes under the indenture dated April 20, 2021, as supplemented by the First Supplemental Indenture dated April 20, 2021 (the “indenture”), pursuant to which we previously issued $55,000,000 in aggregate principal amount of 8.625% Senior Notes due 2026 (the “existing notes”). Unless the context otherwise requires, the term “Notes” refers to both the new Notes, the existing notes and any other additional notes we may issue in the future. The new Notes constitute a further issuance of, and will be fungible with, the existing notes (and will bear the same CUSIP number as the existing notes) and form a single class of debt securities with the existing notes for all purposes under the indenture governing the notes. Immediately after giving effect to the issuance of the new Notes by this prospectus, we will have $72,500,000 in aggregate principal amount of our 8.625% Senior Notes due 2026 outstanding, assuming no exercise of the underwriters’ option to purchase additional Notes described below.</w:t>
      </w:r>
    </w:p>
    <w:p>
      <w:pPr>
        <w:spacing w:after="0" w:line="166" w:lineRule="exact"/>
        <w:rPr>
          <w:sz w:val="24"/>
          <w:szCs w:val="24"/>
          <w:color w:val="auto"/>
        </w:rPr>
      </w:pPr>
    </w:p>
    <w:p>
      <w:pPr>
        <w:jc w:val="both"/>
        <w:ind w:right="20" w:firstLine="432"/>
        <w:spacing w:after="0" w:line="311" w:lineRule="auto"/>
        <w:rPr>
          <w:sz w:val="20"/>
          <w:szCs w:val="20"/>
          <w:color w:val="auto"/>
        </w:rPr>
      </w:pPr>
      <w:r>
        <w:rPr>
          <w:rFonts w:ascii="Arial" w:cs="Arial" w:eastAsia="Arial" w:hAnsi="Arial"/>
          <w:sz w:val="16"/>
          <w:szCs w:val="16"/>
          <w:color w:val="auto"/>
        </w:rPr>
        <w:t>The Notes will be our senior unsecured obligations and will rank equal in right of payment with all of our existing and future senior unsecured and unsubordinated indebtedness, including the existing notes. The Notes will be effectively subordinated in right of payment to all of our existing and future secured indebtedness, and the Notes will be structurally subordinated to all existing and future indebtedness (including trade payables) of our subsidiaries.</w:t>
      </w:r>
    </w:p>
    <w:p>
      <w:pPr>
        <w:spacing w:after="0" w:line="145"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Investing in the Notes involves a high degree of risk. You should carefully consider the risks described under “Risk Factors” beginning on page S-5 of this prospectus supplement and in the documents incorporated by reference in this prospectus supplement and the accompanying prospectus.</w:t>
      </w:r>
    </w:p>
    <w:p>
      <w:pPr>
        <w:spacing w:after="0" w:line="176" w:lineRule="exact"/>
        <w:rPr>
          <w:sz w:val="24"/>
          <w:szCs w:val="24"/>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existing notes are listed, and the new Notes are expected to be listed, on the Nasdaq Global Market (“NASDAQ”) under the symbol “HROWL”.</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On June 11, 2021, the last reported sale price of the existing notes on the Nasdaq Global Market was $26.17.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474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Per Note</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43"/>
        </w:trPr>
        <w:tc>
          <w:tcPr>
            <w:tcW w:w="47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8"/>
                <w:szCs w:val="28"/>
                <w:color w:val="auto"/>
                <w:vertAlign w:val="superscript"/>
              </w:rPr>
              <w:t>(2)</w:t>
            </w:r>
          </w:p>
        </w:tc>
        <w:tc>
          <w:tcPr>
            <w:tcW w:w="364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18,025,000</w:t>
            </w:r>
          </w:p>
        </w:tc>
      </w:tr>
      <w:tr>
        <w:trPr>
          <w:trHeight w:val="256"/>
        </w:trPr>
        <w:tc>
          <w:tcPr>
            <w:tcW w:w="4740" w:type="dxa"/>
            <w:vAlign w:val="bottom"/>
          </w:tcPr>
          <w:p>
            <w:pPr>
              <w:spacing w:after="0" w:line="256"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(3)</w:t>
            </w:r>
          </w:p>
        </w:tc>
        <w:tc>
          <w:tcPr>
            <w:tcW w:w="3640" w:type="dxa"/>
            <w:vAlign w:val="bottom"/>
            <w:gridSpan w:val="2"/>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721,000</w:t>
            </w:r>
          </w:p>
        </w:tc>
      </w:tr>
      <w:tr>
        <w:trPr>
          <w:trHeight w:val="257"/>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us</w:t>
            </w:r>
            <w:r>
              <w:rPr>
                <w:rFonts w:ascii="Arial" w:cs="Arial" w:eastAsia="Arial" w:hAnsi="Arial"/>
                <w:sz w:val="29"/>
                <w:szCs w:val="29"/>
                <w:color w:val="auto"/>
                <w:vertAlign w:val="superscript"/>
              </w:rPr>
              <w:t>(3)</w:t>
            </w:r>
          </w:p>
        </w:tc>
        <w:tc>
          <w:tcPr>
            <w:tcW w:w="3640" w:type="dxa"/>
            <w:vAlign w:val="bottom"/>
            <w:gridSpan w:val="2"/>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no exercise of the option described below.</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July 31, 2021, the next interest payment date, we will pay interest on the new Notes from April 20, 2021.</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also agreed to pay a structuring fee to B. Riley Securities, Inc. See “Underwriting (Conflicts of Interest)” for a description of all underwriting compensation payable in connection with this offering.</w:t>
      </w:r>
    </w:p>
    <w:p>
      <w:pPr>
        <w:spacing w:after="0" w:line="185" w:lineRule="exact"/>
        <w:rPr>
          <w:sz w:val="24"/>
          <w:szCs w:val="24"/>
          <w:color w:val="auto"/>
        </w:rPr>
      </w:pPr>
    </w:p>
    <w:p>
      <w:pPr>
        <w:ind w:right="20" w:firstLine="432"/>
        <w:spacing w:after="0" w:line="277" w:lineRule="auto"/>
        <w:rPr>
          <w:sz w:val="20"/>
          <w:szCs w:val="20"/>
          <w:color w:val="auto"/>
        </w:rPr>
      </w:pPr>
      <w:r>
        <w:rPr>
          <w:rFonts w:ascii="Arial" w:cs="Arial" w:eastAsia="Arial" w:hAnsi="Arial"/>
          <w:sz w:val="18"/>
          <w:szCs w:val="18"/>
          <w:color w:val="auto"/>
        </w:rPr>
        <w:t>We have granted the underwriters an option to purchase up to an additional $2,500,000 aggregate principal amount of the Notes within 30 days from the date of this prospectus supplement.</w:t>
      </w:r>
    </w:p>
    <w:p>
      <w:pPr>
        <w:spacing w:after="0" w:line="17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The underwriters expect to deliver the Notes to purchasers in book-entry form through the facilities of The Depository Trust Company for the accounts of its participants on or about June 17, 2021.</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Book-Running Managers</w:t>
      </w:r>
    </w:p>
    <w:p>
      <w:pPr>
        <w:spacing w:after="0" w:line="212" w:lineRule="exact"/>
        <w:rPr>
          <w:sz w:val="24"/>
          <w:szCs w:val="24"/>
          <w:color w:val="auto"/>
        </w:rPr>
      </w:pPr>
    </w:p>
    <w:p>
      <w:pPr>
        <w:ind w:left="1920"/>
        <w:spacing w:after="0"/>
        <w:tabs>
          <w:tab w:leader="none" w:pos="7440" w:val="left"/>
        </w:tabs>
        <w:rPr>
          <w:sz w:val="20"/>
          <w:szCs w:val="20"/>
          <w:color w:val="auto"/>
        </w:rPr>
      </w:pPr>
      <w:r>
        <w:rPr>
          <w:rFonts w:ascii="Arial" w:cs="Arial" w:eastAsia="Arial" w:hAnsi="Arial"/>
          <w:sz w:val="22"/>
          <w:szCs w:val="22"/>
          <w:b w:val="1"/>
          <w:bCs w:val="1"/>
          <w:color w:val="auto"/>
        </w:rPr>
        <w:t>B. Riley Securities</w:t>
      </w:r>
      <w:r>
        <w:rPr>
          <w:sz w:val="20"/>
          <w:szCs w:val="20"/>
          <w:color w:val="auto"/>
        </w:rPr>
        <w:tab/>
      </w:r>
      <w:r>
        <w:rPr>
          <w:rFonts w:ascii="Arial" w:cs="Arial" w:eastAsia="Arial" w:hAnsi="Arial"/>
          <w:sz w:val="19"/>
          <w:szCs w:val="19"/>
          <w:b w:val="1"/>
          <w:bCs w:val="1"/>
          <w:color w:val="auto"/>
        </w:rPr>
        <w:t>Ladenburg Thalmann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6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Prospectus Supplement</w:t>
            </w: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0600" w:type="dxa"/>
            <w:vAlign w:val="bottom"/>
            <w:tcBorders>
              <w:top w:val="single" w:sz="8" w:color="CCEEFF"/>
            </w:tcBorders>
            <w:gridSpan w:val="22"/>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CAPITALIZATION</w:t>
              </w:r>
            </w:hyperlink>
          </w:p>
        </w:tc>
        <w:tc>
          <w:tcPr>
            <w:tcW w:w="902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DESCRIPTION OF THE NOTES</w:t>
              </w:r>
            </w:hyperlink>
          </w:p>
        </w:tc>
        <w:tc>
          <w:tcPr>
            <w:tcW w:w="81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CERTAIN MATERIAL U.S. FEDERAL INCOME TAX CONSIDERATIONS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UNDERWRITING (CONFLICTS OF INTEREST)</w:t>
              </w:r>
            </w:hyperlink>
          </w:p>
        </w:tc>
        <w:tc>
          <w:tcPr>
            <w:tcW w:w="68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EXPERTS</w:t>
              </w:r>
            </w:hyperlink>
          </w:p>
        </w:tc>
        <w:tc>
          <w:tcPr>
            <w:tcW w:w="98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CERTAIN DOCUMENTS BY REFERENCE</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540" w:type="dxa"/>
            <w:vAlign w:val="bottom"/>
            <w:tcBorders>
              <w:top w:val="single" w:sz="8" w:color="CCEEFF"/>
            </w:tcBorders>
            <w:gridSpan w:val="4"/>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35">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15"/>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2"/>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2"/>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6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underwriters take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76"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9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our most recent Annual Report on Form 10-K, our recent Quarterly Report on Form 10-Q and other documents that we file from time to time with the SEC that are incorporated by reference in this prospectus supplement and the accompanying prospectus.</w:t>
      </w:r>
    </w:p>
    <w:p>
      <w:pPr>
        <w:spacing w:after="0" w:line="18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299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S-5 of this prospectus supplement and the “Risk Factors” section in the accompanying prospectus, in our Annual Report on Form 10-K for the year ended December 31, 2020, in our Quarterly Report on Form 10-Q for the quarter ended March 31, 2021 and in our other reports that we file with the SEC.</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specialize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 owning ImprimisRx, we also have non-controlling equity positions in Eton Pharmaceuticals, Inc., or Eton, Surface Ophthalmics, Inc., or Surface, and Melt Pharmaceuticals, Inc., or Melt, all companies that began as our subsidiaries. We also recently launched a new business called Visionology and are exploring opportunities to launch other subsidiaries. We own royalty rights in various drug candidates being developed by Surface and Melt.</w:t>
      </w:r>
    </w:p>
    <w:p>
      <w:pPr>
        <w:spacing w:after="0" w:line="192"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ImprimisRx is our ophthalmology focused pharmaceutical compounding business.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New Jersey outsourcing facility, or NJOF.</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188"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Prior to 2020, we incurred significant operating losses and negative cash flows from operations since July 24, 1998 (inception). As of March 31, 2021, we had an accumulated deficit of approximately $77.2 million. Our current projections indicate that we will have operating income and/or net income during 2021;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including those discussed in “Risk Factors” section of this prospectus supplement.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2361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2361565"/>
                    </a:xfrm>
                    <a:prstGeom prst="rect">
                      <a:avLst/>
                    </a:prstGeom>
                    <a:noFill/>
                  </pic:spPr>
                </pic:pic>
              </a:graphicData>
            </a:graphic>
          </wp:anchor>
        </w:drawing>
        <w:t>Company Information</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7"/>
          <w:szCs w:val="17"/>
          <w:i w:val="1"/>
          <w:iCs w:val="1"/>
          <w:color w:val="auto"/>
        </w:rPr>
        <w:t>harrowinc.com</w:t>
      </w:r>
      <w:r>
        <w:rPr>
          <w:rFonts w:ascii="Arial" w:cs="Arial" w:eastAsia="Arial" w:hAnsi="Arial"/>
          <w:sz w:val="17"/>
          <w:szCs w:val="17"/>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764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8764905"/>
                    </a:xfrm>
                    <a:prstGeom prst="rect">
                      <a:avLst/>
                    </a:prstGeom>
                    <a:noFill/>
                  </pic:spPr>
                </pic:pic>
              </a:graphicData>
            </a:graphic>
          </wp:anchor>
        </w:drawing>
        <w:t>The Offering</w:t>
      </w:r>
    </w:p>
    <w:p>
      <w:pPr>
        <w:spacing w:after="0" w:line="229" w:lineRule="exact"/>
        <w:rPr>
          <w:sz w:val="20"/>
          <w:szCs w:val="20"/>
          <w:color w:val="auto"/>
        </w:rPr>
      </w:pPr>
    </w:p>
    <w:p>
      <w:pPr>
        <w:ind w:left="160" w:right="160" w:firstLine="441"/>
        <w:spacing w:after="0" w:line="277" w:lineRule="auto"/>
        <w:rPr>
          <w:sz w:val="20"/>
          <w:szCs w:val="20"/>
          <w:color w:val="auto"/>
        </w:rPr>
      </w:pPr>
      <w:r>
        <w:rPr>
          <w:rFonts w:ascii="Arial" w:cs="Arial" w:eastAsia="Arial" w:hAnsi="Arial"/>
          <w:sz w:val="18"/>
          <w:szCs w:val="18"/>
          <w:i w:val="1"/>
          <w:iCs w:val="1"/>
          <w:color w:val="auto"/>
        </w:rPr>
        <w:t>The following is a brief summary of certain material terms of the Notes. For more complete information about the Notes, see “Description of the Notes”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Issuer:</w:t>
            </w:r>
          </w:p>
        </w:tc>
        <w:tc>
          <w:tcPr>
            <w:tcW w:w="7720" w:type="dxa"/>
            <w:vAlign w:val="bottom"/>
          </w:tcPr>
          <w:p>
            <w:pPr>
              <w:ind w:left="460"/>
              <w:spacing w:after="0"/>
              <w:rPr>
                <w:sz w:val="20"/>
                <w:szCs w:val="20"/>
                <w:color w:val="auto"/>
              </w:rPr>
            </w:pPr>
            <w:r>
              <w:rPr>
                <w:rFonts w:ascii="Arial" w:cs="Arial" w:eastAsia="Arial" w:hAnsi="Arial"/>
                <w:sz w:val="18"/>
                <w:szCs w:val="18"/>
                <w:color w:val="auto"/>
              </w:rPr>
              <w:t>Harrow Health, Inc.</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Title of the Securities:</w:t>
            </w:r>
          </w:p>
        </w:tc>
        <w:tc>
          <w:tcPr>
            <w:tcW w:w="7720" w:type="dxa"/>
            <w:vAlign w:val="bottom"/>
          </w:tcPr>
          <w:p>
            <w:pPr>
              <w:ind w:left="460"/>
              <w:spacing w:after="0"/>
              <w:rPr>
                <w:sz w:val="20"/>
                <w:szCs w:val="20"/>
                <w:color w:val="auto"/>
              </w:rPr>
            </w:pPr>
            <w:r>
              <w:rPr>
                <w:rFonts w:ascii="Arial" w:cs="Arial" w:eastAsia="Arial" w:hAnsi="Arial"/>
                <w:sz w:val="18"/>
                <w:szCs w:val="18"/>
                <w:color w:val="auto"/>
              </w:rPr>
              <w:t>8.625% Senior Notes due 2026</w:t>
            </w:r>
          </w:p>
        </w:tc>
      </w:tr>
      <w:tr>
        <w:trPr>
          <w:trHeight w:val="350"/>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6"/>
              </w:rPr>
              <w:t>The new Notes are being offered as additional notes under the indenture pursuant to which we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4"/>
              </w:rPr>
              <w:t>previously issued $55,000,000 in aggregate principal amount of 8.625% Senior Notes due 2026.</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3"/>
              </w:rPr>
              <w:t>Unless the context otherwise requires, the term “Notes” refers to both the new Notes, the existing</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8"/>
              </w:rPr>
              <w:t>notes and any other additional notes we may issue in the future. The new Notes constitute a</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6"/>
              </w:rPr>
              <w:t>further issuance of, and will be fungible with, the existing notes (and will bear the same CUSIP</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3"/>
              </w:rPr>
              <w:t>number as the existing notes) and form a single class of debt securities with the existing notes for</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all purposes under the indenture governing the notes. Immediately after giving effect to the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6"/>
              </w:rPr>
              <w:t>issuance of the new Notes by this prospectus, we will have $72,500,000 in aggregate principal</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6"/>
              </w:rPr>
              <w:t>amount of our 8.625% Senior Notes due 2026 outstanding (or $75,000,000 if the underwriters’</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4"/>
              </w:rPr>
              <w:t>option to purchase up to $2,500,000 aggregate principal amount of additional Notes is exercised</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in full).</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Aggregate Principal Amount Offered:</w:t>
            </w:r>
          </w:p>
        </w:tc>
        <w:tc>
          <w:tcPr>
            <w:tcW w:w="7720" w:type="dxa"/>
            <w:vAlign w:val="bottom"/>
          </w:tcPr>
          <w:p>
            <w:pPr>
              <w:ind w:left="460"/>
              <w:spacing w:after="0"/>
              <w:rPr>
                <w:sz w:val="20"/>
                <w:szCs w:val="20"/>
                <w:color w:val="auto"/>
              </w:rPr>
            </w:pPr>
            <w:r>
              <w:rPr>
                <w:rFonts w:ascii="Arial" w:cs="Arial" w:eastAsia="Arial" w:hAnsi="Arial"/>
                <w:sz w:val="18"/>
                <w:szCs w:val="18"/>
                <w:color w:val="auto"/>
              </w:rPr>
              <w:t>$17,500,000</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Option to Purchase Additional Notes:</w:t>
            </w:r>
          </w:p>
        </w:tc>
        <w:tc>
          <w:tcPr>
            <w:tcW w:w="7720" w:type="dxa"/>
            <w:vAlign w:val="bottom"/>
          </w:tcPr>
          <w:p>
            <w:pPr>
              <w:ind w:left="460"/>
              <w:spacing w:after="0"/>
              <w:rPr>
                <w:sz w:val="20"/>
                <w:szCs w:val="20"/>
                <w:color w:val="auto"/>
              </w:rPr>
            </w:pPr>
            <w:r>
              <w:rPr>
                <w:rFonts w:ascii="Arial" w:cs="Arial" w:eastAsia="Arial" w:hAnsi="Arial"/>
                <w:sz w:val="18"/>
                <w:szCs w:val="18"/>
                <w:color w:val="auto"/>
                <w:w w:val="93"/>
              </w:rPr>
              <w:t>The underwriters may also purchase from the Company up to an additional $2,500,000 aggregate</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principal amount of the Notes, within 30 days of the date of the prospectus supplement.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Initial Public Offering Price:</w:t>
            </w:r>
          </w:p>
        </w:tc>
        <w:tc>
          <w:tcPr>
            <w:tcW w:w="7720" w:type="dxa"/>
            <w:vAlign w:val="bottom"/>
          </w:tcPr>
          <w:p>
            <w:pPr>
              <w:ind w:left="460"/>
              <w:spacing w:after="0"/>
              <w:rPr>
                <w:sz w:val="20"/>
                <w:szCs w:val="20"/>
                <w:color w:val="auto"/>
              </w:rPr>
            </w:pPr>
            <w:r>
              <w:rPr>
                <w:rFonts w:ascii="Arial" w:cs="Arial" w:eastAsia="Arial" w:hAnsi="Arial"/>
                <w:sz w:val="18"/>
                <w:szCs w:val="18"/>
                <w:color w:val="auto"/>
              </w:rPr>
              <w:t>$25.75 per note</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Issue Date:</w:t>
            </w:r>
          </w:p>
        </w:tc>
        <w:tc>
          <w:tcPr>
            <w:tcW w:w="7720" w:type="dxa"/>
            <w:vAlign w:val="bottom"/>
          </w:tcPr>
          <w:p>
            <w:pPr>
              <w:ind w:left="460"/>
              <w:spacing w:after="0"/>
              <w:rPr>
                <w:sz w:val="20"/>
                <w:szCs w:val="20"/>
                <w:color w:val="auto"/>
              </w:rPr>
            </w:pPr>
            <w:r>
              <w:rPr>
                <w:rFonts w:ascii="Arial" w:cs="Arial" w:eastAsia="Arial" w:hAnsi="Arial"/>
                <w:sz w:val="18"/>
                <w:szCs w:val="18"/>
                <w:color w:val="auto"/>
              </w:rPr>
              <w:t>June 17, 2021</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Maturity Date:</w:t>
            </w:r>
          </w:p>
        </w:tc>
        <w:tc>
          <w:tcPr>
            <w:tcW w:w="7720" w:type="dxa"/>
            <w:vAlign w:val="bottom"/>
          </w:tcPr>
          <w:p>
            <w:pPr>
              <w:ind w:left="460"/>
              <w:spacing w:after="0"/>
              <w:rPr>
                <w:sz w:val="20"/>
                <w:szCs w:val="20"/>
                <w:color w:val="auto"/>
              </w:rPr>
            </w:pPr>
            <w:r>
              <w:rPr>
                <w:rFonts w:ascii="Arial" w:cs="Arial" w:eastAsia="Arial" w:hAnsi="Arial"/>
                <w:sz w:val="18"/>
                <w:szCs w:val="18"/>
                <w:color w:val="auto"/>
              </w:rPr>
              <w:t>April 30, 2026</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Interest:</w:t>
            </w:r>
          </w:p>
        </w:tc>
        <w:tc>
          <w:tcPr>
            <w:tcW w:w="7720" w:type="dxa"/>
            <w:vAlign w:val="bottom"/>
          </w:tcPr>
          <w:p>
            <w:pPr>
              <w:ind w:left="460"/>
              <w:spacing w:after="0"/>
              <w:rPr>
                <w:sz w:val="20"/>
                <w:szCs w:val="20"/>
                <w:color w:val="auto"/>
              </w:rPr>
            </w:pPr>
            <w:r>
              <w:rPr>
                <w:rFonts w:ascii="Arial" w:cs="Arial" w:eastAsia="Arial" w:hAnsi="Arial"/>
                <w:sz w:val="18"/>
                <w:szCs w:val="18"/>
                <w:color w:val="auto"/>
                <w:w w:val="94"/>
              </w:rPr>
              <w:t>8.625% per year, payable quarterly in arrears on January 31, April 30, July 31 and October 31 of</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5"/>
              </w:rPr>
              <w:t>each year, commencing on July 31, 2021, and at maturity. If an interest payment date falls on a</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3"/>
              </w:rPr>
              <w:t>day other than a business day, the applicable interest payment will be made on the next business</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day and no additional interest will accrue as a result of such delayed payment.</w:t>
            </w:r>
          </w:p>
        </w:tc>
      </w:tr>
      <w:tr>
        <w:trPr>
          <w:trHeight w:val="432"/>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Guarantors:</w:t>
            </w:r>
          </w:p>
        </w:tc>
        <w:tc>
          <w:tcPr>
            <w:tcW w:w="7720" w:type="dxa"/>
            <w:vAlign w:val="bottom"/>
          </w:tcPr>
          <w:p>
            <w:pPr>
              <w:ind w:left="460"/>
              <w:spacing w:after="0"/>
              <w:rPr>
                <w:sz w:val="20"/>
                <w:szCs w:val="20"/>
                <w:color w:val="auto"/>
              </w:rPr>
            </w:pPr>
            <w:r>
              <w:rPr>
                <w:rFonts w:ascii="Arial" w:cs="Arial" w:eastAsia="Arial" w:hAnsi="Arial"/>
                <w:sz w:val="18"/>
                <w:szCs w:val="18"/>
                <w:color w:val="auto"/>
              </w:rPr>
              <w:t>None.</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Ranking:</w:t>
            </w:r>
          </w:p>
        </w:tc>
        <w:tc>
          <w:tcPr>
            <w:tcW w:w="7720" w:type="dxa"/>
            <w:vAlign w:val="bottom"/>
          </w:tcPr>
          <w:p>
            <w:pPr>
              <w:ind w:left="460"/>
              <w:spacing w:after="0"/>
              <w:rPr>
                <w:sz w:val="20"/>
                <w:szCs w:val="20"/>
                <w:color w:val="auto"/>
              </w:rPr>
            </w:pPr>
            <w:r>
              <w:rPr>
                <w:rFonts w:ascii="Arial" w:cs="Arial" w:eastAsia="Arial" w:hAnsi="Arial"/>
                <w:sz w:val="18"/>
                <w:szCs w:val="18"/>
                <w:color w:val="auto"/>
                <w:w w:val="97"/>
              </w:rPr>
              <w:t>The Notes will be senior unsecured obligations of the Company, and will rank equal in right of</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8"/>
              </w:rPr>
              <w:t>payment  with  all  of  its  other  existing  and  future  senior  unsecured  and  unsubordinated</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4"/>
              </w:rPr>
              <w:t>indebtedness, including the existing notes. The Notes will be effectively subordinated to all of our</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6"/>
              </w:rPr>
              <w:t>existing and future secured indebtedness to the extent of the value of the assets securing such</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4"/>
              </w:rPr>
              <w:t>indebtedness. The Notes will be structurally subordinated to all existing and future indebtedness</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(including trade payables) of our subsidiaries.</w:t>
            </w:r>
          </w:p>
        </w:tc>
      </w:tr>
      <w:tr>
        <w:trPr>
          <w:trHeight w:val="4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9"/>
              </w:rPr>
              <w:t>The indenture governing the Notes does not limit the amount of indebtedness that we or our</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subsidiaries may incur or whether any such indebtedness can be secured by our assets.</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Optional Redemption:</w:t>
            </w:r>
          </w:p>
        </w:tc>
        <w:tc>
          <w:tcPr>
            <w:tcW w:w="7720" w:type="dxa"/>
            <w:vAlign w:val="bottom"/>
          </w:tcPr>
          <w:p>
            <w:pPr>
              <w:ind w:left="460"/>
              <w:spacing w:after="0"/>
              <w:rPr>
                <w:sz w:val="20"/>
                <w:szCs w:val="20"/>
                <w:color w:val="auto"/>
              </w:rPr>
            </w:pPr>
            <w:r>
              <w:rPr>
                <w:rFonts w:ascii="Arial" w:cs="Arial" w:eastAsia="Arial" w:hAnsi="Arial"/>
                <w:sz w:val="18"/>
                <w:szCs w:val="18"/>
                <w:color w:val="auto"/>
                <w:w w:val="93"/>
              </w:rPr>
              <w:t>Prior to February 1, 2026 (the “Notes Par Call Date”), we may, at our option, redeem the Notes, in</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whole at any time or in part from time to time, at a redemption price equal to 100% of the</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principal amount of the Notes to be redeemed, plus a Make-Whole Amount (as defined in</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5"/>
              </w:rPr>
              <w:t>“Description of the Notes — Optional Redemption”), if any, plus accrued and unpaid interest to,</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but excluding, the date of redemption.</w:t>
            </w:r>
          </w:p>
        </w:tc>
      </w:tr>
      <w:tr>
        <w:trPr>
          <w:trHeight w:val="41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We may redeem the Notes for cash in whole or in part at any time at our option on or after</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5"/>
              </w:rPr>
              <w:t>February 1, 2026 and prior to April 30, 2026, at a price equal to 100% of their principal amount,</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w w:val="92"/>
              </w:rPr>
              <w:t>plus accrued and unpaid interest to, but excluding, the date of redemption. See “Description of the</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Notes — Optional Redemption” for additional details.</w:t>
            </w:r>
          </w:p>
        </w:tc>
      </w:tr>
      <w:tr>
        <w:trPr>
          <w:trHeight w:val="41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Sinking Fund:</w:t>
            </w:r>
          </w:p>
        </w:tc>
        <w:tc>
          <w:tcPr>
            <w:tcW w:w="7720" w:type="dxa"/>
            <w:vAlign w:val="bottom"/>
          </w:tcPr>
          <w:p>
            <w:pPr>
              <w:ind w:left="460"/>
              <w:spacing w:after="0"/>
              <w:rPr>
                <w:sz w:val="20"/>
                <w:szCs w:val="20"/>
                <w:color w:val="auto"/>
              </w:rPr>
            </w:pPr>
            <w:r>
              <w:rPr>
                <w:rFonts w:ascii="Arial" w:cs="Arial" w:eastAsia="Arial" w:hAnsi="Arial"/>
                <w:sz w:val="18"/>
                <w:szCs w:val="18"/>
                <w:color w:val="auto"/>
                <w:w w:val="99"/>
              </w:rPr>
              <w:t>The Notes will not be subject to any sinking fund (i.e., no amounts will be set aside by us to</w:t>
            </w: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720" w:type="dxa"/>
            <w:vAlign w:val="bottom"/>
          </w:tcPr>
          <w:p>
            <w:pPr>
              <w:ind w:left="460"/>
              <w:spacing w:after="0"/>
              <w:rPr>
                <w:sz w:val="20"/>
                <w:szCs w:val="20"/>
                <w:color w:val="auto"/>
              </w:rPr>
            </w:pPr>
            <w:r>
              <w:rPr>
                <w:rFonts w:ascii="Arial" w:cs="Arial" w:eastAsia="Arial" w:hAnsi="Arial"/>
                <w:sz w:val="18"/>
                <w:szCs w:val="18"/>
                <w:color w:val="auto"/>
              </w:rPr>
              <w:t>ensure repayment of the Notes at maturity).</w:t>
            </w:r>
          </w:p>
        </w:tc>
      </w:tr>
      <w:tr>
        <w:trPr>
          <w:trHeight w:val="220"/>
        </w:trPr>
        <w:tc>
          <w:tcPr>
            <w:tcW w:w="20" w:type="dxa"/>
            <w:vAlign w:val="bottom"/>
          </w:tcPr>
          <w:p>
            <w:pPr>
              <w:spacing w:after="0"/>
              <w:rPr>
                <w:sz w:val="19"/>
                <w:szCs w:val="19"/>
                <w:color w:val="auto"/>
              </w:rPr>
            </w:pPr>
          </w:p>
        </w:tc>
        <w:tc>
          <w:tcPr>
            <w:tcW w:w="35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40" w:type="dxa"/>
            <w:vAlign w:val="bottom"/>
            <w:tcBorders>
              <w:right w:val="single" w:sz="8" w:color="auto"/>
            </w:tcBorders>
          </w:tcPr>
          <w:p>
            <w:pPr>
              <w:spacing w:after="0"/>
              <w:rPr>
                <w:sz w:val="24"/>
                <w:szCs w:val="24"/>
                <w:color w:val="auto"/>
              </w:rPr>
            </w:pPr>
          </w:p>
        </w:tc>
        <w:tc>
          <w:tcPr>
            <w:tcW w:w="3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Use of Proceeds:</w:t>
            </w:r>
          </w:p>
        </w:tc>
        <w:tc>
          <w:tcPr>
            <w:tcW w:w="82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w w:val="97"/>
              </w:rPr>
              <w:t>We intend to use the net proceeds from the sale of the Notes to redeem all of our outstanding</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shares of Series B Cumulative Preferred Stock, with remaining net proceeds available for</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general corporate purposes, including funding future strategic product acquisitions and related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investments, making capital expenditures, and funding working capital. See “Use of Proceeds”</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“Capitalization.”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Events of Default:</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 generally will include (i) failure to pay principal or interest, (ii) failure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observe or perform any other covenant or warranty in the Notes or in the indenture, and (iii)</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9"/>
              </w:rPr>
              <w:t>certain events of bankruptcy, insolvency or reorganization.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Events of Default.”</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Certain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The indenture that governs the Notes contains certain covenants, including, but not limited to,</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restrictions on our ability to merge or consolidate with or into any other entity. See “Description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 the Notes — Covenants.”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No Financial Covenants: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indenture governing the Notes does not contain financial covenants.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Additional Notes: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We may create and issue additional Notes ranking equally and ratably with the Notes in all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respects, so that such additional Notes will constitute and form a single series with the Notes and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will have the same terms as to status, redemption or otherwise (except the price to public,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issue date and, if applicable, the initial interest accrual date and the initial interest payment date)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as the Notes; provided that if any such additional Notes are not fungible with the Notes initially</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offered hereby for U.S. federal income tax purposes, such additional Notes will have one or more</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separate CUSIP numbers.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Defeasance: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Notes are subject to legal and covenant defeasance by us. See “Description of the Notes —</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Defeasance” for more information.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Listing:</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2"/>
              </w:rPr>
              <w:t>The existing notes are listed, and the new Notes are expected to be listed, on NASDAQ under the</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symbol “HROWL”.</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Form and Denomination:</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8"/>
              </w:rPr>
              <w:t>The Notes will be issued in book-entry form in denominations of $25 and integral multiples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2"/>
              </w:rPr>
              <w:t>excess thereof. The Notes will be represented by a permanent global certificate deposited with the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trustee as custodian for The Depository Trust Company, or DTC, and registered in the name of a</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nominee of DTC. Beneficial interests in any of the Notes will be shown on, and transfers will be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effected only through, records maintained by DTC and its direct and indirect participants and any</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such interest may not be exchanged for certificated securities, except in limited circumstances.</w:t>
            </w:r>
          </w:p>
        </w:tc>
      </w:tr>
      <w:tr>
        <w:trPr>
          <w:trHeight w:val="432"/>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Trustee:</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U.S. Bank National Association</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Governing Law:</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Notes and the indenture governing the Notes will be governed by and construed in</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accordance with the laws of the State of New York.</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Risk Factors:</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Investing in the Notes involves risks. You should carefully consider the information set forth in</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the section of this prospectus supplement entitled “Risk Factors” beginning on page S-5, as well</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as the other information included in or incorporated by reference into this prospectus supplement</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and the accompanying prospectus before deciding whether to invest in the Notes.</w:t>
            </w:r>
          </w:p>
        </w:tc>
      </w:tr>
      <w:tr>
        <w:trPr>
          <w:trHeight w:val="418"/>
        </w:trPr>
        <w:tc>
          <w:tcPr>
            <w:tcW w:w="40" w:type="dxa"/>
            <w:vAlign w:val="bottom"/>
            <w:tcBorders>
              <w:right w:val="single" w:sz="8" w:color="auto"/>
            </w:tcBorders>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Conflict of Interest</w:t>
            </w: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4"/>
              </w:rPr>
              <w:t>B. Riley Securities, Inc. (“BRS”) is the existing stockholder of our Series B Cumulative Preferred</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Stock (the “Preferred Stock”).   BRS will act as an underwriter in connection with this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8"/>
              </w:rPr>
              <w:t>offering.  We will use a portion of the net proceeds of this offering to redeem the outstanding</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Preferred Stock as described under “Use of Proceeds” in this prospectus supplement. Therefore,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BRS has a “conflict of interest” in this offering within the meaning of FINRA Rule 5121, and this</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offering will be conducted in compliance with Rule 5121 and, therefore, BRS will not be</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permitted to confirm a sale to an account over which it exercises discretionary authority without</w:t>
            </w:r>
          </w:p>
        </w:tc>
      </w:tr>
      <w:tr>
        <w:trPr>
          <w:trHeight w:val="216"/>
        </w:trPr>
        <w:tc>
          <w:tcPr>
            <w:tcW w:w="4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6"/>
              </w:rPr>
              <w:t>first receiving specific written approval from the account holder. See “Underwriting (Conflicts of</w:t>
            </w:r>
          </w:p>
        </w:tc>
      </w:tr>
      <w:tr>
        <w:trPr>
          <w:trHeight w:val="230"/>
        </w:trPr>
        <w:tc>
          <w:tcPr>
            <w:tcW w:w="40" w:type="dxa"/>
            <w:vAlign w:val="bottom"/>
            <w:tcBorders>
              <w:right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820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Interest)” on page S-25 of this prospectus supplement.</w:t>
            </w:r>
          </w:p>
        </w:tc>
      </w:tr>
      <w:tr>
        <w:trPr>
          <w:trHeight w:val="220"/>
        </w:trPr>
        <w:tc>
          <w:tcPr>
            <w:tcW w:w="40" w:type="dxa"/>
            <w:vAlign w:val="bottom"/>
            <w:tcBorders>
              <w:right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spacing w:after="0"/>
              <w:rPr>
                <w:sz w:val="19"/>
                <w:szCs w:val="19"/>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320" w:top="66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i w:val="1"/>
          <w:iCs w:val="1"/>
          <w:color w:val="auto"/>
        </w:rPr>
        <w:t>Investing in the Notes involves significant risks, including the risks described below. Before making an investment in the Notes, you should carefully consider, among other factors, the risks identified under “Risk Factors” in our Annual Report on Form 10-K for the fiscal year ended December 31, 2020, in our Quarterly Report on Form 10-Q for the quarter ended March 31, 2021 and in our other filings with the SEC.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Notes and the suitability of investing in the Notes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able to incur substantially more debt, which could have important consequences to you, and we may be unable to service our debt.</w:t>
      </w:r>
    </w:p>
    <w:p>
      <w:pPr>
        <w:spacing w:after="0" w:line="24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We may be able to incur substantial additional indebtedness in the future. The terms of the indenture governing the Notes will not prohibit us from doing so. If we incur any additional indebtedness that ranks equally with the Notes, the holders of that debt will be entitled to share ratably with you in any proceeds distributed in connection with any insolvency, liquidation, reorganization or dissolution. This may have the effect of reducing the amount of proceeds paid to you.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level of indebtedness could have important consequences to you, because:</w:t>
      </w:r>
    </w:p>
    <w:p>
      <w:pPr>
        <w:spacing w:after="0" w:line="225" w:lineRule="exact"/>
        <w:rPr>
          <w:sz w:val="20"/>
          <w:szCs w:val="20"/>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could affect our ability to satisfy our financial obligations, including those relating to the Notes;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impair our ability to obtain additional debt or equity financing in the future;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ability to refinance all or a portion of our indebtedness on or before maturity;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industry;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may make us more vulnerable to downturns in our business, our industry or the economy in general.</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Our operations may not generate sufficient cash to enable us to service our debt. If we fail to make a payment on the Notes, we could be in default on the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However, no event of default under the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Notes having any rights to such assets. The indenture governing the Notes will not restrict our ability to incur additional indebtedness.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that we currently have or that we may incur in the future.</w:t>
      </w:r>
    </w:p>
    <w:p>
      <w:pPr>
        <w:spacing w:after="0" w:line="170"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Notes are obligations exclusively of the Company and not of any of our subsidiaries. None of our subsidiaries is a guarantor of the Notes, and the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The indenture governing the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187" w:lineRule="exact"/>
        <w:rPr>
          <w:sz w:val="20"/>
          <w:szCs w:val="20"/>
          <w:color w:val="auto"/>
        </w:rPr>
      </w:pPr>
    </w:p>
    <w:p>
      <w:pPr>
        <w:jc w:val="both"/>
        <w:ind w:left="760" w:hanging="320"/>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441"/>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debt, and may be forced to take other actions to satisfy our obligations under such indebtedness, which may not be successful.</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ability to make scheduled payments on, or to refinance our obligations under, our debt will depend on our financial and operating performance and that of our subsidiaries, which, in turn, will be subject to prevailing economic and competitive conditions and to financial and business factors, many of which may be beyond our control.</w:t>
      </w:r>
    </w:p>
    <w:p>
      <w:pPr>
        <w:spacing w:after="0" w:line="184"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may not maintain a level of cash flow from operating activities sufficient to permit us to pay the principal, premium, if any, and interest on our indebtedness. If our cash flow and capital resources are insufficient to fund our debt service obligations, we may be forced to reduce or delay capital expenditures, sell assets, seek to obtain additional equity capital or restructure our debt. In the future, our cash flow and capital resources may not be sufficient for payments of interest on, and principal of, our debt, and such alternative measures may not be successful and may not permit us to meet our scheduled debt service obligations. We may not be able to refinance any of our indebtedness or obtain additional financing, particularly because of our anticipated high levels of debt and the debt incurrence restrictions imposed by the agreements governing our debt, as well as prevailing market conditions. In the absence of such operating results and resources, we could face substantial liquidity problems and might be required to dispose of material assets or operations to meet our debt service and other obligations. The instruments governing our indebtedness restrict our ability to dispose of assets and use the proceeds from any such dispositions. We may not be able to consummate those sales, or if we do, at an opportune time, the proceeds that we realize may not be adequate to meet debt service obligations when due.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general, as market interest rates rise, notes bearing interest at a fixed rate decline in value. Consequently, if you purchase the Notes, and the market interest rates subsequently increase, the market value of your Notes may decline. We cannot predict the future level of market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 which could limit the market price of the Notes or your ability to sell them.</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existing notes are listed, and the new Notes are expected to be listed, on NASDAQ under the symbol “HROWL”.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may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6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there may be a limited number of buyers when you decide to sell your Notes. This may affect the price, if any, offered for your Notes or your ability to sell your Notes when desired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 If any such additional Notes are not fungible with the Notes initially offered hereby for U.S. federal income tax purposes, such additional Notes will have one or more separate CUSIP numbers.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net proceeds to be received by us from the sale of Notes in this offering, after deducting underwriting discounts and commissions and other offering expenses payable by us, are estimated to be approximately $16,923,750 (or $19,370,000 if the underwriters’ option to purchase up to $2,500,000 aggregate principal amount of additional Notes is exercised in full).</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intend to use approximately $11.1 million of the net proceeds from the sale of the Notes for the redemption of all of our outstanding shares of Series B Cumulative Preferred Stock, with remaining net proceeds available for general corporate purposes, including funding future strategic product acquisitions and related investments, making capital expenditures, and funding working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cash and cash equivalents and our consolidated capitalization as of March 31, 2021:</w:t>
      </w:r>
    </w:p>
    <w:p>
      <w:pPr>
        <w:spacing w:after="0" w:line="225"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basis, after giving effect to (i) our sale of Eton common stock, net of costs, which closed on April 12, 2021, (ii) our sale of $55,000,000 principal amount of 8.625% senior notes due 2026, net of costs, which closed on April 20, 2021, and (iii) our sale of 440,000 shares of our Series B Cumulative Preferred Stock, par value $0.001 per share and liquidation preference of $25.00 per share, for a net purchase price of $10,670,000, net of costs, which closed on May 5, 2021; and</w:t>
      </w:r>
    </w:p>
    <w:p>
      <w:pPr>
        <w:spacing w:after="0" w:line="186"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pro forma as adjusted basis, after giving further effect to (i) the sale of the Notes in this offering, after deducting underwriting discounts and commissions, and estimated offering expenses payable by us; and (ii) the redemption of all of our outstanding shares of Series B Cumulative Preferred Stock.</w:t>
      </w:r>
    </w:p>
    <w:p>
      <w:pPr>
        <w:spacing w:after="0" w:line="18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You should read this table in conjunction with our consolidated financial statements and related notes incorporated by reference in this prospectus supplement.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2"/>
              </w:rPr>
              <w:t>As of March 31, 2021</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Actual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Pro Forma</w:t>
            </w:r>
          </w:p>
        </w:tc>
        <w:tc>
          <w:tcPr>
            <w:tcW w:w="18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of $200</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Installments of Long-Term Debt:</w:t>
            </w: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Current portion of loan payable, net of unamortized debt discount</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installments of long-term debt</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Long-Term Debt, Less Current Installments: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 net of current portion</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Exit fee associated with loan payable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Loan payable, net of current portion and unamortized debt discount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8.625% Senior Notes due 2026</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52,000</w:t>
            </w:r>
          </w:p>
        </w:tc>
        <w:tc>
          <w:tcPr>
            <w:tcW w:w="1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68,924</w:t>
            </w:r>
          </w:p>
        </w:tc>
        <w:tc>
          <w:tcPr>
            <w:tcW w:w="0" w:type="dxa"/>
            <w:vAlign w:val="bottom"/>
          </w:tcPr>
          <w:p>
            <w:pPr>
              <w:spacing w:after="0"/>
              <w:rPr>
                <w:sz w:val="1"/>
                <w:szCs w:val="1"/>
                <w:color w:val="auto"/>
              </w:rPr>
            </w:pPr>
          </w:p>
        </w:tc>
      </w:tr>
      <w:tr>
        <w:trPr>
          <w:trHeight w:val="236"/>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installments</w:t>
            </w: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3" w:lineRule="exact"/>
              <w:rPr>
                <w:sz w:val="20"/>
                <w:szCs w:val="20"/>
                <w:color w:val="auto"/>
              </w:rPr>
            </w:pPr>
            <w:r>
              <w:rPr>
                <w:rFonts w:ascii="Arial" w:cs="Arial" w:eastAsia="Arial" w:hAnsi="Arial"/>
                <w:sz w:val="18"/>
                <w:szCs w:val="18"/>
                <w:color w:val="auto"/>
              </w:rPr>
              <w:t>Total Long-Term Debt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14,479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52,024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68,948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Series B Cumulative Preferred Stock, $0.001 par value</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105,382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115,952</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104,825</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(77,183)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(79,551)</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(79,551)</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HARROW HEALTH STOCKHOLDERS’ EQUITY</w:t>
            </w: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28,225</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36,427</w:t>
            </w: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25,300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27,870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36,072</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S-10</w:t>
            </w: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i w:val="1"/>
          <w:iCs w:val="1"/>
          <w:color w:val="auto"/>
        </w:rPr>
        <w:t>The 8.625% Senior Notes due 2026 (the “Notes”) are being issued under an Indenture dated as of April 20, 2021, as supplemented by the First Supplemental Indenture dated as of April 20, 2021, which we refer to collectively as the “indenture,” between the Company and U.S. Bank National Association, as trustee.</w:t>
      </w:r>
    </w:p>
    <w:p>
      <w:pPr>
        <w:spacing w:after="0" w:line="18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The new Notes are being offered as additional notes under the indenture pursuant to which we previously issued $55,000,000 aggregate principal amount of 8.625% Senior Notes due 2026. Unless the context otherwise requires, the term “Notes” refers to both the new Notes, the existing notes and any other additional notes we may issue in the future. The new Notes constitute a further issuance of, and will be fungible with, the existing notes (and will bear the same CUSIP number as the existing notes) and form a single class of debt securities with the existing notes for all purposes under the indenture governing the notes. Immediately after giving effect to the issuance of the new Notes, we will have $72,500,000 in aggregate principal amount of our 8.625% Senior Notes due 2026 outstanding (or $75,000,000 if the underwriters’ option to purchase up to $2,500,000 aggregate principal amount of additional Notes is exercised in full).</w:t>
      </w:r>
    </w:p>
    <w:p>
      <w:pPr>
        <w:spacing w:after="0" w:line="1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Set forth below is a description of the specific terms of the Notes and the indenture. This description supplements the description of the general terms and provisions of our debt securities set forth in the accompanying prospectus under the caption “Description of Debt Securities.” The following description does not purport to be complete and is subject to, and is qualified in its entirety by reference to, the indenture filed as an exhibit to the Company’s Current Report on Form 8-K filed on April 20,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our general unsecured, senior obligations;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limited to an aggregate principal amount of $17,500,000 of new Notes (and aggregate of $72,500,000 notes, including the existing notes, assuming no exercise of the underwriters’ option to purchase additional Notes described herein);</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will mature on April 30, 2026 unless earlier redeemed or repurchased, and 100% of the aggregate principal amount will be paid at maturity;</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bear cash interest from April 20, 2021 at an annual rate of 8.625%, payable quarterly in arrears on January 31, April 30, July 31 and October 31 of each year, beginning on July 31, 2021, and at maturity;</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prior to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at any time on or after February 1, 2026, at the prices and on the terms described under “— Optional Redemption” below;</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denominations of $25 and integral multiples of $25 in excess thereof;</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not have a sinking fund;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or are expected to be, listed on NASDAQ under the symbol “HROWL”;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7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equally) with our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29"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Interest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on the Notes will accrue at an annual rate equal to 8.625% from and including April 20, 2021 to, but excluding, the maturity date or earlier acceleration or redemption and will be payable quarterly in arrears on January 31, April 30, July 31 and October 31 of each year, beginning on July 31, 2021 and at maturity, to the record holders at the close of business on the immediately preceding January 15, April 15, July 15 and October 15, as applicable (whether or not a business day).</w:t>
      </w:r>
    </w:p>
    <w:p>
      <w:pPr>
        <w:spacing w:after="0" w:line="18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initial interest period for the Notes will be the period from and including April 20, 2021, to, but excluding, July 31, 2021, and subsequent interest periods will be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7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Prior to February 1, 2026 (the “Notes Par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Notes may be redeemed for cash in whole or in part at any time at our option on or after February 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6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Unless we default on the payment of the redemption price, on and after the date of redemption, interest will cease to accrue on the Notes called for redemption.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“Make-Whole Amount” means, in connection with any optional redemption of any Note, the excess, if any, of (i) the sum of the present values, as of the date of such redemption, of the remaining scheduled payments of principal of, and interest (exclusive of interest accrued to, but excluding, the date of redemption) on, such Note, assuming such Note matured on, and that accrued and unpaid interest on such Note was payable through, the Notes Par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9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the Notes Par Call Date)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ind w:firstLine="432"/>
        <w:spacing w:after="0" w:line="259" w:lineRule="auto"/>
        <w:rPr>
          <w:sz w:val="20"/>
          <w:szCs w:val="20"/>
          <w:color w:val="auto"/>
        </w:rPr>
      </w:pPr>
      <w:r>
        <w:rPr>
          <w:rFonts w:ascii="Arial" w:cs="Arial" w:eastAsia="Arial" w:hAnsi="Arial"/>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of our Notes will have rights if an Event of Default occurs in respect of the Notes and is not cured, as described later in this subsection. The term “Event of Default” in respect of the Notes means any of the following:</w:t>
      </w:r>
    </w:p>
    <w:p>
      <w:pPr>
        <w:spacing w:after="0" w:line="170"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pay interest on any Note when due, and such default is not cured within 30 days;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pay the principal of the Notes when due and payable;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specified events of bankruptcy, insolvency or reorganization occur and remain undischarged or unstayed for a period of 90 days.</w:t>
      </w:r>
    </w:p>
    <w:p>
      <w:pPr>
        <w:spacing w:after="0" w:line="2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2" w:lineRule="exact"/>
        <w:rPr>
          <w:sz w:val="20"/>
          <w:szCs w:val="20"/>
          <w:color w:val="auto"/>
        </w:rPr>
      </w:pPr>
    </w:p>
    <w:p>
      <w:pPr>
        <w:jc w:val="both"/>
        <w:ind w:firstLine="8"/>
        <w:spacing w:after="0" w:line="259"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0.50% for calendar days 91 through 180 after such default. On the 181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8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70"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holder must give the trustee written notice that the Event of Default has occurred and remains uncured;</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holder or holders must have offered to the trustee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of the outstanding principal of the Notes.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Defaults</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24" w:lineRule="exact"/>
        <w:rPr>
          <w:sz w:val="20"/>
          <w:szCs w:val="20"/>
          <w:color w:val="auto"/>
        </w:rPr>
      </w:pPr>
    </w:p>
    <w:p>
      <w:pPr>
        <w:jc w:val="both"/>
        <w:ind w:left="760" w:hanging="320"/>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83"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86"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is continuing; and</w:t>
      </w:r>
    </w:p>
    <w:p>
      <w:pPr>
        <w:spacing w:after="0" w:line="170"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three types of changes we can make to the indenture and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70" w:lineRule="exact"/>
        <w:rPr>
          <w:sz w:val="20"/>
          <w:szCs w:val="20"/>
          <w:color w:val="auto"/>
        </w:rPr>
      </w:pPr>
    </w:p>
    <w:p>
      <w:pPr>
        <w:ind w:left="760" w:right="2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and the assumption by the successor corporation of our covenants, agreements and obligations under the indenture and the Notes;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the Notes, or to surrender any right or power herein conferred upon the Company and to make the occurrence;</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the Notes;</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83"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or provide for a guaranty of the Notes or additional obligors on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 or terms of the Notes;</w:t>
      </w:r>
    </w:p>
    <w:p>
      <w:pPr>
        <w:spacing w:after="0" w:line="225" w:lineRule="exact"/>
        <w:rPr>
          <w:rFonts w:ascii="Arial" w:cs="Arial" w:eastAsia="Arial" w:hAnsi="Arial"/>
          <w:sz w:val="18"/>
          <w:szCs w:val="18"/>
          <w:color w:val="auto"/>
        </w:rPr>
      </w:pPr>
    </w:p>
    <w:p>
      <w:pPr>
        <w:jc w:val="both"/>
        <w:ind w:left="760" w:hanging="320"/>
        <w:spacing w:after="0" w:line="31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action pursuant to this clause shall not adversely affect the interests of the holders of the Notes in any material respect;</w:t>
      </w:r>
    </w:p>
    <w:p>
      <w:pPr>
        <w:spacing w:after="0" w:line="148" w:lineRule="exact"/>
        <w:rPr>
          <w:rFonts w:ascii="Arial" w:cs="Arial" w:eastAsia="Arial" w:hAnsi="Arial"/>
          <w:sz w:val="16"/>
          <w:szCs w:val="16"/>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Notes, including provisions regarding the circumstances under which collateral may be released or substituted;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70" w:lineRule="exact"/>
        <w:rPr>
          <w:rFonts w:ascii="Arial" w:cs="Arial" w:eastAsia="Arial" w:hAnsi="Arial"/>
          <w:sz w:val="18"/>
          <w:szCs w:val="18"/>
          <w:color w:val="auto"/>
        </w:rPr>
      </w:pPr>
    </w:p>
    <w:p>
      <w:pPr>
        <w:ind w:left="760" w:hanging="320"/>
        <w:spacing w:after="0" w:line="34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to supplement any of the provisions of the indenture to such extent as shall be necessary to permit or facilitate the defeasance and discharge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action shall not adversely affect the interests of the holders of the Notes in any material respect.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 of Each Holder</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cannot make certain changes to the Notes without the specific approval of each holder of the Notes. The following is a list of those types of changes:</w:t>
      </w:r>
    </w:p>
    <w:p>
      <w:pPr>
        <w:spacing w:after="0" w:line="170"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the stated maturity of the principal of, or any installment of interest on,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principal amount or rate of interest of any Note;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the place of payment where any Note or any interest is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impairing the right to institute suit for the enforcement of any payment on or after the date on which it is due and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reducing the percentage in principal amount of holders of the Notes whose consent is needed to modify or amend the indenture; and</w:t>
      </w:r>
    </w:p>
    <w:p>
      <w:pPr>
        <w:spacing w:after="0" w:line="236" w:lineRule="exact"/>
        <w:rPr>
          <w:rFonts w:ascii="Arial" w:cs="Arial" w:eastAsia="Arial" w:hAnsi="Arial"/>
          <w:sz w:val="17"/>
          <w:szCs w:val="17"/>
          <w:color w:val="auto"/>
        </w:rPr>
      </w:pPr>
    </w:p>
    <w:p>
      <w:pPr>
        <w:ind w:left="76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reducing the percentage in principal amount of holders of the Notes whose consent is needed to waive compliance with certain provisions of the indenture or to waive certain defaults.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225" w:lineRule="exact"/>
        <w:rPr>
          <w:sz w:val="20"/>
          <w:szCs w:val="20"/>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change only affects the Notes, it must be approved by holders of not less than a majority in aggregate principal amount of the outstanding Notes;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Consent from holders to any change to the indenture or the Notes must be given in writing.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amount of Notes deemed to be outstanding for the purpose of voting will include all Notes authenticated and delivered under the indenture as of the date of determination except:</w:t>
      </w:r>
    </w:p>
    <w:p>
      <w:pPr>
        <w:spacing w:after="0" w:line="170"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cancelled by the trustee or delivered to the trustee for cancellation;</w:t>
      </w:r>
    </w:p>
    <w:p>
      <w:pPr>
        <w:spacing w:after="0" w:line="225"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83"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Notes for which have undergone full defeasance, as described below; and</w:t>
      </w:r>
    </w:p>
    <w:p>
      <w:pPr>
        <w:spacing w:after="0" w:line="225"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4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must take place on or prior to the 180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following defeasance provisions will be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7" w:lineRule="exact"/>
        <w:rPr>
          <w:sz w:val="20"/>
          <w:szCs w:val="20"/>
          <w:color w:val="auto"/>
        </w:rPr>
      </w:pPr>
    </w:p>
    <w:p>
      <w:pPr>
        <w:jc w:val="both"/>
        <w:ind w:left="760" w:hanging="320"/>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left="760" w:hanging="320"/>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covenant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If there is a change in U.S. federal income tax law, we can legally release ourselves from all payment and other obligations on the Notes if we take the following actions below:</w:t>
      </w:r>
    </w:p>
    <w:p>
      <w:pPr>
        <w:spacing w:after="0" w:line="170" w:lineRule="exact"/>
        <w:rPr>
          <w:sz w:val="20"/>
          <w:szCs w:val="20"/>
          <w:color w:val="auto"/>
        </w:rPr>
      </w:pPr>
    </w:p>
    <w:p>
      <w:pPr>
        <w:jc w:val="both"/>
        <w:ind w:left="760" w:hanging="320"/>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86"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83"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stating that the Notes, if then listed on any securities exchange, will not be delisted as a result of the deposit;</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full defeasance must not cause the trustee to have a conflicting interest within the meaning of the Trust Indenture Act;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full defeasance must not result in a breach or violation of, or constitute a default under, the indenture or any other material agreements or instruments to which we are a party;</w:t>
      </w:r>
    </w:p>
    <w:p>
      <w:pPr>
        <w:spacing w:after="0" w:line="170" w:lineRule="exact"/>
        <w:rPr>
          <w:rFonts w:ascii="Arial" w:cs="Arial" w:eastAsia="Arial" w:hAnsi="Arial"/>
          <w:sz w:val="18"/>
          <w:szCs w:val="18"/>
          <w:color w:val="auto"/>
        </w:rPr>
      </w:pPr>
    </w:p>
    <w:p>
      <w:pPr>
        <w:ind w:left="760" w:right="20" w:hanging="320"/>
        <w:spacing w:after="0" w:line="34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23"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to the trustee an officers’ certificate and a legal opinion from our counsel stating that all conditions precedent with respect to the full defeasance have been complied with.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existing notes are listed, and the new Notes are expected to be listed, on NASDAQ under the symbol “HROWL”. The Notes are expected to trade “flat,” meaning that purchasers will not pay and sellers will not receive any accrued and unpaid interest on the Notes that is not included in the trading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is,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Issuance</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Notes will be issued in the form of one or more global certificates, or Global Notes, registered in the name of The Depository Trust Company, or DTC. DTC has informed us that its nominee will be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7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Arial" w:cs="Arial" w:eastAsia="Arial" w:hAnsi="Arial"/>
          <w:sz w:val="18"/>
          <w:szCs w:val="18"/>
          <w:i w:val="1"/>
          <w:iCs w:val="1"/>
          <w:color w:val="auto"/>
        </w:rPr>
        <w:t>www.dtcc.com</w:t>
      </w:r>
      <w:r>
        <w:rPr>
          <w:rFonts w:ascii="Arial" w:cs="Arial" w:eastAsia="Arial" w:hAnsi="Arial"/>
          <w:sz w:val="18"/>
          <w:szCs w:val="18"/>
          <w:color w:val="auto"/>
        </w:rPr>
        <w:t>.</w:t>
      </w:r>
    </w:p>
    <w:p>
      <w:pPr>
        <w:spacing w:after="0" w:line="18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6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6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432"/>
        <w:spacing w:after="0" w:line="277" w:lineRule="auto"/>
        <w:rPr>
          <w:sz w:val="20"/>
          <w:szCs w:val="20"/>
          <w:color w:val="auto"/>
        </w:rPr>
      </w:pPr>
      <w:r>
        <w:rPr>
          <w:rFonts w:ascii="Arial" w:cs="Arial" w:eastAsia="Arial" w:hAnsi="Arial"/>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a Global Note</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Global Notes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Certificated Securities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and other indirect holders should consult their banks or brokers for information on how they will receive payments on the Notes.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notified us at any time that it is unwilling or unable to continue as depositary for the Global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Trustee</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U.S. Bank National Association will be the trustee under the indenture and will be the principal paying agent and registrar for the Notes. The trustee may resign or be removed with respect to the Notes provided that a successor trustee is appointed to act with respect to the Notes.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of the acquisition, ownership, and disposition of the Notes that we are offering. The following discussion is not exhaustive of all possible tax considerations. This summary is based upon of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7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This summary is for general information only, and does not address all aspects of U.S. federal income taxation that may be important to a particular holder in light of its investment or tax circumstances or to holders subject to special tax rules, such as pass-through entities (including partnerships and other entities and arrangements classified as partnerships for U.S. federal income tax purposes and S corporations) and beneficial owners of such pass-through entities, banks, financial institutions, tax-exempt entities, insurance companies, regulated investment companies, real estate investment trusts, trusts and estates, dealers in stocks, securities or currencies, traders in securities that have elected to use the mark-to-market method of accounting for their securities, persons holding the Notes as part of an integrated transaction, including a “straddle,” “hedge,” “constructive sale,” or “conversion transaction,” U.S. Holders (as defined below) whose functional currency for tax purposes (as defined in Section 985 of the Code) is not the U.S. dollar, holders subject to Section 451(b) of the Code, and individuals subject to the alternative minimum tax provisions of the Code. This summary does not address the effects of other U.S. federal tax laws (such as estate and gift tax laws) or the tax laws of any state or local governments, or of any foreign government, that may be applicable to a particular holder.</w:t>
      </w:r>
    </w:p>
    <w:p>
      <w:pPr>
        <w:spacing w:after="0" w:line="18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This summary is directed solely to holders that, except as otherwise specifically noted, will purchase the Notes offered in this prospectus supplement upon original issuance for the “issue price” (</w:t>
      </w:r>
      <w:r>
        <w:rPr>
          <w:rFonts w:ascii="Arial" w:cs="Arial" w:eastAsia="Arial" w:hAnsi="Arial"/>
          <w:sz w:val="16"/>
          <w:szCs w:val="16"/>
          <w:i w:val="1"/>
          <w:iCs w:val="1"/>
          <w:color w:val="auto"/>
        </w:rPr>
        <w:t>i.e.</w:t>
      </w:r>
      <w:r>
        <w:rPr>
          <w:rFonts w:ascii="Arial" w:cs="Arial" w:eastAsia="Arial" w:hAnsi="Arial"/>
          <w:sz w:val="16"/>
          <w:szCs w:val="16"/>
          <w:color w:val="auto"/>
        </w:rPr>
        <w:t>, the first price at which a substantial amount of the Notes is sold for money to persons, other than to bond houses, brokers or similar persons or organizations acting in the capacity of the underwriters, placement agents or wholesalers) for cash and will hold such securities as capital assets within the meaning of Section 1221 of the Code, which generally means as property held for investment.</w:t>
      </w:r>
    </w:p>
    <w:p>
      <w:pPr>
        <w:spacing w:after="0" w:line="153" w:lineRule="exact"/>
        <w:rPr>
          <w:sz w:val="20"/>
          <w:szCs w:val="20"/>
          <w:color w:val="auto"/>
        </w:rPr>
      </w:pPr>
    </w:p>
    <w:p>
      <w:pPr>
        <w:jc w:val="both"/>
        <w:ind w:firstLine="432"/>
        <w:spacing w:after="0" w:line="303" w:lineRule="auto"/>
        <w:rPr>
          <w:sz w:val="20"/>
          <w:szCs w:val="20"/>
          <w:color w:val="auto"/>
        </w:rPr>
      </w:pPr>
      <w:r>
        <w:rPr>
          <w:rFonts w:ascii="Arial" w:cs="Arial" w:eastAsia="Arial" w:hAnsi="Arial"/>
          <w:sz w:val="16"/>
          <w:szCs w:val="16"/>
          <w:b w:val="1"/>
          <w:bCs w:val="1"/>
          <w:color w:val="auto"/>
        </w:rPr>
        <w:t>This summary is not a comprehensive description of all of the U.S. federal tax consequences that may be relevant with respect to the acquisition, ownership and disposition of the Notes. We urge you to consult your own tax advisor regarding your particular circumstances and the U.S. federal tax consequences to you of acquiring, owning and disposing of these securities, as well as any tax consequences arising under the laws of any state, local, foreign, or other tax jurisdiction and the possible effects of changes in U.S. federal or other tax laws.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used in this prospectus supplement, the term “U.S. Holder” means a beneficial owner of Notes that is for U.S. federal income tax purposes:</w:t>
      </w:r>
    </w:p>
    <w:p>
      <w:pPr>
        <w:spacing w:after="0" w:line="237"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of any state of the United States or the District of Columbia;</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United States persons have the authority to control all substantial decisions of the trust; or</w:t>
      </w:r>
    </w:p>
    <w:p>
      <w:pPr>
        <w:spacing w:after="0" w:line="170" w:lineRule="exact"/>
        <w:rPr>
          <w:rFonts w:ascii="Arial" w:cs="Arial" w:eastAsia="Arial" w:hAnsi="Arial"/>
          <w:sz w:val="18"/>
          <w:szCs w:val="18"/>
          <w:color w:val="auto"/>
        </w:rPr>
      </w:pPr>
    </w:p>
    <w:p>
      <w:pPr>
        <w:jc w:val="both"/>
        <w:ind w:left="760" w:hanging="320"/>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(a) if a court within the United States is able to exercise primary supervision over the administration of the trust and one or more United States persons have the authority to control all substantial decisions of the trust, or (b) that was in existence on August 20, 1996 and that has a valid election in effect under applicable Treasury regulations to be treated as a United States person.</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used in this prospectus supplement, the term “Non-U.S. Holder” is a beneficial owner of the Notes (other than a partnership or other entity or arrangement taxable as a partnership) that is not a U.S. Holder.</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an entity or arrangement treated as a partnership for U.S. federal income tax purposes holds the Notes offered in this prospectus supplement, the U.S. federal income tax treatment of a partner generally will depend upon the status of the partner, the activities of the partnership and certain determinations made at the partner level; accordingly, as provided above, this summary does not apply to partnerships. A partner of a partnership holding the Notes should consult its own tax advisor regarding the U.S. federal income tax consequences to the partner of the acquisition, ownership and disposition of the Notes by the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Qualified Reopening</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anticipate that the issuance of the Notes will be treated as a “qualified reopening” of the existing notes for U.S. federal income tax purposes. Debt instruments issued in a qualified reopening are deemed to be part of the same issue as the original debt instruments. If the issuance of the Notes is so treated, then the Notes will have the same issue date, the same issue price and the same adjusted issue price as the existing notes for U.S. federal income tax purposes. In order for the issuance of the Notes to be considered part of a “qualified reopening” of the existing notes, various factual requirements must be satisfied. The remainder of this discussion assumes that the issuance of the Notes will be treated as a qualified reopening of the existing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U.S. Holders of the Notes.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Payment of Interest</w:t>
      </w:r>
      <w:r>
        <w:rPr>
          <w:rFonts w:ascii="Arial" w:cs="Arial" w:eastAsia="Arial" w:hAnsi="Arial"/>
          <w:sz w:val="18"/>
          <w:szCs w:val="18"/>
          <w:color w:val="auto"/>
        </w:rPr>
        <w:t>. It is expected, and this discussion assumes, that either the issue price of the Notes will equal the stated principal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Notes or the Notes will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for U.S. federal income tax purposes. Accordingly, payments of stated interest on a Note (other than any pre-issuance accrued interest described below) generally will be included in the income of a U.S. Holder as ordinary interest income at the time it is accrued or is received in accordance with the U.S. Holder’s regular method of accounting for U.S. federal income tax purposes.</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Pre-Issuance Accrued Interest</w:t>
      </w:r>
      <w:r>
        <w:rPr>
          <w:rFonts w:ascii="Arial" w:cs="Arial" w:eastAsia="Arial" w:hAnsi="Arial"/>
          <w:sz w:val="18"/>
          <w:szCs w:val="18"/>
          <w:color w:val="auto"/>
        </w:rPr>
        <w:t>. A portion of the price paid for the Notes may be allocable to unpaid interest that accrued prior to the date such Notes</w:t>
      </w:r>
      <w:r>
        <w:rPr>
          <w:rFonts w:ascii="Arial" w:cs="Arial" w:eastAsia="Arial" w:hAnsi="Arial"/>
          <w:sz w:val="18"/>
          <w:szCs w:val="18"/>
          <w:i w:val="1"/>
          <w:iCs w:val="1"/>
          <w:color w:val="auto"/>
        </w:rPr>
        <w:t xml:space="preserve"> </w:t>
      </w:r>
      <w:r>
        <w:rPr>
          <w:rFonts w:ascii="Arial" w:cs="Arial" w:eastAsia="Arial" w:hAnsi="Arial"/>
          <w:sz w:val="18"/>
          <w:szCs w:val="18"/>
          <w:color w:val="auto"/>
        </w:rPr>
        <w:t>are sold pursuant to this offering (“pre-issuance accrued interest”). We intend to treat a portion of the first stated interest payment on the Notes in an amount equal to the pre-issuance accrued interest as a return of the pre-issuance accrued interest and not as an amount payable on such Notes. Amounts treated as a return of the pre-issuance accrued interest should not be taxable to a U.S. Holder when received but should reduce the U.S. Holder’s tax basis in the Notes by a corresponding amount. Prospective purchasers of Notes should consult their tax advisors with respect to the tax treatment of pre-issuance accrued interest.</w:t>
      </w:r>
    </w:p>
    <w:p>
      <w:pPr>
        <w:spacing w:after="0" w:line="19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i w:val="1"/>
          <w:iCs w:val="1"/>
          <w:color w:val="auto"/>
        </w:rPr>
        <w:t xml:space="preserve">Sale, Exchange, or Retirement of Notes. </w:t>
      </w:r>
      <w:r>
        <w:rPr>
          <w:rFonts w:ascii="Arial" w:cs="Arial" w:eastAsia="Arial" w:hAnsi="Arial"/>
          <w:sz w:val="16"/>
          <w:szCs w:val="16"/>
          <w:color w:val="auto"/>
        </w:rPr>
        <w:t>Upon the sale, exchange, retirement, or other disposition of a Note, a U.S. Holder will recognize gain or loss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the difference between the amount realized upon the sale, exchange, retirement or other disposition and the U.S. Holder’s adjusted tax basis in the Note. The amount realized by the U.S. Holder will include the amount of any cash and the fair market value of any other property received for the Note, but will exclude amounts attributable to accrued but unpaid interest (other than any pre-issuance accrued interest described above) which will be treated as described above under “Payments of Interest.” A U.S. Holder’s adjusted tax basis in a Note will generally be the cost of the Note to such U.S. Holder.</w:t>
      </w:r>
    </w:p>
    <w:p>
      <w:pPr>
        <w:spacing w:after="0" w:line="16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Gain or loss realized on the sale, exchange, retirement, or other disposition of a Note generally will be capital gain or loss, and will be long-term capital gain or loss if the Note has been held by the U.S. Holder for more than one year. Net long-term capital gain recognized by an individual U.S. Holder is generally taxed at preferential rates. The ability of U.S. Holders to deduct capital losses is subject to limitations under the Code.</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Additional Medicare Tax on Unearned Income. </w:t>
      </w:r>
      <w:r>
        <w:rPr>
          <w:rFonts w:ascii="Arial" w:cs="Arial" w:eastAsia="Arial" w:hAnsi="Arial"/>
          <w:sz w:val="18"/>
          <w:szCs w:val="18"/>
          <w:color w:val="auto"/>
        </w:rPr>
        <w:t>Certain U.S. Holders, including individuals, estates and trusts, are subject to an additional 3.8%</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tax on unearned income. For individual U.S. Holders,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and capital gains. U.S. Holders are urged to consult their own tax advisors regarding the implications of the additional Medicare tax resulting from an investment in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material U.S. federal income tax consequences that will apply to Non-U.S. Holders of a Note.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Payments of Interest</w:t>
      </w:r>
      <w:r>
        <w:rPr>
          <w:rFonts w:ascii="Arial" w:cs="Arial" w:eastAsia="Arial" w:hAnsi="Arial"/>
          <w:sz w:val="18"/>
          <w:szCs w:val="18"/>
          <w:color w:val="auto"/>
        </w:rPr>
        <w:t>. Except as discussed below, principal and interest payments that are received from us and that are not effectively connected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by the Non-U.S. Holder of a trade or business within the United States, or a permanent establishment maintained in the United States if certain tax treaties apply, generally will not be subject to U.S. federal income or withholding tax, except as provided below. Interest may be subject to a 30% withholding tax (or less under an applicable treaty, if any) if:</w:t>
      </w:r>
    </w:p>
    <w:p>
      <w:pPr>
        <w:spacing w:after="0" w:line="187"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Non-U.S. Holder actually or constructively owns 10% or more of the total combined voting power of all classes of our stock entitled to vote;</w:t>
      </w:r>
    </w:p>
    <w:p>
      <w:pPr>
        <w:spacing w:after="0" w:line="248" w:lineRule="exact"/>
        <w:rPr>
          <w:rFonts w:ascii="Arial" w:cs="Arial" w:eastAsia="Arial" w:hAnsi="Arial"/>
          <w:sz w:val="16"/>
          <w:szCs w:val="16"/>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Non-U.S. Holder is a “controlled foreign corporation” for U.S. federal income tax purposes that is related to us (directly or indirectly) through stock ownership;</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Non-U.S. Holder is a bank extending credit pursuant to a loan agreement entered into in the ordinary course of its trade or business (as described in Section 881(c)(3)(A) of the Code); or</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does not satisfy the certification requirements described below.</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the case of the Notes, a Non-U.S. Holder generally will satisfy the certification requirements if either: (A) the Non-U.S. Holder certifies to us, under penalties of perjury, that it is not a “United States person” (within the meaning of the Code) and provides its name and address (which certification may generally be made on an IRS Form W-8BEN, IRS Form W-8BEN-E or other applicable U.S. nonresident withholding tax certification form), or (B) a securities clearing organization, bank, or other financial institution that holds customer securities in the ordinary course of its trade or business (a “financial institution”) and holds the Note certifies to us under penalties of perjury that either it or another financial institution has received the required statement from the Non-U.S. Holder certifying that it is not a United States person and furnishes us with a copy of the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713" w:gutter="0" w:footer="0" w:header="0"/>
        </w:sectPr>
      </w:pPr>
    </w:p>
    <w:bookmarkStart w:id="25" w:name="page26"/>
    <w:bookmarkEnd w:id="25"/>
    <w:p>
      <w:pPr>
        <w:jc w:val="both"/>
        <w:ind w:firstLine="432"/>
        <w:spacing w:after="0" w:line="289" w:lineRule="auto"/>
        <w:rPr>
          <w:sz w:val="20"/>
          <w:szCs w:val="20"/>
          <w:color w:val="auto"/>
        </w:rPr>
      </w:pPr>
      <w:r>
        <w:rPr>
          <w:rFonts w:ascii="Arial" w:cs="Arial" w:eastAsia="Arial" w:hAnsi="Arial"/>
          <w:sz w:val="16"/>
          <w:szCs w:val="16"/>
          <w:color w:val="auto"/>
        </w:rPr>
        <w:t>Except as discussed below, payments not meeting the requirements set forth above and thus subject to withholding of U.S. federal income tax may nevertheless be exempt from withholding (or subject to withholding at a reduced rate) if the Non-U.S. Holder provides us with a properly executed IRS Form W-8BEN, Form W-8BEN-E, or other applicable U.S. nonresident withholding tax certification form, claiming an exemption from, or reduction in, withholding under the benefit of a tax treaty, or IRS Form W-8ECI (or other applicable form) stating that interest paid on the Notes is not subject to withholding tax because it is effectively connected with the conduct of a trade or business within the United States as discussed below. These forms may be required to be updated periodically. To claim benefits under an income tax treaty, a Non-U.S. Holder must obtain a taxpayer identification number and certify as to its eligibility under the appropriate treaty’s limitations on benefits article. In addition, special rules may apply to claims for treaty benefits made by Non-U.S. Holders that are entities rather than individuals. A Non-U.S. Holder that is eligible for a reduced rate of U.S. federal withholding tax pursuant to an income tax treaty may obtain a refund of any excess amounts withheld by timely filing an appropriate claim for refund with the IRS.</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Sale, Exchange, or Retirement of Note</w:t>
      </w:r>
      <w:r>
        <w:rPr>
          <w:rFonts w:ascii="Arial" w:cs="Arial" w:eastAsia="Arial" w:hAnsi="Arial"/>
          <w:sz w:val="17"/>
          <w:szCs w:val="17"/>
          <w:color w:val="auto"/>
        </w:rPr>
        <w:t>. Except as discussed below, a Non-U.S. Holder generally will not be subject to U.S. federal income or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on any capital gain or market discount realized on the sale, exchange, retirement or other disposition of Notes, provided that: (a) the gain is not effectively connected with the conduct of a trade or business within the United States, or a permanent establishment maintained in the United States if certain tax treaties apply, and (b) in the case of a Non-U.S. Holder that is an individual, the Non-U.S. Holder is not present in the United States for 183 days or more in the taxable year of the sale, exchange or other disposition of the Note. An individual Non-U.S. Holder who is present in the United States for 183 days or more in the taxable year of sale, exchange or other disposition of a Note, and if certain other conditions are met, will be subject to U.S. federal income tax at a rate of 30% on the gain realized on the sale, exchange or other disposition of such Note.</w:t>
      </w:r>
    </w:p>
    <w:p>
      <w:pPr>
        <w:spacing w:after="0" w:line="17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Income Effectively Connected with a Trade or Business within the United States</w:t>
      </w:r>
      <w:r>
        <w:rPr>
          <w:rFonts w:ascii="Arial" w:cs="Arial" w:eastAsia="Arial" w:hAnsi="Arial"/>
          <w:sz w:val="16"/>
          <w:szCs w:val="16"/>
          <w:color w:val="auto"/>
        </w:rPr>
        <w:t>. If a Non-U.S. Holder of a Note is engaged in the conduct of a trade</w:t>
      </w:r>
      <w:r>
        <w:rPr>
          <w:rFonts w:ascii="Arial" w:cs="Arial" w:eastAsia="Arial" w:hAnsi="Arial"/>
          <w:sz w:val="16"/>
          <w:szCs w:val="16"/>
          <w:i w:val="1"/>
          <w:iCs w:val="1"/>
          <w:color w:val="auto"/>
        </w:rPr>
        <w:t xml:space="preserve"> </w:t>
      </w:r>
      <w:r>
        <w:rPr>
          <w:rFonts w:ascii="Arial" w:cs="Arial" w:eastAsia="Arial" w:hAnsi="Arial"/>
          <w:sz w:val="16"/>
          <w:szCs w:val="16"/>
          <w:color w:val="auto"/>
        </w:rPr>
        <w:t>or business within the United States and if interest on the Note, or gain realized on the sale, exchange or other disposition of the Note, is effectively connected with the conduct of such trade or business (and, if certain tax treaties apply, is attributable to a permanent establishment maintained by the Non-U.S. Holder in the United States), the Non-U.S. Holder, although exempt from U.S. federal withholding tax (provided that the certification requirements discussed above are satisfied), will generally be subject to U.S. federal income tax on such interest or gain on a net income basis in the same manner as if it were a U.S. Holder. Non-U.S. Holders should read the material under the heading “— Consequences to U.S. Holders,” for a description of the U.S. federal income tax consequences of acquiring, owning, and disposing of a Note. In addition, if such Non-U.S. Holder is a foreign corporation, it may also be subject to a branch profits tax equal to 30% (or such lower rate provided by an applicable U.S. income tax treaty) of all or a portion of its earnings and profits for the taxable year that are effectively connected with its conduct of a trade or business in the United States, subject to certain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general, information returns will be filed annually with the IRS and provided to each U.S. Holder that is not an “exempt recipient” in connection with any interest payments on the Notes and the proceeds from a sale or other disposition of the Notes. In addition, a U.S. Holder may be subject to backup withholding (currently at the rate of 24%) on payments of these amounts unless the U.S. Holder provides a correct taxpayer identification number, or TIN, and certifies, under penalties of perjury, that it is a U.S. person, the TIN is correct (or that the U.S. Holder is awaiting a TIN) and the U.S. Holder either (a) is exempt from backup withholding, (b) has not been informed by the IRS that backup withholding is required due to a prior underreporting of interest or dividends or (c) has been informed by the IRS that backup withholding is no longer required. Non-U.S. Holders generally are exempt from information reporting and backup withholding, provided, if necessary, that they demonstrate their qualification for exemption by providing a properly executed IRS Form W-8BEN, Form W-8BEN-E, or other applicable tax certification form. U.S. Holders should consult their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w:t>
      </w:r>
      <w:r>
        <w:rPr>
          <w:rFonts w:ascii="Arial" w:cs="Arial" w:eastAsia="Arial" w:hAnsi="Arial"/>
          <w:sz w:val="16"/>
          <w:szCs w:val="16"/>
          <w:i w:val="1"/>
          <w:iCs w:val="1"/>
          <w:color w:val="auto"/>
        </w:rPr>
        <w:t>e.g</w:t>
      </w:r>
      <w:r>
        <w:rPr>
          <w:rFonts w:ascii="Arial" w:cs="Arial" w:eastAsia="Arial" w:hAnsi="Arial"/>
          <w:sz w:val="16"/>
          <w:szCs w:val="16"/>
          <w:color w:val="auto"/>
        </w:rPr>
        <w:t>.,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Notes, the holder could be subject to this 30% withholding tax with respect to interest paid on the Notes and potentially proceeds from the sale of the Notes to the extent treated as interest for U.S. federal income tax purposes. Under certain circumstances, a holder may be eligible for refunds or credits of such taxes.</w:t>
      </w:r>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If we determine withholding is appropriate with respect to the Notes, we will withhold tax at the applicable statutory rate, and we will not pay any additional amounts in respect of such withholding. Holders are urged to consult with their own tax advisors regarding the possible implications of FATCA on their investment in the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B. Riley Securities, Inc., or BRS, is acting as joint book-running manager and representative of the underwriters named below. Subject to the terms and conditions set forth in an underwriting agreement between us and BRS, as representative of the underwriters named below dated June 14, 2021, or the Underwriting Agreement, we have agreed to sell to the underwriters, and each of the underwriters has agreed, severally and not jointly, to purchase from us, the principal amount of Notes set forth opposite its name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Principal</w:t>
            </w:r>
          </w:p>
        </w:tc>
      </w:tr>
      <w:tr>
        <w:trPr>
          <w:trHeight w:val="241"/>
        </w:trPr>
        <w:tc>
          <w:tcPr>
            <w:tcW w:w="900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Amount of Notes</w:t>
            </w:r>
          </w:p>
        </w:tc>
      </w:tr>
      <w:tr>
        <w:trPr>
          <w:trHeight w:val="216"/>
        </w:trPr>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9000" w:type="dxa"/>
            <w:vAlign w:val="bottom"/>
          </w:tcPr>
          <w:p>
            <w:pPr>
              <w:spacing w:after="0"/>
              <w:rPr>
                <w:sz w:val="20"/>
                <w:szCs w:val="20"/>
                <w:color w:val="auto"/>
              </w:rPr>
            </w:pPr>
            <w:r>
              <w:rPr>
                <w:rFonts w:ascii="Arial" w:cs="Arial" w:eastAsia="Arial" w:hAnsi="Arial"/>
                <w:sz w:val="18"/>
                <w:szCs w:val="18"/>
                <w:color w:val="auto"/>
              </w:rPr>
              <w:t>Ladenburg Thalmann &amp; Co. Inc.</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r>
      <w:tr>
        <w:trPr>
          <w:trHeight w:val="230"/>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Notes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several obligations of the underwriters under the Underwriting Agreement are conditional and may be terminated on the occurrence of certain stated events, including, in the event that at or prior to the closing of the offering: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SEC,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underwriters, impracticable or inadvisable to proceed with the sale or delivery of the Notes on the terms and in the manner contemplated in this prospectus supplement.</w:t>
      </w:r>
    </w:p>
    <w:p>
      <w:pPr>
        <w:spacing w:after="0" w:line="179"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have granted the underwriters the option to purchase up to an additional $2,500,000 aggregate principal amount of Notes at the public offering price, less the underwriting discounts, or the Option. If any Notes are purchased pursuant to the Option, the underwriters will, severally but not jointly, purchase the Notes in approximately the same proportions as set forth in the above table. This prospectus supplement also qualifies the grant of the Option and the Notes issuable upon exercise thereof. A purchaser who acquires the Notes forming part of the underwriters’ Option acquires such Notes under this prospectus supplement, regardless of whether the position is ultimately filled through the exercise of the Option or secondary market purchases.</w:t>
      </w:r>
    </w:p>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among other things, liabilities under the Securities Act or to contribute to payments the underwriters may be required to make in respect of those liabilities.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expect to deliver the Note against payment for such notes on or about June 17, 2021, which will be the second business day following the date of the pricing of the Notes (“T + 2”).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Expenses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representative has advised us that the underwriters propose initially to offer the Notes to the public at the public offering price and to dealers at that price less a concession not in excess of $0.618 per Note. After the underwriters have made a reasonable effort to sell all of the Notes at the offering price, such offering price may be decreased and may be further changed from time to time to an amount not greater than the offering price set forth herein, and the compensation realized by the underwriters will effectively be decreased by the amount that the price paid by purchasers for the Notes is less than the original offering price. Any such reduction will not affect the net proceeds received by us. The underwriters reserve the right to withdraw, cancel or modify offers to the public and to reject orders in whole or in part.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ind w:firstLine="432"/>
        <w:spacing w:after="0" w:line="277" w:lineRule="auto"/>
        <w:rPr>
          <w:sz w:val="20"/>
          <w:szCs w:val="20"/>
          <w:color w:val="auto"/>
        </w:rPr>
      </w:pPr>
      <w:r>
        <w:rPr>
          <w:rFonts w:ascii="Arial" w:cs="Arial" w:eastAsia="Arial" w:hAnsi="Arial"/>
          <w:sz w:val="18"/>
          <w:szCs w:val="18"/>
          <w:color w:val="auto"/>
        </w:rPr>
        <w:t>The following table shows the per share and total underwriting discount that we are to pay to the underwriters in connection with this offering. Such amounts are shown assuming both no exercise and full exercise of the Option.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 to</w:t>
            </w:r>
          </w:p>
        </w:tc>
        <w:tc>
          <w:tcPr>
            <w:tcW w:w="160" w:type="dxa"/>
            <w:vAlign w:val="bottom"/>
          </w:tcPr>
          <w:p>
            <w:pPr>
              <w:spacing w:after="0"/>
              <w:rPr>
                <w:sz w:val="19"/>
                <w:szCs w:val="19"/>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Underwriting</w:t>
            </w:r>
          </w:p>
        </w:tc>
        <w:tc>
          <w:tcPr>
            <w:tcW w:w="180" w:type="dxa"/>
            <w:vAlign w:val="bottom"/>
          </w:tcPr>
          <w:p>
            <w:pPr>
              <w:spacing w:after="0"/>
              <w:rPr>
                <w:sz w:val="19"/>
                <w:szCs w:val="19"/>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w:t>
            </w:r>
          </w:p>
        </w:tc>
      </w:tr>
      <w:tr>
        <w:trPr>
          <w:trHeight w:val="331"/>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520"/>
              <w:spacing w:after="0" w:line="324" w:lineRule="exact"/>
              <w:rPr>
                <w:sz w:val="20"/>
                <w:szCs w:val="20"/>
                <w:color w:val="auto"/>
              </w:rPr>
            </w:pPr>
            <w:r>
              <w:rPr>
                <w:rFonts w:ascii="Arial" w:cs="Arial" w:eastAsia="Arial" w:hAnsi="Arial"/>
                <w:sz w:val="18"/>
                <w:szCs w:val="18"/>
                <w:b w:val="1"/>
                <w:bCs w:val="1"/>
                <w:color w:val="auto"/>
                <w:w w:val="87"/>
              </w:rPr>
              <w:t>the Public</w:t>
            </w:r>
            <w:r>
              <w:rPr>
                <w:rFonts w:ascii="Arial" w:cs="Arial" w:eastAsia="Arial" w:hAnsi="Arial"/>
                <w:sz w:val="29"/>
                <w:szCs w:val="29"/>
                <w:b w:val="1"/>
                <w:bCs w:val="1"/>
                <w:color w:val="auto"/>
                <w:w w:val="87"/>
                <w:vertAlign w:val="superscript"/>
              </w:rPr>
              <w:t>(1)</w:t>
            </w:r>
          </w:p>
        </w:tc>
        <w:tc>
          <w:tcPr>
            <w:tcW w:w="160" w:type="dxa"/>
            <w:vAlign w:val="bottom"/>
          </w:tcPr>
          <w:p>
            <w:pPr>
              <w:spacing w:after="0"/>
              <w:rPr>
                <w:sz w:val="24"/>
                <w:szCs w:val="24"/>
                <w:color w:val="auto"/>
              </w:rPr>
            </w:pPr>
          </w:p>
        </w:tc>
        <w:tc>
          <w:tcPr>
            <w:tcW w:w="1620" w:type="dxa"/>
            <w:vAlign w:val="bottom"/>
            <w:gridSpan w:val="2"/>
          </w:tcPr>
          <w:p>
            <w:pPr>
              <w:jc w:val="center"/>
              <w:ind w:right="480"/>
              <w:spacing w:after="0" w:line="323" w:lineRule="exact"/>
              <w:rPr>
                <w:sz w:val="20"/>
                <w:szCs w:val="20"/>
                <w:color w:val="auto"/>
              </w:rPr>
            </w:pPr>
            <w:r>
              <w:rPr>
                <w:rFonts w:ascii="Arial" w:cs="Arial" w:eastAsia="Arial" w:hAnsi="Arial"/>
                <w:sz w:val="18"/>
                <w:szCs w:val="18"/>
                <w:b w:val="1"/>
                <w:bCs w:val="1"/>
                <w:color w:val="auto"/>
                <w:w w:val="83"/>
              </w:rPr>
              <w:t>Discount</w:t>
            </w:r>
            <w:r>
              <w:rPr>
                <w:rFonts w:ascii="Arial" w:cs="Arial" w:eastAsia="Arial" w:hAnsi="Arial"/>
                <w:sz w:val="37"/>
                <w:szCs w:val="37"/>
                <w:b w:val="1"/>
                <w:bCs w:val="1"/>
                <w:color w:val="auto"/>
                <w:w w:val="83"/>
                <w:vertAlign w:val="superscript"/>
              </w:rPr>
              <w:t>(2)</w:t>
            </w:r>
          </w:p>
        </w:tc>
        <w:tc>
          <w:tcPr>
            <w:tcW w:w="180" w:type="dxa"/>
            <w:vAlign w:val="bottom"/>
          </w:tcPr>
          <w:p>
            <w:pPr>
              <w:spacing w:after="0"/>
              <w:rPr>
                <w:sz w:val="24"/>
                <w:szCs w:val="24"/>
                <w:color w:val="auto"/>
              </w:rPr>
            </w:pPr>
          </w:p>
        </w:tc>
        <w:tc>
          <w:tcPr>
            <w:tcW w:w="1380" w:type="dxa"/>
            <w:vAlign w:val="bottom"/>
            <w:gridSpan w:val="2"/>
          </w:tcPr>
          <w:p>
            <w:pPr>
              <w:ind w:left="100"/>
              <w:spacing w:after="0" w:line="323" w:lineRule="exact"/>
              <w:rPr>
                <w:sz w:val="20"/>
                <w:szCs w:val="20"/>
                <w:color w:val="auto"/>
              </w:rPr>
            </w:pPr>
            <w:r>
              <w:rPr>
                <w:rFonts w:ascii="Arial" w:cs="Arial" w:eastAsia="Arial" w:hAnsi="Arial"/>
                <w:sz w:val="18"/>
                <w:szCs w:val="18"/>
                <w:b w:val="1"/>
                <w:bCs w:val="1"/>
                <w:color w:val="auto"/>
              </w:rPr>
              <w:t>Proceeds</w:t>
            </w:r>
            <w:r>
              <w:rPr>
                <w:rFonts w:ascii="Arial" w:cs="Arial" w:eastAsia="Arial" w:hAnsi="Arial"/>
                <w:sz w:val="37"/>
                <w:szCs w:val="37"/>
                <w:b w:val="1"/>
                <w:bCs w:val="1"/>
                <w:color w:val="auto"/>
                <w:vertAlign w:val="superscript"/>
              </w:rPr>
              <w:t>(3)</w:t>
            </w:r>
          </w:p>
        </w:tc>
      </w:tr>
      <w:tr>
        <w:trPr>
          <w:trHeight w:val="249"/>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Note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8"/>
        </w:trPr>
        <w:tc>
          <w:tcPr>
            <w:tcW w:w="6080" w:type="dxa"/>
            <w:vAlign w:val="bottom"/>
          </w:tcPr>
          <w:p>
            <w:pPr>
              <w:ind w:left="20"/>
              <w:spacing w:after="0" w:line="297" w:lineRule="exact"/>
              <w:rPr>
                <w:sz w:val="20"/>
                <w:szCs w:val="20"/>
                <w:color w:val="auto"/>
              </w:rPr>
            </w:pPr>
            <w:r>
              <w:rPr>
                <w:rFonts w:ascii="Arial" w:cs="Arial" w:eastAsia="Arial" w:hAnsi="Arial"/>
                <w:sz w:val="17"/>
                <w:szCs w:val="17"/>
                <w:color w:val="auto"/>
              </w:rPr>
              <w:t>Total</w:t>
            </w:r>
            <w:r>
              <w:rPr>
                <w:rFonts w:ascii="Arial" w:cs="Arial" w:eastAsia="Arial" w:hAnsi="Arial"/>
                <w:sz w:val="34"/>
                <w:szCs w:val="34"/>
                <w:b w:val="1"/>
                <w:bCs w:val="1"/>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18,025,000</w:t>
            </w:r>
          </w:p>
        </w:tc>
        <w:tc>
          <w:tcPr>
            <w:tcW w:w="3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721,000</w:t>
            </w:r>
          </w:p>
        </w:tc>
        <w:tc>
          <w:tcPr>
            <w:tcW w:w="3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17,304,000</w:t>
            </w:r>
          </w:p>
        </w:tc>
        <w:tc>
          <w:tcPr>
            <w:tcW w:w="100" w:type="dxa"/>
            <w:vAlign w:val="bottom"/>
          </w:tcPr>
          <w:p>
            <w:pPr>
              <w:spacing w:after="0"/>
              <w:rPr>
                <w:sz w:val="24"/>
                <w:szCs w:val="24"/>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31, 2021, the next interest payment date, we will pay interest on the new Notes from April 20, 2021.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the terms of the Underwriting Agreement, the underwriters will receive a discount equal to $1.03 per Note.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deducting the underwriting discount but before deducting expenses of the offering.</w:t>
      </w:r>
    </w:p>
    <w:p>
      <w:pPr>
        <w:spacing w:after="0" w:line="9"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Option is exercised in full, the total price to the public, underwriting discount and net proceeds to us (after deducting the underwriting discount but before deducting estimated offering expenses) will be $20,600,000, $824,000, and $19,776,000, respectively.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also agreed to pay BRS a structuring and advisory fee equal to $180,250 for evaluation, analysis and structuring of the Notes.</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underwriting discounts and reimbursements, will be approximately $150,000. We have also agreed to reimburse the underwriters for their reasonable out-of-pocket expenses, including attorneys’ fees, up to $50,000.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agreed for a period of 30 days following the date of this offering that, without the prior written consent of the representative, which may not be unreasonably withheld, on behalf of the underwriters, we will not,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existing notes are listed, and the new Notes are expected to be listed, on NASDAQ under the symbol “HROWL”. The underwriters will have no obligation to make a market in the Notes, however, and may cease market-making activities, if commenced, at any time. Accordingly, an active trading market on the NASDAQ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Until the distribution of the Notes is completed, SEC rules may limit underwriters and selling group members from bidding for and purchasing our Notes. However, the representative may engage in transactions that have the effect of stabilizing the price of the Notes, such as purchases and other activities that peg, fix or maintain that price.</w:t>
      </w:r>
    </w:p>
    <w:p>
      <w:pPr>
        <w:spacing w:after="0" w:line="1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connection with this offering, the underwriters may bid for or purchase and sell our Notes in the open market. These transactions may include short sales and purchases on the open market to cover positions created by short sales. Short sales involve the sale by the underwriters of a greater number of our Notes than they are required to purchase in this offering. “Covered” short sales are sales made in an amount not greater than the Underwriters’ option to purchase additional Notes in this offering. The underwriters may close out any covered short position by either exercising their option to purchase additional Notes or purchasing notes in the open market. In determining the source of notes to close out the covered short position, the underwriters will consider, among other things, the price of notes available for purchase in the open market as compared to the price at which they may purchase additional Notes pursuant to the option granted to them. “Naked” short sales are sales in excess of the option to purchase additional Notes. The underwriters must close out any naked short position by purchasing Notes in the open market. A naked short position is more likely to be created if the underwriters are concerned that there may be downward pressure on the price of our Notes in the open market after pricing that could adversely affect investors who purchase in this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432"/>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and other activities may have the effect of raising or maintaining the market price of the Notes or preventing or retarding a decline in the market price of the Notes. As a result, the price of the Notes may be higher than the price that might otherwise exist in the open market. If these activities are commenced, they may be discontinued at any time. The underwriters may conduct these transactions on NASDAQ, in the over-the-counter market or otherwise.</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Notes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This prospectus supplement and the accompanying prospectus in electronic format may be made available on websites maintained by one or more of the underwriters, and the underwriters may distribute the prospectus supplement and accompanying prospectus electronically.</w:t>
      </w:r>
    </w:p>
    <w:p>
      <w:pPr>
        <w:spacing w:after="0" w:line="1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than this prospectus supplement and the accompanying prospectus in electronic format, the information on any underwriter’s or any selling group member’s website and any information contained in any other website maintained by an underwriter or any selling group member is not part of this prospectus supplement and the accompanying prospectus or the registration statement of which this prospectus supplement and the accompanying prospectus forms a part, has not been approved and/or endorsed by us or any underwriter or any selling group member in its capacity as underwriter or selling group member and should not be relied upon by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Additional Relationships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BRS is the existing stockholder of our Series B Cumulative Preferred Stock. BRS will act as an underwriter in connection with this offering. We will use a portion of the net proceeds of this offering to redeem the outstanding Preferred Stock as described under “Use of Proceeds” in this prospectus supplement. Therefore, BRS has a “conflict of interest” in this offering within the meaning of FINRA Rule 5121, and this offering will be conducted in compliance with Rule 5121 and, therefore, BRS will not be permitted to confirm a sale to an account over which it exercises discretionary authority without first receiving specific written approval from the account holder.</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Certain legal matters will be passed upon for us by Waller Lansden Dortch &amp; Davis, LLP, Nashville, Tennessee, and for the underwriters by Duane Morris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consolidated financial statements of Harrow Health, Inc. and subsidiaries appearing in the Company’s Annual Report on Form 10-K for the fiscal year ended December 31, 2020, filed with the SEC on March 8, 2021,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7"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8,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amended, filed with the SEC on April 23,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2021 filed with the SEC on May 11, 2021;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21, 2021, January 27, 2021, February 4, 2021, February 9, 2021, April 5, 2021, April 8, 2021, April 12, 2021, April 20, 2021, May 5, 2021 and June 7,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Copies of certain information filed by us with the SEC are also available on our web site at </w:t>
      </w:r>
      <w:r>
        <w:rPr>
          <w:rFonts w:ascii="Arial" w:cs="Arial" w:eastAsia="Arial" w:hAnsi="Arial"/>
          <w:sz w:val="17"/>
          <w:szCs w:val="17"/>
          <w:i w:val="1"/>
          <w:iCs w:val="1"/>
          <w:color w:val="auto"/>
        </w:rPr>
        <w:t>www.harrowinc.com</w:t>
      </w:r>
      <w:r>
        <w:rPr>
          <w:rFonts w:ascii="Arial" w:cs="Arial" w:eastAsia="Arial" w:hAnsi="Arial"/>
          <w:sz w:val="17"/>
          <w:szCs w:val="17"/>
          <w:color w:val="auto"/>
        </w:rPr>
        <w:t>. We have not incorporated by reference into this prospectus supplement or the accompanying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On June 18, 2020, the closing price of our common stock on the Nasdaq Capital Market was $6.20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3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100" w:type="dxa"/>
            <w:vAlign w:val="bottom"/>
            <w:tcBorders>
              <w:top w:val="single" w:sz="8" w:color="CCEEFF"/>
              <w:bottom w:val="single" w:sz="8" w:color="0000EE"/>
            </w:tcBorders>
            <w:gridSpan w:val="7"/>
            <w:shd w:val="clear" w:color="auto" w:fill="CCEEFF"/>
          </w:tcPr>
          <w:p>
            <w:pPr>
              <w:spacing w:after="0" w:line="136" w:lineRule="exact"/>
              <w:rPr>
                <w:rFonts w:ascii="Arial" w:cs="Arial" w:eastAsia="Arial" w:hAnsi="Arial"/>
                <w:sz w:val="15"/>
                <w:szCs w:val="15"/>
                <w:color w:val="0000EE"/>
              </w:rPr>
            </w:pPr>
            <w:hyperlink w:anchor="page35">
              <w:r>
                <w:rPr>
                  <w:rFonts w:ascii="Arial" w:cs="Arial" w:eastAsia="Arial" w:hAnsi="Arial"/>
                  <w:sz w:val="15"/>
                  <w:szCs w:val="15"/>
                  <w:color w:val="0000EE"/>
                </w:rPr>
                <w:t>PROSPECTUS SUMMARY</w:t>
              </w:r>
            </w:hyperlink>
          </w:p>
        </w:tc>
        <w:tc>
          <w:tcPr>
            <w:tcW w:w="850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FORWARD-LOOKING STATEMENTS</w:t>
              </w:r>
            </w:hyperlink>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1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DILUTION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DIVIDEND POLICY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DESCRIPTION OF CAPITAL STOCK</w:t>
              </w:r>
            </w:hyperlink>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1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THE DEPOSITARY SHARES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THE WARRANTS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UNITS</w:t>
              </w:r>
            </w:hyperlink>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THE DEBT SECURITIES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WHERE YOU CAN FIND MORE INFORMATION</w:t>
              </w:r>
            </w:hyperlink>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$100,000,000.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3,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specialize in the development, production and sale of innovative medications that offer unique competitive advantages and serve unmet needs in the marketplace through our subsidiaries and deconsolidated companies. We own one of the nation’s leading ophthalmology-focused pharmaceutical businesses, ImprimisRx. In addition to wholly owning ImprimisRx, we also have equity positions in Eton Pharmaceuticals, Inc., Surface Pharmaceuticals, Inc., or Surface, and Melt Pharmaceuticals, Inc., or Melt, all companies that began as our subsidiaries. More recently, we founded drug development subsidiaries Mayfield Pharmaceuticals, Inc., or Mayfield, Radley Pharmaceuticals, Inc., or Radley, and Stowe Pharmaceuticals, Inc. In 2020, we created Visionology, Inc., which intends to launch an online eye health platform business. We also own royalty rights in various drug candidates being developed by Surface, Melt, Radley and Mayfield. We intend to continue to create, and hold equity and royalty rights in, new businesses that commercialize drug candidates that are internally developed or otherwise acquired or licensed from third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ImprimisRx is our ophthalmology focused pharmaceutical compounding business. We offer to over 7,000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U.S. Food and Drug Administration, or FDA, guidance documents, in our FDA-registered outsourcing facility located in New Jersey.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significant operating losses and negative cash flows from operations since July 24, 1998 (inception). In addition, we have an accumulated deficit of approximately $87.0 million at March 31, 2020. Although we have recently been generating revenue from our pharmaceutical compounding operations, we expect to incur further losses as we integrate and develop our pharmacy operations, evaluate other programs and continue the development of our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novel strain of coronavirus was first identified in Wuhan, China in December 2019. The disease caused by it, COVID-19, was declared a global pandemic by the World Health Organization in March 2020. On March 18, 2020, the Centers for Medicare &amp; Medicaid Services, or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jc w:val="both"/>
        <w:ind w:firstLine="648"/>
        <w:spacing w:after="0" w:line="275" w:lineRule="auto"/>
        <w:rPr>
          <w:sz w:val="20"/>
          <w:szCs w:val="20"/>
          <w:color w:val="auto"/>
        </w:rPr>
      </w:pPr>
      <w:r>
        <w:rPr>
          <w:rFonts w:ascii="Arial" w:cs="Arial" w:eastAsia="Arial" w:hAnsi="Arial"/>
          <w:sz w:val="17"/>
          <w:szCs w:val="17"/>
          <w:color w:val="auto"/>
        </w:rPr>
        <w:t>In response to the pandemic and business disruptions, first and foremost, we have prioritized the health and safety of our employees, customers, suppliers and others with whom we partner in our business activities. Many of our customers use its drugs in procedures impacted by the CMS guidance to limit elective procedures. In addition, we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Reductions in elective procedures in response to CMS guidance have had an adverse impact on our revenues, profitability and cash flows. The extent and duration of the impact will depend upon the extent of procedure postponements and the duration of the pandemic. Near the beginning of May 2020, some U.S. states and geographies began easing restrictions associated with the COVID-19 pandemic including those restrictions related to elective procedures. We are hopeful sales of our products will return to historical norms and trends as other states and governmental authorities ease restrictions associated with elective procedures and the COVID-19 pandemic. However, given the unprecedented and dynamic nature of the COVID-19 pandemic, we cannot reasonably estimate the impacts it may have on our financial condition, results of operations or cash flows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executive offices are located at 102 Woodmont Blvd., Suite 610, Nashville, Tennessee 37205 and our telephone number at such office is (615) 733-4730. Our website address is harrowinc.com. Information contained on our website is not deemed part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offer up to $100.0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2019 and in our Quarterly Report on Form 10-Q for the three months ended March 31, 2020, which are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2020 there were approximately 103 stockholders of record (excluding an indeterminable number of stockholders whose shares are held in street or “nominee” name) of our common stock. In addition, as of March 31, 2020, there were outstanding (i) options to acquire 2,952,466 shares of our common stock with a weighted average exercise price of $5.49 per share, (ii) warrants to purchase 780,386 shares of common stock with a weighted average exercise price of $2.12 per share, (iii) 1,520,786 unvested restricted stock units, and (iv) 244,460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“HROW”. 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ind w:right="20"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4"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Harrow Health, Inc. appearing in the Company’s Annual Report on Form 10-K for the fiscal year ended December 31, 2019, filed with the SEC on March 13, 2020,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filed with the SEC on March 13,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filed with the SEC on May 11, 2020;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28, 2020, March 17, 2020, April 3, 2020, April 29, 2020 and June 8, 2020;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 Woodmont Blvd., Suite 610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$17,500,000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568960</wp:posOffset>
            </wp:positionV>
            <wp:extent cx="1457325" cy="514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73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8.625%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568960</wp:posOffset>
            </wp:positionV>
            <wp:extent cx="21431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147955</wp:posOffset>
            </wp:positionV>
            <wp:extent cx="21431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Book-Running Managers</w:t>
      </w:r>
    </w:p>
    <w:p>
      <w:pPr>
        <w:spacing w:after="0" w:line="205" w:lineRule="exact"/>
        <w:rPr>
          <w:sz w:val="20"/>
          <w:szCs w:val="20"/>
          <w:color w:val="auto"/>
        </w:rPr>
      </w:pPr>
    </w:p>
    <w:p>
      <w:pPr>
        <w:ind w:left="660"/>
        <w:spacing w:after="0"/>
        <w:tabs>
          <w:tab w:leader="none" w:pos="6160" w:val="left"/>
        </w:tabs>
        <w:rPr>
          <w:sz w:val="20"/>
          <w:szCs w:val="20"/>
          <w:color w:val="auto"/>
        </w:rPr>
      </w:pPr>
      <w:r>
        <w:rPr>
          <w:rFonts w:ascii="Arial" w:cs="Arial" w:eastAsia="Arial" w:hAnsi="Arial"/>
          <w:sz w:val="25"/>
          <w:szCs w:val="25"/>
          <w:b w:val="1"/>
          <w:bCs w:val="1"/>
          <w:color w:val="auto"/>
        </w:rPr>
        <w:t>B. Riley Securities</w:t>
      </w:r>
      <w:r>
        <w:rPr>
          <w:sz w:val="20"/>
          <w:szCs w:val="20"/>
          <w:color w:val="auto"/>
        </w:rPr>
        <w:tab/>
      </w:r>
      <w:r>
        <w:rPr>
          <w:rFonts w:ascii="Arial" w:cs="Arial" w:eastAsia="Arial" w:hAnsi="Arial"/>
          <w:sz w:val="23"/>
          <w:szCs w:val="23"/>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June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147955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182245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499745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lvl w:ilvl="1">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2021-06-15T16:21:01Z</dcterms:created>
  <dcterms:modified xsi:type="dcterms:W3CDTF">2021-06-15T16:21:01Z</dcterms:modified>
</cp:coreProperties>
</file>