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ind w:left="3880" w:right="1920" w:hanging="3872"/>
        <w:spacing w:after="0" w:line="500" w:lineRule="auto"/>
        <w:tabs>
          <w:tab w:leader="none" w:pos="20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240" w:right="1900" w:hanging="3232"/>
        <w:spacing w:after="0" w:line="500" w:lineRule="auto"/>
        <w:tabs>
          <w:tab w:leader="none" w:pos="21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 to _____________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28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Delaware</w:t>
            </w: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jc w:val="right"/>
              <w:ind w:right="223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4280" w:type="dxa"/>
            <w:vAlign w:val="bottom"/>
          </w:tcPr>
          <w:p>
            <w:pPr>
              <w:jc w:val="center"/>
              <w:ind w:left="1150"/>
              <w:spacing w:after="0"/>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center"/>
              <w:ind w:right="1770"/>
              <w:spacing w:after="0"/>
              <w:rPr>
                <w:sz w:val="20"/>
                <w:szCs w:val="20"/>
                <w:color w:val="auto"/>
              </w:rPr>
            </w:pPr>
            <w:r>
              <w:rPr>
                <w:rFonts w:ascii="Arial" w:cs="Arial" w:eastAsia="Arial" w:hAnsi="Arial"/>
                <w:sz w:val="18"/>
                <w:szCs w:val="18"/>
                <w:color w:val="auto"/>
                <w:w w:val="92"/>
              </w:rPr>
              <w:t>(I.R.S. Employer</w:t>
            </w:r>
          </w:p>
        </w:tc>
      </w:tr>
      <w:tr>
        <w:trPr>
          <w:trHeight w:val="230"/>
        </w:trPr>
        <w:tc>
          <w:tcPr>
            <w:tcW w:w="4280" w:type="dxa"/>
            <w:vAlign w:val="bottom"/>
          </w:tcPr>
          <w:p>
            <w:pPr>
              <w:jc w:val="center"/>
              <w:ind w:left="1150"/>
              <w:spacing w:after="0"/>
              <w:rPr>
                <w:sz w:val="20"/>
                <w:szCs w:val="20"/>
                <w:color w:val="auto"/>
              </w:rPr>
            </w:pPr>
            <w:r>
              <w:rPr>
                <w:rFonts w:ascii="Arial" w:cs="Arial" w:eastAsia="Arial" w:hAnsi="Arial"/>
                <w:sz w:val="18"/>
                <w:szCs w:val="18"/>
                <w:color w:val="auto"/>
                <w:w w:val="92"/>
              </w:rPr>
              <w:t>incorporation or organization)</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tcPr>
          <w:p>
            <w:pPr>
              <w:jc w:val="center"/>
              <w:ind w:right="17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280" w:type="dxa"/>
            <w:vAlign w:val="bottom"/>
          </w:tcPr>
          <w:p>
            <w:pPr>
              <w:jc w:val="center"/>
              <w:ind w:left="1150"/>
              <w:spacing w:after="0"/>
              <w:rPr>
                <w:sz w:val="20"/>
                <w:szCs w:val="20"/>
                <w:color w:val="auto"/>
              </w:rPr>
            </w:pPr>
            <w:r>
              <w:rPr>
                <w:rFonts w:ascii="Arial" w:cs="Arial" w:eastAsia="Arial" w:hAnsi="Arial"/>
                <w:sz w:val="18"/>
                <w:szCs w:val="18"/>
                <w:b w:val="1"/>
                <w:bCs w:val="1"/>
                <w:color w:val="auto"/>
                <w:w w:val="89"/>
              </w:rPr>
              <w:t>102 Woodmont Blvd., Suite 610</w:t>
            </w: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20"/>
        </w:trPr>
        <w:tc>
          <w:tcPr>
            <w:tcW w:w="4280" w:type="dxa"/>
            <w:vAlign w:val="bottom"/>
          </w:tcPr>
          <w:p>
            <w:pPr>
              <w:jc w:val="center"/>
              <w:ind w:left="1150"/>
              <w:spacing w:after="0"/>
              <w:rPr>
                <w:sz w:val="20"/>
                <w:szCs w:val="20"/>
                <w:color w:val="auto"/>
              </w:rPr>
            </w:pPr>
            <w:r>
              <w:rPr>
                <w:rFonts w:ascii="Arial" w:cs="Arial" w:eastAsia="Arial" w:hAnsi="Arial"/>
                <w:sz w:val="18"/>
                <w:szCs w:val="18"/>
                <w:b w:val="1"/>
                <w:bCs w:val="1"/>
                <w:color w:val="auto"/>
                <w:w w:val="85"/>
              </w:rPr>
              <w:t>Nashville, Tennessee</w:t>
            </w: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jc w:val="right"/>
              <w:ind w:right="2430"/>
              <w:spacing w:after="0"/>
              <w:rPr>
                <w:sz w:val="20"/>
                <w:szCs w:val="20"/>
                <w:color w:val="auto"/>
              </w:rPr>
            </w:pPr>
            <w:r>
              <w:rPr>
                <w:rFonts w:ascii="Arial" w:cs="Arial" w:eastAsia="Arial" w:hAnsi="Arial"/>
                <w:sz w:val="18"/>
                <w:szCs w:val="18"/>
                <w:b w:val="1"/>
                <w:bCs w:val="1"/>
                <w:color w:val="auto"/>
              </w:rPr>
              <w:t>37205</w:t>
            </w:r>
          </w:p>
        </w:tc>
      </w:tr>
      <w:tr>
        <w:trPr>
          <w:trHeight w:val="230"/>
        </w:trPr>
        <w:tc>
          <w:tcPr>
            <w:tcW w:w="4280" w:type="dxa"/>
            <w:vAlign w:val="bottom"/>
          </w:tcPr>
          <w:p>
            <w:pPr>
              <w:jc w:val="center"/>
              <w:ind w:left="1150"/>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tcPr>
          <w:p>
            <w:pPr>
              <w:jc w:val="center"/>
              <w:ind w:right="1770"/>
              <w:spacing w:after="0"/>
              <w:rPr>
                <w:sz w:val="20"/>
                <w:szCs w:val="20"/>
                <w:color w:val="auto"/>
              </w:rPr>
            </w:pPr>
            <w:r>
              <w:rPr>
                <w:rFonts w:ascii="Arial" w:cs="Arial" w:eastAsia="Arial" w:hAnsi="Arial"/>
                <w:sz w:val="18"/>
                <w:szCs w:val="18"/>
                <w:color w:val="auto"/>
                <w:w w:val="91"/>
              </w:rPr>
              <w:t>(Zip code)</w:t>
            </w:r>
          </w:p>
        </w:tc>
      </w:tr>
      <w:tr>
        <w:trPr>
          <w:trHeight w:val="418"/>
        </w:trPr>
        <w:tc>
          <w:tcPr>
            <w:tcW w:w="4280" w:type="dxa"/>
            <w:vAlign w:val="bottom"/>
          </w:tcPr>
          <w:p>
            <w:pPr>
              <w:spacing w:after="0"/>
              <w:rPr>
                <w:sz w:val="24"/>
                <w:szCs w:val="24"/>
                <w:color w:val="auto"/>
              </w:rPr>
            </w:pPr>
          </w:p>
        </w:tc>
        <w:tc>
          <w:tcPr>
            <w:tcW w:w="246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0"/>
              </w:rPr>
              <w:t>(615) 733-4730</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0"/>
        </w:trPr>
        <w:tc>
          <w:tcPr>
            <w:tcW w:w="7600" w:type="dxa"/>
            <w:vAlign w:val="bottom"/>
            <w:gridSpan w:val="5"/>
          </w:tcPr>
          <w:p>
            <w:pPr>
              <w:jc w:val="center"/>
              <w:ind w:left="3550"/>
              <w:spacing w:after="0"/>
              <w:rPr>
                <w:sz w:val="20"/>
                <w:szCs w:val="20"/>
                <w:color w:val="auto"/>
              </w:rPr>
            </w:pPr>
            <w:r>
              <w:rPr>
                <w:rFonts w:ascii="Arial" w:cs="Arial" w:eastAsia="Arial" w:hAnsi="Arial"/>
                <w:sz w:val="18"/>
                <w:szCs w:val="18"/>
                <w:color w:val="auto"/>
                <w:w w:val="89"/>
              </w:rPr>
              <w:t>(Registrant’s telephone number, including area code)</w:t>
            </w:r>
          </w:p>
        </w:tc>
        <w:tc>
          <w:tcPr>
            <w:tcW w:w="3640" w:type="dxa"/>
            <w:vAlign w:val="bottom"/>
          </w:tcPr>
          <w:p>
            <w:pPr>
              <w:spacing w:after="0"/>
              <w:rPr>
                <w:sz w:val="20"/>
                <w:szCs w:val="20"/>
                <w:color w:val="auto"/>
              </w:rPr>
            </w:pPr>
          </w:p>
        </w:tc>
      </w:tr>
      <w:tr>
        <w:trPr>
          <w:trHeight w:val="432"/>
        </w:trPr>
        <w:tc>
          <w:tcPr>
            <w:tcW w:w="4280" w:type="dxa"/>
            <w:vAlign w:val="bottom"/>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52"/>
        </w:trPr>
        <w:tc>
          <w:tcPr>
            <w:tcW w:w="428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220" w:type="dxa"/>
            <w:vAlign w:val="bottom"/>
          </w:tcPr>
          <w:p>
            <w:pPr>
              <w:spacing w:after="0"/>
              <w:rPr>
                <w:sz w:val="24"/>
                <w:szCs w:val="24"/>
                <w:color w:val="auto"/>
              </w:rPr>
            </w:pPr>
          </w:p>
        </w:tc>
        <w:tc>
          <w:tcPr>
            <w:tcW w:w="31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Trading Symbol(s)</w:t>
            </w:r>
          </w:p>
        </w:tc>
        <w:tc>
          <w:tcPr>
            <w:tcW w:w="3640" w:type="dxa"/>
            <w:vAlign w:val="bottom"/>
          </w:tcPr>
          <w:p>
            <w:pPr>
              <w:jc w:val="center"/>
              <w:ind w:right="550"/>
              <w:spacing w:after="0"/>
              <w:rPr>
                <w:sz w:val="20"/>
                <w:szCs w:val="20"/>
                <w:color w:val="auto"/>
              </w:rPr>
            </w:pPr>
            <w:r>
              <w:rPr>
                <w:rFonts w:ascii="Arial" w:cs="Arial" w:eastAsia="Arial" w:hAnsi="Arial"/>
                <w:sz w:val="18"/>
                <w:szCs w:val="18"/>
                <w:color w:val="auto"/>
                <w:w w:val="89"/>
              </w:rPr>
              <w:t>Name on exchange on which registered</w:t>
            </w:r>
          </w:p>
        </w:tc>
      </w:tr>
      <w:tr>
        <w:trPr>
          <w:trHeight w:val="202"/>
        </w:trPr>
        <w:tc>
          <w:tcPr>
            <w:tcW w:w="42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$0.001 par value per share</w:t>
            </w:r>
          </w:p>
        </w:tc>
        <w:tc>
          <w:tcPr>
            <w:tcW w:w="220" w:type="dxa"/>
            <w:vAlign w:val="bottom"/>
          </w:tcPr>
          <w:p>
            <w:pPr>
              <w:spacing w:after="0"/>
              <w:rPr>
                <w:sz w:val="17"/>
                <w:szCs w:val="17"/>
                <w:color w:val="auto"/>
              </w:rPr>
            </w:pPr>
          </w:p>
        </w:tc>
        <w:tc>
          <w:tcPr>
            <w:tcW w:w="22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HROW</w:t>
            </w:r>
          </w:p>
        </w:tc>
        <w:tc>
          <w:tcPr>
            <w:tcW w:w="2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jc w:val="center"/>
              <w:ind w:right="530"/>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4280" w:type="dxa"/>
            <w:vAlign w:val="bottom"/>
          </w:tcPr>
          <w:p>
            <w:pPr>
              <w:jc w:val="center"/>
              <w:spacing w:after="0"/>
              <w:rPr>
                <w:sz w:val="20"/>
                <w:szCs w:val="20"/>
                <w:color w:val="auto"/>
              </w:rPr>
            </w:pPr>
            <w:r>
              <w:rPr>
                <w:rFonts w:ascii="Arial" w:cs="Arial" w:eastAsia="Arial" w:hAnsi="Arial"/>
                <w:sz w:val="18"/>
                <w:szCs w:val="18"/>
                <w:color w:val="auto"/>
                <w:w w:val="89"/>
              </w:rPr>
              <w:t>8.625% Senior Notes due 2026</w:t>
            </w:r>
          </w:p>
        </w:tc>
        <w:tc>
          <w:tcPr>
            <w:tcW w:w="220" w:type="dxa"/>
            <w:vAlign w:val="bottom"/>
          </w:tcPr>
          <w:p>
            <w:pPr>
              <w:spacing w:after="0"/>
              <w:rPr>
                <w:sz w:val="18"/>
                <w:szCs w:val="18"/>
                <w:color w:val="auto"/>
              </w:rPr>
            </w:pPr>
          </w:p>
        </w:tc>
        <w:tc>
          <w:tcPr>
            <w:tcW w:w="3100" w:type="dxa"/>
            <w:vAlign w:val="bottom"/>
            <w:gridSpan w:val="3"/>
          </w:tcPr>
          <w:p>
            <w:pPr>
              <w:jc w:val="center"/>
              <w:ind w:right="840"/>
              <w:spacing w:after="0"/>
              <w:rPr>
                <w:sz w:val="20"/>
                <w:szCs w:val="20"/>
                <w:color w:val="auto"/>
              </w:rPr>
            </w:pPr>
            <w:r>
              <w:rPr>
                <w:rFonts w:ascii="Arial" w:cs="Arial" w:eastAsia="Arial" w:hAnsi="Arial"/>
                <w:sz w:val="18"/>
                <w:szCs w:val="18"/>
                <w:color w:val="auto"/>
                <w:w w:val="98"/>
              </w:rPr>
              <w:t>HROWL</w:t>
            </w:r>
          </w:p>
        </w:tc>
        <w:tc>
          <w:tcPr>
            <w:tcW w:w="3640" w:type="dxa"/>
            <w:vAlign w:val="bottom"/>
          </w:tcPr>
          <w:p>
            <w:pPr>
              <w:jc w:val="center"/>
              <w:ind w:right="53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89"/>
              </w:rPr>
              <w:t>11.875% Senior Notes due 2027</w:t>
            </w:r>
          </w:p>
        </w:tc>
        <w:tc>
          <w:tcPr>
            <w:tcW w:w="220" w:type="dxa"/>
            <w:vAlign w:val="bottom"/>
          </w:tcPr>
          <w:p>
            <w:pPr>
              <w:spacing w:after="0"/>
              <w:rPr>
                <w:sz w:val="20"/>
                <w:szCs w:val="20"/>
                <w:color w:val="auto"/>
              </w:rPr>
            </w:pPr>
          </w:p>
        </w:tc>
        <w:tc>
          <w:tcPr>
            <w:tcW w:w="3100" w:type="dxa"/>
            <w:vAlign w:val="bottom"/>
            <w:gridSpan w:val="3"/>
          </w:tcPr>
          <w:p>
            <w:pPr>
              <w:jc w:val="center"/>
              <w:ind w:right="860"/>
              <w:spacing w:after="0"/>
              <w:rPr>
                <w:sz w:val="20"/>
                <w:szCs w:val="20"/>
                <w:color w:val="auto"/>
              </w:rPr>
            </w:pPr>
            <w:r>
              <w:rPr>
                <w:rFonts w:ascii="Arial" w:cs="Arial" w:eastAsia="Arial" w:hAnsi="Arial"/>
                <w:sz w:val="18"/>
                <w:szCs w:val="18"/>
                <w:color w:val="auto"/>
                <w:w w:val="99"/>
              </w:rPr>
              <w:t>HROWM</w:t>
            </w:r>
          </w:p>
        </w:tc>
        <w:tc>
          <w:tcPr>
            <w:tcW w:w="3640" w:type="dxa"/>
            <w:vAlign w:val="bottom"/>
          </w:tcPr>
          <w:p>
            <w:pPr>
              <w:jc w:val="center"/>
              <w:ind w:right="530"/>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1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260"/>
              <w:spacing w:after="0"/>
              <w:rPr>
                <w:sz w:val="20"/>
                <w:szCs w:val="20"/>
                <w:color w:val="auto"/>
              </w:rPr>
            </w:pPr>
            <w:r>
              <w:rPr>
                <w:rFonts w:ascii="Arial" w:cs="Arial" w:eastAsia="Arial" w:hAnsi="Arial"/>
                <w:sz w:val="18"/>
                <w:szCs w:val="18"/>
                <w:color w:val="auto"/>
              </w:rPr>
              <w:t>Accelerated filer</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Non-accelerated filer</w:t>
            </w:r>
          </w:p>
        </w:tc>
        <w:tc>
          <w:tcPr>
            <w:tcW w:w="29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260"/>
              <w:spacing w:after="0"/>
              <w:rPr>
                <w:sz w:val="20"/>
                <w:szCs w:val="20"/>
                <w:color w:val="auto"/>
              </w:rPr>
            </w:pPr>
            <w:r>
              <w:rPr>
                <w:rFonts w:ascii="Arial" w:cs="Arial" w:eastAsia="Arial" w:hAnsi="Arial"/>
                <w:sz w:val="18"/>
                <w:szCs w:val="18"/>
                <w:color w:val="auto"/>
              </w:rPr>
              <w:t>Smaller reporting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880" w:type="dxa"/>
            <w:vAlign w:val="bottom"/>
          </w:tcPr>
          <w:p>
            <w:pPr>
              <w:ind w:left="2260"/>
              <w:spacing w:after="0"/>
              <w:rPr>
                <w:sz w:val="20"/>
                <w:szCs w:val="20"/>
                <w:color w:val="auto"/>
              </w:rPr>
            </w:pPr>
            <w:r>
              <w:rPr>
                <w:rFonts w:ascii="Arial" w:cs="Arial" w:eastAsia="Arial" w:hAnsi="Arial"/>
                <w:sz w:val="18"/>
                <w:szCs w:val="18"/>
                <w:color w:val="auto"/>
              </w:rPr>
              <w:t>Emerging growth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9"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As of August 9, 2023, there were 35,115,254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120" w:type="dxa"/>
            <w:vAlign w:val="bottom"/>
            <w:gridSpan w:val="5"/>
          </w:tcPr>
          <w:p>
            <w:pPr>
              <w:jc w:val="center"/>
              <w:ind w:right="2840"/>
              <w:spacing w:after="0"/>
              <w:rPr>
                <w:sz w:val="20"/>
                <w:szCs w:val="20"/>
                <w:color w:val="auto"/>
              </w:rPr>
            </w:pPr>
            <w:r>
              <w:rPr>
                <w:rFonts w:ascii="Arial" w:cs="Arial" w:eastAsia="Arial" w:hAnsi="Arial"/>
                <w:sz w:val="18"/>
                <w:szCs w:val="18"/>
                <w:b w:val="1"/>
                <w:bCs w:val="1"/>
                <w:color w:val="auto"/>
              </w:rPr>
              <w:t>HARROW HEALTH, INC.</w:t>
            </w:r>
          </w:p>
        </w:tc>
        <w:tc>
          <w:tcPr>
            <w:tcW w:w="640" w:type="dxa"/>
            <w:vAlign w:val="bottom"/>
          </w:tcPr>
          <w:p>
            <w:pPr>
              <w:spacing w:after="0"/>
              <w:rPr>
                <w:sz w:val="20"/>
                <w:szCs w:val="20"/>
                <w:color w:val="auto"/>
              </w:rPr>
            </w:pPr>
          </w:p>
        </w:tc>
      </w:tr>
      <w:tr>
        <w:trPr>
          <w:trHeight w:val="392"/>
        </w:trPr>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20" w:type="dxa"/>
            <w:vAlign w:val="bottom"/>
            <w:gridSpan w:val="5"/>
          </w:tcPr>
          <w:p>
            <w:pPr>
              <w:jc w:val="center"/>
              <w:ind w:right="2840"/>
              <w:spacing w:after="0"/>
              <w:rPr>
                <w:sz w:val="20"/>
                <w:szCs w:val="20"/>
                <w:color w:val="auto"/>
              </w:rPr>
            </w:pPr>
            <w:r>
              <w:rPr>
                <w:rFonts w:ascii="Arial" w:cs="Arial" w:eastAsia="Arial" w:hAnsi="Arial"/>
                <w:sz w:val="18"/>
                <w:szCs w:val="18"/>
                <w:color w:val="auto"/>
                <w:w w:val="90"/>
              </w:rPr>
              <w:t>Table of Contents</w:t>
            </w:r>
          </w:p>
        </w:tc>
        <w:tc>
          <w:tcPr>
            <w:tcW w:w="640" w:type="dxa"/>
            <w:vAlign w:val="bottom"/>
          </w:tcPr>
          <w:p>
            <w:pPr>
              <w:spacing w:after="0"/>
              <w:rPr>
                <w:sz w:val="24"/>
                <w:szCs w:val="24"/>
                <w:color w:val="auto"/>
              </w:rPr>
            </w:pPr>
          </w:p>
        </w:tc>
      </w:tr>
      <w:tr>
        <w:trPr>
          <w:trHeight w:val="473"/>
        </w:trPr>
        <w:tc>
          <w:tcPr>
            <w:tcW w:w="11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CCEEFF"/>
            </w:tcBorders>
          </w:tcPr>
          <w:p>
            <w:pPr>
              <w:spacing w:after="0"/>
              <w:rPr>
                <w:sz w:val="24"/>
                <w:szCs w:val="24"/>
                <w:color w:val="auto"/>
              </w:rPr>
            </w:pPr>
          </w:p>
        </w:tc>
        <w:tc>
          <w:tcPr>
            <w:tcW w:w="800" w:type="dxa"/>
            <w:vAlign w:val="bottom"/>
            <w:tcBorders>
              <w:top w:val="single" w:sz="8" w:color="auto"/>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30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r>
      <w:tr>
        <w:trPr>
          <w:trHeight w:val="196"/>
        </w:trPr>
        <w:tc>
          <w:tcPr>
            <w:tcW w:w="1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w:t>
            </w:r>
          </w:p>
        </w:tc>
        <w:tc>
          <w:tcPr>
            <w:tcW w:w="950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FINANCIAL INFORMATION</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6"/>
        </w:trPr>
        <w:tc>
          <w:tcPr>
            <w:tcW w:w="1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Item 1.</w:t>
            </w:r>
          </w:p>
        </w:tc>
        <w:tc>
          <w:tcPr>
            <w:tcW w:w="950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Financial Statements (unaudited)</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6"/>
        </w:trPr>
        <w:tc>
          <w:tcPr>
            <w:tcW w:w="1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Item 2.</w:t>
            </w:r>
          </w:p>
        </w:tc>
        <w:tc>
          <w:tcPr>
            <w:tcW w:w="950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6"/>
        </w:trPr>
        <w:tc>
          <w:tcPr>
            <w:tcW w:w="1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Item 3.</w:t>
            </w:r>
          </w:p>
        </w:tc>
        <w:tc>
          <w:tcPr>
            <w:tcW w:w="950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16"/>
        </w:trPr>
        <w:tc>
          <w:tcPr>
            <w:tcW w:w="1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Item 4.</w:t>
            </w:r>
          </w:p>
        </w:tc>
        <w:tc>
          <w:tcPr>
            <w:tcW w:w="950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16"/>
        </w:trPr>
        <w:tc>
          <w:tcPr>
            <w:tcW w:w="1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50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216"/>
        </w:trPr>
        <w:tc>
          <w:tcPr>
            <w:tcW w:w="1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Item 1.</w:t>
            </w:r>
          </w:p>
        </w:tc>
        <w:tc>
          <w:tcPr>
            <w:tcW w:w="950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216"/>
        </w:trPr>
        <w:tc>
          <w:tcPr>
            <w:tcW w:w="1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Item 1A.</w:t>
            </w:r>
          </w:p>
        </w:tc>
        <w:tc>
          <w:tcPr>
            <w:tcW w:w="950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216"/>
        </w:trPr>
        <w:tc>
          <w:tcPr>
            <w:tcW w:w="1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Item 2.</w:t>
            </w:r>
          </w:p>
        </w:tc>
        <w:tc>
          <w:tcPr>
            <w:tcW w:w="950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216"/>
        </w:trPr>
        <w:tc>
          <w:tcPr>
            <w:tcW w:w="1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Item 3.</w:t>
            </w:r>
          </w:p>
        </w:tc>
        <w:tc>
          <w:tcPr>
            <w:tcW w:w="950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216"/>
        </w:trPr>
        <w:tc>
          <w:tcPr>
            <w:tcW w:w="1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Item 4.</w:t>
            </w:r>
          </w:p>
        </w:tc>
        <w:tc>
          <w:tcPr>
            <w:tcW w:w="950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216"/>
        </w:trPr>
        <w:tc>
          <w:tcPr>
            <w:tcW w:w="1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Item 5.</w:t>
            </w:r>
          </w:p>
        </w:tc>
        <w:tc>
          <w:tcPr>
            <w:tcW w:w="950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216"/>
        </w:trPr>
        <w:tc>
          <w:tcPr>
            <w:tcW w:w="1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Item 6.</w:t>
            </w:r>
          </w:p>
        </w:tc>
        <w:tc>
          <w:tcPr>
            <w:tcW w:w="950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r>
      <w:tr>
        <w:trPr>
          <w:trHeight w:val="216"/>
        </w:trPr>
        <w:tc>
          <w:tcPr>
            <w:tcW w:w="1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rPr>
                <w:sz w:val="17"/>
                <w:szCs w:val="17"/>
                <w:color w:val="auto"/>
              </w:rPr>
            </w:pPr>
          </w:p>
        </w:tc>
        <w:tc>
          <w:tcPr>
            <w:tcW w:w="950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0000EE"/>
              </w:rPr>
              <w:t>Signatures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439"/>
        </w:trPr>
        <w:tc>
          <w:tcPr>
            <w:tcW w:w="110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400" w:type="dxa"/>
            <w:vAlign w:val="bottom"/>
            <w:tcBorders>
              <w:top w:val="single" w:sz="8" w:color="CCEEFF"/>
              <w:bottom w:val="single" w:sz="8" w:color="auto"/>
            </w:tcBorders>
            <w:gridSpan w:val="11"/>
          </w:tcPr>
          <w:p>
            <w:pPr>
              <w:jc w:val="center"/>
              <w:ind w:left="3030"/>
              <w:spacing w:after="0"/>
              <w:rPr>
                <w:sz w:val="20"/>
                <w:szCs w:val="20"/>
                <w:color w:val="auto"/>
              </w:rPr>
            </w:pPr>
            <w:r>
              <w:rPr>
                <w:rFonts w:ascii="Arial" w:cs="Arial" w:eastAsia="Arial" w:hAnsi="Arial"/>
                <w:sz w:val="18"/>
                <w:szCs w:val="18"/>
                <w:color w:val="auto"/>
                <w:w w:val="79"/>
              </w:rPr>
              <w:t>2</w:t>
            </w:r>
          </w:p>
        </w:tc>
        <w:tc>
          <w:tcPr>
            <w:tcW w:w="1300" w:type="dxa"/>
            <w:vAlign w:val="bottom"/>
            <w:tcBorders>
              <w:top w:val="single" w:sz="8" w:color="CCEEFF"/>
              <w:bottom w:val="single" w:sz="8" w:color="auto"/>
            </w:tcBorders>
          </w:tcPr>
          <w:p>
            <w:pPr>
              <w:spacing w:after="0"/>
              <w:rPr>
                <w:sz w:val="24"/>
                <w:szCs w:val="24"/>
                <w:color w:val="auto"/>
              </w:rPr>
            </w:pPr>
          </w:p>
        </w:tc>
        <w:tc>
          <w:tcPr>
            <w:tcW w:w="304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June 30,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December 31,</w:t>
            </w:r>
          </w:p>
        </w:tc>
      </w:tr>
      <w:tr>
        <w:trPr>
          <w:trHeight w:val="237"/>
        </w:trPr>
        <w:tc>
          <w:tcPr>
            <w:tcW w:w="7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r>
      <w:tr>
        <w:trPr>
          <w:trHeight w:val="216"/>
        </w:trPr>
        <w:tc>
          <w:tcPr>
            <w:tcW w:w="7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color w:val="auto"/>
                <w:w w:val="93"/>
              </w:rPr>
              <w:t>(Unaudited)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ind w:left="3380"/>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22,754,000</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96,270,000</w:t>
            </w: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Investment in Eton Pharmaceuticals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6,917,000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5,589,000</w:t>
            </w: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18,258,000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6,249,000</w:t>
            </w: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8,555,000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6,541,000</w:t>
            </w:r>
          </w:p>
        </w:tc>
        <w:tc>
          <w:tcPr>
            <w:tcW w:w="100" w:type="dxa"/>
            <w:vAlign w:val="bottom"/>
          </w:tcPr>
          <w:p>
            <w:pPr>
              <w:spacing w:after="0"/>
              <w:rPr>
                <w:sz w:val="18"/>
                <w:szCs w:val="18"/>
                <w:color w:val="auto"/>
              </w:rPr>
            </w:pPr>
          </w:p>
        </w:tc>
      </w:tr>
      <w:tr>
        <w:trPr>
          <w:trHeight w:val="249"/>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3,812,000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3"/>
        </w:trPr>
        <w:tc>
          <w:tcPr>
            <w:tcW w:w="7640" w:type="dxa"/>
            <w:vAlign w:val="bottom"/>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60,296,000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118,260,000</w:t>
            </w:r>
          </w:p>
        </w:tc>
        <w:tc>
          <w:tcPr>
            <w:tcW w:w="100" w:type="dxa"/>
            <w:vAlign w:val="bottom"/>
          </w:tcPr>
          <w:p>
            <w:pPr>
              <w:spacing w:after="0"/>
              <w:rPr>
                <w:sz w:val="17"/>
                <w:szCs w:val="17"/>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3,486,000</w:t>
            </w: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Capitalized software costs,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2,136,000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2,112,000</w:t>
            </w: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1,950,000</w:t>
            </w: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Deferred tax asset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288,000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7,513,000</w:t>
            </w: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150,148,000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23,725,000</w:t>
            </w:r>
          </w:p>
        </w:tc>
        <w:tc>
          <w:tcPr>
            <w:tcW w:w="100" w:type="dxa"/>
            <w:vAlign w:val="bottom"/>
          </w:tcPr>
          <w:p>
            <w:pPr>
              <w:spacing w:after="0"/>
              <w:rPr>
                <w:sz w:val="18"/>
                <w:szCs w:val="18"/>
                <w:color w:val="auto"/>
              </w:rPr>
            </w:pPr>
          </w:p>
        </w:tc>
      </w:tr>
      <w:tr>
        <w:trPr>
          <w:trHeight w:val="250"/>
        </w:trPr>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332,000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56"/>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223,989,000</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157,378,000</w:t>
            </w:r>
          </w:p>
        </w:tc>
        <w:tc>
          <w:tcPr>
            <w:tcW w:w="100" w:type="dxa"/>
            <w:vAlign w:val="bottom"/>
            <w:tcBorders>
              <w:bottom w:val="single" w:sz="8" w:color="CCEEFF"/>
            </w:tcBorders>
          </w:tcPr>
          <w:p>
            <w:pPr>
              <w:spacing w:after="0"/>
              <w:rPr>
                <w:sz w:val="22"/>
                <w:szCs w:val="22"/>
                <w:color w:val="auto"/>
              </w:rPr>
            </w:pPr>
          </w:p>
        </w:tc>
      </w:tr>
      <w:tr>
        <w:trPr>
          <w:trHeight w:val="196"/>
        </w:trPr>
        <w:tc>
          <w:tcPr>
            <w:tcW w:w="7640" w:type="dxa"/>
            <w:vAlign w:val="bottom"/>
            <w:shd w:val="clear" w:color="auto" w:fill="CCEEFF"/>
          </w:tcPr>
          <w:p>
            <w:pPr>
              <w:ind w:left="1880"/>
              <w:spacing w:after="0" w:line="196" w:lineRule="exact"/>
              <w:rPr>
                <w:sz w:val="20"/>
                <w:szCs w:val="20"/>
                <w:color w:val="auto"/>
              </w:rPr>
            </w:pPr>
            <w:r>
              <w:rPr>
                <w:rFonts w:ascii="Arial" w:cs="Arial" w:eastAsia="Arial" w:hAnsi="Arial"/>
                <w:sz w:val="18"/>
                <w:szCs w:val="18"/>
                <w:color w:val="auto"/>
              </w:rPr>
              <w:t>LIABILITIES AND STOCKHOLDERS’ EQUITY</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17,822,000</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13,771,000</w:t>
            </w: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4,293,000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4,025,000</w:t>
            </w: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113,000</w:t>
            </w:r>
          </w:p>
        </w:tc>
        <w:tc>
          <w:tcPr>
            <w:tcW w:w="100" w:type="dxa"/>
            <w:vAlign w:val="bottom"/>
            <w:shd w:val="clear" w:color="auto" w:fill="CCEEFF"/>
          </w:tcPr>
          <w:p>
            <w:pPr>
              <w:spacing w:after="0"/>
              <w:rPr>
                <w:sz w:val="18"/>
                <w:szCs w:val="18"/>
                <w:color w:val="auto"/>
              </w:rPr>
            </w:pPr>
          </w:p>
        </w:tc>
      </w:tr>
      <w:tr>
        <w:trPr>
          <w:trHeight w:val="236"/>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Current portion of operating lease obligations</w:t>
            </w: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764,000</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723,000</w:t>
            </w:r>
          </w:p>
        </w:tc>
        <w:tc>
          <w:tcPr>
            <w:tcW w:w="100" w:type="dxa"/>
            <w:vAlign w:val="bottom"/>
            <w:tcBorders>
              <w:bottom w:val="single" w:sz="8" w:color="CCEEFF"/>
            </w:tcBorders>
          </w:tcPr>
          <w:p>
            <w:pPr>
              <w:spacing w:after="0"/>
              <w:rPr>
                <w:sz w:val="20"/>
                <w:szCs w:val="20"/>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23,011,000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18,632,000</w:t>
            </w: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Operating lease obligations, net of current portion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6,939,000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7,332,000</w:t>
            </w: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net of current portion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6"/>
        </w:trPr>
        <w:tc>
          <w:tcPr>
            <w:tcW w:w="7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Notes payable, net of unamortized debt discount</w:t>
            </w: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169,712,000</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104,174,000</w:t>
            </w:r>
          </w:p>
        </w:tc>
        <w:tc>
          <w:tcPr>
            <w:tcW w:w="100" w:type="dxa"/>
            <w:vAlign w:val="bottom"/>
            <w:tcBorders>
              <w:bottom w:val="single" w:sz="8" w:color="CCEEFF"/>
            </w:tcBorders>
          </w:tcPr>
          <w:p>
            <w:pPr>
              <w:spacing w:after="0"/>
              <w:rPr>
                <w:sz w:val="20"/>
                <w:szCs w:val="20"/>
                <w:color w:val="auto"/>
              </w:rPr>
            </w:pPr>
          </w:p>
        </w:tc>
      </w:tr>
      <w:tr>
        <w:trPr>
          <w:trHeight w:val="236"/>
        </w:trPr>
        <w:tc>
          <w:tcPr>
            <w:tcW w:w="7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201,937,000</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130,138,000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7640" w:type="dxa"/>
            <w:vAlign w:val="bottom"/>
          </w:tcPr>
          <w:p>
            <w:pPr>
              <w:spacing w:after="0" w:line="203" w:lineRule="exact"/>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640" w:type="dxa"/>
            <w:vAlign w:val="bottom"/>
          </w:tcPr>
          <w:p>
            <w:pPr>
              <w:ind w:left="360"/>
              <w:spacing w:after="0" w:line="201" w:lineRule="exact"/>
              <w:rPr>
                <w:sz w:val="20"/>
                <w:szCs w:val="20"/>
                <w:color w:val="auto"/>
              </w:rPr>
            </w:pPr>
            <w:r>
              <w:rPr>
                <w:rFonts w:ascii="Arial" w:cs="Arial" w:eastAsia="Arial" w:hAnsi="Arial"/>
                <w:sz w:val="18"/>
                <w:szCs w:val="18"/>
                <w:color w:val="auto"/>
                <w:w w:val="97"/>
              </w:rPr>
              <w:t>Common stock, $0.001 par value, 50,000,000 shares authorized, 30,276,938 and 29,901,530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shares issued and outstanding at June 30, 2023 and December 31, 2022, respectively</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0"/>
                <w:szCs w:val="20"/>
                <w:color w:val="auto"/>
              </w:rPr>
            </w:pPr>
          </w:p>
        </w:tc>
      </w:tr>
      <w:tr>
        <w:trPr>
          <w:trHeight w:val="216"/>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142,742,000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137,058,000</w:t>
            </w:r>
          </w:p>
        </w:tc>
        <w:tc>
          <w:tcPr>
            <w:tcW w:w="100" w:type="dxa"/>
            <w:vAlign w:val="bottom"/>
            <w:shd w:val="clear" w:color="auto" w:fill="CCEEFF"/>
          </w:tcPr>
          <w:p>
            <w:pPr>
              <w:spacing w:after="0"/>
              <w:rPr>
                <w:sz w:val="18"/>
                <w:szCs w:val="18"/>
                <w:color w:val="auto"/>
              </w:rPr>
            </w:pPr>
          </w:p>
        </w:tc>
      </w:tr>
      <w:tr>
        <w:trPr>
          <w:trHeight w:val="237"/>
        </w:trPr>
        <w:tc>
          <w:tcPr>
            <w:tcW w:w="76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(120,365,000)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(109,493,000)</w:t>
            </w:r>
          </w:p>
        </w:tc>
      </w:tr>
      <w:tr>
        <w:trPr>
          <w:trHeight w:val="216"/>
        </w:trPr>
        <w:tc>
          <w:tcPr>
            <w:tcW w:w="7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HARROW HEALTH STOCKHOLDERS’ EQUITY</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22,407,000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64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(355,000)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(355,000)</w:t>
            </w:r>
          </w:p>
        </w:tc>
      </w:tr>
      <w:tr>
        <w:trPr>
          <w:trHeight w:val="236"/>
        </w:trPr>
        <w:tc>
          <w:tcPr>
            <w:tcW w:w="76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22,052,000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764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223,989,000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157,378,000</w:t>
            </w:r>
          </w:p>
        </w:tc>
        <w:tc>
          <w:tcPr>
            <w:tcW w:w="100" w:type="dxa"/>
            <w:vAlign w:val="bottom"/>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5"/>
          </w:tcPr>
          <w:p>
            <w:pPr>
              <w:jc w:val="right"/>
              <w:ind w:right="481"/>
              <w:spacing w:after="0"/>
              <w:rPr>
                <w:sz w:val="20"/>
                <w:szCs w:val="20"/>
                <w:color w:val="auto"/>
              </w:rPr>
            </w:pPr>
            <w:r>
              <w:rPr>
                <w:rFonts w:ascii="Arial" w:cs="Arial" w:eastAsia="Arial" w:hAnsi="Arial"/>
                <w:sz w:val="18"/>
                <w:szCs w:val="18"/>
                <w:color w:val="auto"/>
                <w:w w:val="95"/>
              </w:rPr>
              <w:t>For the Three Months Ended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jc w:val="right"/>
              <w:ind w:right="521"/>
              <w:spacing w:after="0"/>
              <w:rPr>
                <w:sz w:val="20"/>
                <w:szCs w:val="20"/>
                <w:color w:val="auto"/>
              </w:rPr>
            </w:pPr>
            <w:r>
              <w:rPr>
                <w:rFonts w:ascii="Arial" w:cs="Arial" w:eastAsia="Arial" w:hAnsi="Arial"/>
                <w:sz w:val="18"/>
                <w:szCs w:val="18"/>
                <w:color w:val="auto"/>
              </w:rPr>
              <w:t>For the Six Months Ended</w:t>
            </w: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Product sales, net</w:t>
            </w:r>
          </w:p>
        </w:tc>
        <w:tc>
          <w:tcPr>
            <w:tcW w:w="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29,542,000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21,518,000</w:t>
            </w:r>
          </w:p>
        </w:tc>
        <w:tc>
          <w:tcPr>
            <w:tcW w:w="200" w:type="dxa"/>
            <w:vAlign w:val="bottom"/>
          </w:tcPr>
          <w:p>
            <w:pPr>
              <w:spacing w:after="0"/>
              <w:rPr>
                <w:sz w:val="18"/>
                <w:szCs w:val="18"/>
                <w:color w:val="auto"/>
              </w:rPr>
            </w:pP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1"/>
              <w:spacing w:after="0"/>
              <w:rPr>
                <w:sz w:val="20"/>
                <w:szCs w:val="20"/>
                <w:color w:val="auto"/>
              </w:rPr>
            </w:pPr>
            <w:r>
              <w:rPr>
                <w:rFonts w:ascii="Arial" w:cs="Arial" w:eastAsia="Arial" w:hAnsi="Arial"/>
                <w:sz w:val="18"/>
                <w:szCs w:val="18"/>
                <w:color w:val="auto"/>
              </w:rPr>
              <w:t>49,995,000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41,858,000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3,928,000</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1,805,000</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9,578,000</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33,470,000</w:t>
            </w:r>
          </w:p>
        </w:tc>
        <w:tc>
          <w:tcPr>
            <w:tcW w:w="3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23,323,000</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59,573,000</w:t>
            </w:r>
          </w:p>
        </w:tc>
        <w:tc>
          <w:tcPr>
            <w:tcW w:w="3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45,443,000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(10,000,000)</w:t>
            </w: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(6,534,000)</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(18,271,000)</w:t>
            </w: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(12,497,000)</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1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23,470,000</w:t>
            </w:r>
          </w:p>
        </w:tc>
        <w:tc>
          <w:tcPr>
            <w:tcW w:w="34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16,789,000</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41,302,000</w:t>
            </w:r>
          </w:p>
        </w:tc>
        <w:tc>
          <w:tcPr>
            <w:tcW w:w="3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32,946,000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19,957,000</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14,185,000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color w:val="auto"/>
              </w:rPr>
              <w:t>35,845,000</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27,583,000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1,161,000</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914,000</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1,895,000</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21,118,000</w:t>
            </w:r>
          </w:p>
        </w:tc>
        <w:tc>
          <w:tcPr>
            <w:tcW w:w="34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15,099,000</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37,740,000</w:t>
            </w:r>
          </w:p>
        </w:tc>
        <w:tc>
          <w:tcPr>
            <w:tcW w:w="3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29,155,000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2,352,000</w:t>
            </w:r>
          </w:p>
        </w:tc>
        <w:tc>
          <w:tcPr>
            <w:tcW w:w="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1,690,000</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3,562,000</w:t>
            </w:r>
          </w:p>
        </w:tc>
        <w:tc>
          <w:tcPr>
            <w:tcW w:w="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3,791,000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line="203" w:lineRule="exact"/>
              <w:rPr>
                <w:sz w:val="20"/>
                <w:szCs w:val="20"/>
                <w:color w:val="auto"/>
              </w:rPr>
            </w:pPr>
            <w:r>
              <w:rPr>
                <w:rFonts w:ascii="Arial" w:cs="Arial" w:eastAsia="Arial" w:hAnsi="Arial"/>
                <w:sz w:val="18"/>
                <w:szCs w:val="18"/>
                <w:color w:val="auto"/>
              </w:rPr>
              <w:t>Other(expense) income :</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(5,704,000)</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(1,794,000)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(10,451,000)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(3,586,000)</w:t>
            </w: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Equity in losses of unconsolidated entities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(2,646,000)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(5,532,000)</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(loss) gain from Eton Pharmaceuticals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(714,000)</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(3,449,000)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1,328,000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(3,310,000)</w:t>
            </w: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Arial" w:cs="Arial" w:eastAsia="Arial" w:hAnsi="Arial"/>
                <w:sz w:val="18"/>
                <w:szCs w:val="18"/>
                <w:color w:val="auto"/>
              </w:rPr>
              <w:t>(5,465,000)</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(178,000)</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(149,000)</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expense, net</w:t>
            </w:r>
          </w:p>
        </w:tc>
        <w:tc>
          <w:tcPr>
            <w:tcW w:w="1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(6,596,000</w:t>
            </w:r>
          </w:p>
        </w:tc>
        <w:tc>
          <w:tcPr>
            <w:tcW w:w="340" w:type="dxa"/>
            <w:vAlign w:val="bottom"/>
            <w:tcBorders>
              <w:top w:val="single" w:sz="8" w:color="CCEEFF"/>
              <w:bottom w:val="single" w:sz="8" w:color="CCEEFF"/>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(7,889,000</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(14,737,000</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(12,428,000</w:t>
            </w:r>
          </w:p>
        </w:tc>
        <w:tc>
          <w:tcPr>
            <w:tcW w:w="100" w:type="dxa"/>
            <w:vAlign w:val="bottom"/>
            <w:tcBorders>
              <w:top w:val="single" w:sz="8" w:color="CCEEFF"/>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(4,244,000)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(11,175,000)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20" w:type="dxa"/>
            <w:vAlign w:val="bottom"/>
          </w:tcPr>
          <w:p>
            <w:pPr>
              <w:ind w:left="180"/>
              <w:spacing w:after="0"/>
              <w:rPr>
                <w:sz w:val="20"/>
                <w:szCs w:val="20"/>
                <w:color w:val="auto"/>
              </w:rPr>
            </w:pPr>
            <w:r>
              <w:rPr>
                <w:rFonts w:ascii="Arial" w:cs="Arial" w:eastAsia="Arial" w:hAnsi="Arial"/>
                <w:sz w:val="18"/>
                <w:szCs w:val="18"/>
                <w:color w:val="auto"/>
              </w:rPr>
              <w:t>Income tax benefit (expense)</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15,000</w:t>
            </w:r>
          </w:p>
        </w:tc>
        <w:tc>
          <w:tcPr>
            <w:tcW w:w="280" w:type="dxa"/>
            <w:vAlign w:val="bottom"/>
          </w:tcPr>
          <w:p>
            <w:pPr>
              <w:spacing w:after="0"/>
              <w:rPr>
                <w:sz w:val="20"/>
                <w:szCs w:val="20"/>
                <w:color w:val="auto"/>
              </w:rPr>
            </w:pP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color w:val="auto"/>
              </w:rPr>
              <w:t>303,000</w:t>
            </w:r>
          </w:p>
        </w:tc>
        <w:tc>
          <w:tcPr>
            <w:tcW w:w="26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30"/>
        </w:trPr>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Harrow Health, Inc.</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(4,229,000</w:t>
            </w:r>
          </w:p>
        </w:tc>
        <w:tc>
          <w:tcPr>
            <w:tcW w:w="34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(6,239,000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(10,872,000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(8,677,000</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 of common stock</w:t>
            </w:r>
          </w:p>
        </w:tc>
        <w:tc>
          <w:tcPr>
            <w:tcW w:w="1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96"/>
        </w:trPr>
        <w:tc>
          <w:tcPr>
            <w:tcW w:w="50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(0.14</w:t>
            </w:r>
          </w:p>
        </w:tc>
        <w:tc>
          <w:tcPr>
            <w:tcW w:w="3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(0.23</w:t>
            </w:r>
          </w:p>
        </w:tc>
        <w:tc>
          <w:tcPr>
            <w:tcW w:w="2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(0.36</w:t>
            </w:r>
          </w:p>
        </w:tc>
        <w:tc>
          <w:tcPr>
            <w:tcW w:w="3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2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w w:val="93"/>
              </w:rPr>
              <w:t>Weighted average number of shares of common stock outstanding,</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30,458,677</w:t>
            </w: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27,303,458</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41"/>
              <w:spacing w:after="0"/>
              <w:rPr>
                <w:sz w:val="20"/>
                <w:szCs w:val="20"/>
                <w:color w:val="auto"/>
              </w:rPr>
            </w:pPr>
            <w:r>
              <w:rPr>
                <w:rFonts w:ascii="Arial" w:cs="Arial" w:eastAsia="Arial" w:hAnsi="Arial"/>
                <w:sz w:val="18"/>
                <w:szCs w:val="18"/>
                <w:color w:val="auto"/>
              </w:rPr>
              <w:t>30,379,354</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27,265,350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basic and diluted</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periods ended June 30, 2023 and 2022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8"/>
                <w:szCs w:val="18"/>
                <w:color w:val="auto"/>
                <w:w w:val="94"/>
              </w:rPr>
              <w:t>Total</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40" w:type="dxa"/>
            <w:vAlign w:val="bottom"/>
            <w:gridSpan w:val="8"/>
            <w:vMerge w:val="restart"/>
          </w:tcPr>
          <w:p>
            <w:pPr>
              <w:ind w:left="26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Harrow</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40" w:type="dxa"/>
            <w:vAlign w:val="bottom"/>
            <w:gridSpan w:val="8"/>
            <w:vMerge w:val="continue"/>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8"/>
                <w:szCs w:val="18"/>
                <w:color w:val="auto"/>
                <w:w w:val="98"/>
              </w:rPr>
              <w:t>Additional</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4"/>
          </w:tcPr>
          <w:p>
            <w:pPr>
              <w:jc w:val="center"/>
              <w:ind w:right="240"/>
              <w:spacing w:after="0"/>
              <w:rPr>
                <w:sz w:val="20"/>
                <w:szCs w:val="20"/>
                <w:color w:val="auto"/>
              </w:rPr>
            </w:pPr>
            <w:r>
              <w:rPr>
                <w:rFonts w:ascii="Arial" w:cs="Arial" w:eastAsia="Arial" w:hAnsi="Arial"/>
                <w:sz w:val="18"/>
                <w:szCs w:val="18"/>
                <w:color w:val="auto"/>
                <w:w w:val="94"/>
              </w:rPr>
              <w:t>Health, Inc.</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461"/>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02"/>
        </w:trPr>
        <w:tc>
          <w:tcPr>
            <w:tcW w:w="29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ind w:left="140"/>
              <w:spacing w:after="0" w:line="201" w:lineRule="exact"/>
              <w:rPr>
                <w:sz w:val="20"/>
                <w:szCs w:val="20"/>
                <w:color w:val="auto"/>
              </w:rPr>
            </w:pPr>
            <w:r>
              <w:rPr>
                <w:rFonts w:ascii="Arial" w:cs="Arial" w:eastAsia="Arial" w:hAnsi="Arial"/>
                <w:sz w:val="18"/>
                <w:szCs w:val="18"/>
                <w:color w:val="auto"/>
              </w:rPr>
              <w:t>Par</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center"/>
              <w:ind w:right="240"/>
              <w:spacing w:after="0" w:line="201" w:lineRule="exact"/>
              <w:rPr>
                <w:sz w:val="20"/>
                <w:szCs w:val="20"/>
                <w:color w:val="auto"/>
              </w:rPr>
            </w:pPr>
            <w:r>
              <w:rPr>
                <w:rFonts w:ascii="Arial" w:cs="Arial" w:eastAsia="Arial" w:hAnsi="Arial"/>
                <w:sz w:val="18"/>
                <w:szCs w:val="18"/>
                <w:color w:val="auto"/>
                <w:w w:val="92"/>
              </w:rPr>
              <w:t>Paid-in</w:t>
            </w:r>
          </w:p>
        </w:tc>
        <w:tc>
          <w:tcPr>
            <w:tcW w:w="60" w:type="dxa"/>
            <w:vAlign w:val="bottom"/>
          </w:tcPr>
          <w:p>
            <w:pPr>
              <w:spacing w:after="0"/>
              <w:rPr>
                <w:sz w:val="17"/>
                <w:szCs w:val="17"/>
                <w:color w:val="auto"/>
              </w:rPr>
            </w:pPr>
          </w:p>
        </w:tc>
        <w:tc>
          <w:tcPr>
            <w:tcW w:w="1280" w:type="dxa"/>
            <w:vAlign w:val="bottom"/>
            <w:gridSpan w:val="4"/>
          </w:tcPr>
          <w:p>
            <w:pPr>
              <w:jc w:val="right"/>
              <w:ind w:right="201"/>
              <w:spacing w:after="0" w:line="201" w:lineRule="exact"/>
              <w:rPr>
                <w:sz w:val="20"/>
                <w:szCs w:val="20"/>
                <w:color w:val="auto"/>
              </w:rPr>
            </w:pPr>
            <w:r>
              <w:rPr>
                <w:rFonts w:ascii="Arial" w:cs="Arial" w:eastAsia="Arial" w:hAnsi="Arial"/>
                <w:sz w:val="18"/>
                <w:szCs w:val="18"/>
                <w:color w:val="auto"/>
                <w:w w:val="94"/>
              </w:rPr>
              <w:t>Accumulated</w:t>
            </w:r>
          </w:p>
        </w:tc>
        <w:tc>
          <w:tcPr>
            <w:tcW w:w="1220" w:type="dxa"/>
            <w:vAlign w:val="bottom"/>
            <w:gridSpan w:val="5"/>
          </w:tcPr>
          <w:p>
            <w:pPr>
              <w:ind w:left="20"/>
              <w:spacing w:after="0" w:line="201" w:lineRule="exact"/>
              <w:rPr>
                <w:sz w:val="20"/>
                <w:szCs w:val="20"/>
                <w:color w:val="auto"/>
              </w:rPr>
            </w:pPr>
            <w:r>
              <w:rPr>
                <w:rFonts w:ascii="Arial" w:cs="Arial" w:eastAsia="Arial" w:hAnsi="Arial"/>
                <w:sz w:val="18"/>
                <w:szCs w:val="18"/>
                <w:color w:val="auto"/>
              </w:rPr>
              <w:t>Stockholders’</w:t>
            </w:r>
          </w:p>
        </w:tc>
        <w:tc>
          <w:tcPr>
            <w:tcW w:w="1340" w:type="dxa"/>
            <w:vAlign w:val="bottom"/>
            <w:gridSpan w:val="6"/>
          </w:tcPr>
          <w:p>
            <w:pPr>
              <w:ind w:left="60"/>
              <w:spacing w:after="0" w:line="201" w:lineRule="exact"/>
              <w:rPr>
                <w:sz w:val="20"/>
                <w:szCs w:val="20"/>
                <w:color w:val="auto"/>
              </w:rPr>
            </w:pPr>
            <w:r>
              <w:rPr>
                <w:rFonts w:ascii="Arial" w:cs="Arial" w:eastAsia="Arial" w:hAnsi="Arial"/>
                <w:sz w:val="18"/>
                <w:szCs w:val="18"/>
                <w:color w:val="auto"/>
              </w:rPr>
              <w:t>Noncontrolling</w:t>
            </w:r>
          </w:p>
        </w:tc>
        <w:tc>
          <w:tcPr>
            <w:tcW w:w="60" w:type="dxa"/>
            <w:vAlign w:val="bottom"/>
          </w:tcPr>
          <w:p>
            <w:pPr>
              <w:spacing w:after="0"/>
              <w:rPr>
                <w:sz w:val="17"/>
                <w:szCs w:val="17"/>
                <w:color w:val="auto"/>
              </w:rPr>
            </w:pPr>
          </w:p>
        </w:tc>
        <w:tc>
          <w:tcPr>
            <w:tcW w:w="1140" w:type="dxa"/>
            <w:vAlign w:val="bottom"/>
            <w:gridSpan w:val="4"/>
          </w:tcPr>
          <w:p>
            <w:pPr>
              <w:ind w:left="20"/>
              <w:spacing w:after="0" w:line="201" w:lineRule="exact"/>
              <w:rPr>
                <w:sz w:val="20"/>
                <w:szCs w:val="20"/>
                <w:color w:val="auto"/>
              </w:rPr>
            </w:pPr>
            <w:r>
              <w:rPr>
                <w:rFonts w:ascii="Arial" w:cs="Arial" w:eastAsia="Arial" w:hAnsi="Arial"/>
                <w:sz w:val="18"/>
                <w:szCs w:val="18"/>
                <w:color w:val="auto"/>
              </w:rPr>
              <w:t>Stockholders’</w:t>
            </w: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4"/>
          </w:tcPr>
          <w:p>
            <w:pPr>
              <w:jc w:val="right"/>
              <w:ind w:right="440"/>
              <w:spacing w:after="0"/>
              <w:rPr>
                <w:sz w:val="20"/>
                <w:szCs w:val="20"/>
                <w:color w:val="auto"/>
              </w:rPr>
            </w:pPr>
            <w:r>
              <w:rPr>
                <w:rFonts w:ascii="Arial" w:cs="Arial" w:eastAsia="Arial" w:hAnsi="Arial"/>
                <w:sz w:val="18"/>
                <w:szCs w:val="18"/>
                <w:color w:val="auto"/>
              </w:rPr>
              <w:t>Shares</w:t>
            </w:r>
          </w:p>
        </w:tc>
        <w:tc>
          <w:tcPr>
            <w:tcW w:w="60" w:type="dxa"/>
            <w:vAlign w:val="bottom"/>
          </w:tcPr>
          <w:p>
            <w:pPr>
              <w:spacing w:after="0"/>
              <w:rPr>
                <w:sz w:val="20"/>
                <w:szCs w:val="20"/>
                <w:color w:val="auto"/>
              </w:rPr>
            </w:pPr>
          </w:p>
        </w:tc>
        <w:tc>
          <w:tcPr>
            <w:tcW w:w="800" w:type="dxa"/>
            <w:vAlign w:val="bottom"/>
            <w:gridSpan w:val="3"/>
          </w:tcPr>
          <w:p>
            <w:pPr>
              <w:ind w:left="60"/>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20"/>
                <w:szCs w:val="20"/>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Capital</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3"/>
          </w:tcPr>
          <w:p>
            <w:pPr>
              <w:jc w:val="right"/>
              <w:ind w:right="441"/>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8"/>
                <w:szCs w:val="18"/>
                <w:color w:val="auto"/>
                <w:w w:val="95"/>
              </w:rPr>
              <w:t>Equity</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341"/>
              <w:spacing w:after="0"/>
              <w:rPr>
                <w:sz w:val="20"/>
                <w:szCs w:val="20"/>
                <w:color w:val="auto"/>
              </w:rPr>
            </w:pPr>
            <w:r>
              <w:rPr>
                <w:rFonts w:ascii="Arial" w:cs="Arial" w:eastAsia="Arial" w:hAnsi="Arial"/>
                <w:sz w:val="18"/>
                <w:szCs w:val="18"/>
                <w:color w:val="auto"/>
                <w:w w:val="92"/>
              </w:rPr>
              <w:t>Interests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6"/>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26,902,763</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$ 27,000</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$106,666,000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(95,407,000)</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11,286,000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(355,000)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10,931,000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in</w:t>
            </w: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connection with:</w:t>
            </w: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60" w:type="dxa"/>
            <w:vAlign w:val="bottom"/>
          </w:tcPr>
          <w:p>
            <w:pPr>
              <w:ind w:left="180"/>
              <w:spacing w:after="0" w:line="201" w:lineRule="exact"/>
              <w:rPr>
                <w:sz w:val="20"/>
                <w:szCs w:val="20"/>
                <w:color w:val="auto"/>
              </w:rPr>
            </w:pPr>
            <w:r>
              <w:rPr>
                <w:rFonts w:ascii="Arial" w:cs="Arial" w:eastAsia="Arial" w:hAnsi="Arial"/>
                <w:sz w:val="18"/>
                <w:szCs w:val="18"/>
                <w:color w:val="auto"/>
              </w:rPr>
              <w:t>Exercise of employee stock-based</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80"/>
              <w:spacing w:after="0"/>
              <w:rPr>
                <w:sz w:val="20"/>
                <w:szCs w:val="20"/>
                <w:color w:val="auto"/>
              </w:rPr>
            </w:pPr>
            <w:r>
              <w:rPr>
                <w:rFonts w:ascii="Arial" w:cs="Arial" w:eastAsia="Arial" w:hAnsi="Arial"/>
                <w:sz w:val="18"/>
                <w:szCs w:val="18"/>
                <w:color w:val="auto"/>
              </w:rPr>
              <w:t>options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91,986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7,000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Vesting of RSUs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960" w:type="dxa"/>
            <w:vAlign w:val="bottom"/>
          </w:tcPr>
          <w:p>
            <w:pPr>
              <w:ind w:left="180"/>
              <w:spacing w:after="0" w:line="201" w:lineRule="exact"/>
              <w:rPr>
                <w:sz w:val="20"/>
                <w:szCs w:val="20"/>
                <w:color w:val="auto"/>
              </w:rPr>
            </w:pPr>
            <w:r>
              <w:rPr>
                <w:rFonts w:ascii="Arial" w:cs="Arial" w:eastAsia="Arial" w:hAnsi="Arial"/>
                <w:sz w:val="18"/>
                <w:szCs w:val="18"/>
                <w:color w:val="auto"/>
                <w:w w:val="95"/>
              </w:rPr>
              <w:t>Shares withheld related to net share</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80"/>
              <w:spacing w:after="0"/>
              <w:rPr>
                <w:sz w:val="20"/>
                <w:szCs w:val="20"/>
                <w:color w:val="auto"/>
              </w:rPr>
            </w:pPr>
            <w:r>
              <w:rPr>
                <w:rFonts w:ascii="Arial" w:cs="Arial" w:eastAsia="Arial" w:hAnsi="Arial"/>
                <w:sz w:val="18"/>
                <w:szCs w:val="18"/>
                <w:color w:val="auto"/>
              </w:rPr>
              <w:t>settlement of equity awards</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(109,771)</w:t>
            </w:r>
          </w:p>
        </w:tc>
        <w:tc>
          <w:tcPr>
            <w:tcW w:w="16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(875,000)</w:t>
            </w:r>
          </w:p>
        </w:tc>
        <w:tc>
          <w:tcPr>
            <w:tcW w:w="12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(876,000)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(876,000)</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4,009,000</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4,009,000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4,009,000</w:t>
            </w: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(8,677,000)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(8,677,000)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(8,677,000)</w:t>
            </w:r>
          </w:p>
        </w:tc>
        <w:tc>
          <w:tcPr>
            <w:tcW w:w="0" w:type="dxa"/>
            <w:vAlign w:val="bottom"/>
          </w:tcPr>
          <w:p>
            <w:pPr>
              <w:spacing w:after="0"/>
              <w:rPr>
                <w:sz w:val="1"/>
                <w:szCs w:val="1"/>
                <w:color w:val="auto"/>
              </w:rPr>
            </w:pPr>
          </w:p>
        </w:tc>
      </w:tr>
      <w:tr>
        <w:trPr>
          <w:trHeight w:val="230"/>
        </w:trPr>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27,069,978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$ 27,000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109,806,000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(104,084,000</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5,749,000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(355,000</w:t>
            </w:r>
          </w:p>
        </w:tc>
        <w:tc>
          <w:tcPr>
            <w:tcW w:w="180" w:type="dxa"/>
            <w:vAlign w:val="bottom"/>
            <w:tcBorders>
              <w:top w:val="single" w:sz="8" w:color="CCEEFF"/>
              <w:bottom w:val="single" w:sz="8" w:color="CCEEFF"/>
            </w:tcBorders>
            <w:gridSpan w:val="2"/>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29,901,530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$ 30,000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$137,058,000</w:t>
            </w:r>
          </w:p>
        </w:tc>
        <w:tc>
          <w:tcPr>
            <w:tcW w:w="1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$(109,493,000)</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27,595,000</w:t>
            </w:r>
          </w:p>
        </w:tc>
        <w:tc>
          <w:tcPr>
            <w:tcW w:w="1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(355,000)</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27,240,000</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in</w:t>
            </w: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connection with:</w:t>
            </w: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60" w:type="dxa"/>
            <w:vAlign w:val="bottom"/>
          </w:tcPr>
          <w:p>
            <w:pPr>
              <w:ind w:left="180"/>
              <w:spacing w:after="0" w:line="201" w:lineRule="exact"/>
              <w:rPr>
                <w:sz w:val="20"/>
                <w:szCs w:val="20"/>
                <w:color w:val="auto"/>
              </w:rPr>
            </w:pPr>
            <w:r>
              <w:rPr>
                <w:rFonts w:ascii="Arial" w:cs="Arial" w:eastAsia="Arial" w:hAnsi="Arial"/>
                <w:sz w:val="18"/>
                <w:szCs w:val="18"/>
                <w:color w:val="auto"/>
                <w:w w:val="99"/>
              </w:rPr>
              <w:t>Exercise of consultant stock-based</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80"/>
              <w:spacing w:after="0"/>
              <w:rPr>
                <w:sz w:val="20"/>
                <w:szCs w:val="20"/>
                <w:color w:val="auto"/>
              </w:rPr>
            </w:pPr>
            <w:r>
              <w:rPr>
                <w:rFonts w:ascii="Arial" w:cs="Arial" w:eastAsia="Arial" w:hAnsi="Arial"/>
                <w:sz w:val="18"/>
                <w:szCs w:val="18"/>
                <w:color w:val="auto"/>
              </w:rPr>
              <w:t>options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85,000</w:t>
            </w:r>
          </w:p>
        </w:tc>
        <w:tc>
          <w:tcPr>
            <w:tcW w:w="12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85,000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Exercise of employee stock-based</w:t>
            </w: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216,816</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252,000</w:t>
            </w:r>
          </w:p>
        </w:tc>
        <w:tc>
          <w:tcPr>
            <w:tcW w:w="12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252,000</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252,000</w:t>
            </w:r>
          </w:p>
        </w:tc>
        <w:tc>
          <w:tcPr>
            <w:tcW w:w="0" w:type="dxa"/>
            <w:vAlign w:val="bottom"/>
          </w:tcPr>
          <w:p>
            <w:pPr>
              <w:spacing w:after="0"/>
              <w:rPr>
                <w:sz w:val="1"/>
                <w:szCs w:val="1"/>
                <w:color w:val="auto"/>
              </w:rPr>
            </w:pPr>
          </w:p>
        </w:tc>
      </w:tr>
      <w:tr>
        <w:trPr>
          <w:trHeight w:val="216"/>
        </w:trPr>
        <w:tc>
          <w:tcPr>
            <w:tcW w:w="2960" w:type="dxa"/>
            <w:vAlign w:val="bottom"/>
          </w:tcPr>
          <w:p>
            <w:pPr>
              <w:ind w:left="180"/>
              <w:spacing w:after="0"/>
              <w:rPr>
                <w:sz w:val="20"/>
                <w:szCs w:val="20"/>
                <w:color w:val="auto"/>
              </w:rPr>
            </w:pPr>
            <w:r>
              <w:rPr>
                <w:rFonts w:ascii="Arial" w:cs="Arial" w:eastAsia="Arial" w:hAnsi="Arial"/>
                <w:sz w:val="18"/>
                <w:szCs w:val="18"/>
                <w:color w:val="auto"/>
              </w:rPr>
              <w:t>Vesting of RSUs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242,760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Shares withheld related to net share</w:t>
            </w: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 of equity awards</w:t>
            </w: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(94,168)</w:t>
            </w: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(1,698,000)</w:t>
            </w:r>
          </w:p>
        </w:tc>
        <w:tc>
          <w:tcPr>
            <w:tcW w:w="12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(1,698,000)</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(1,698,000)</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7,045,000</w:t>
            </w:r>
          </w:p>
        </w:tc>
        <w:tc>
          <w:tcPr>
            <w:tcW w:w="1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7,045,000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7,045,000</w:t>
            </w:r>
          </w:p>
        </w:tc>
        <w:tc>
          <w:tcPr>
            <w:tcW w:w="0" w:type="dxa"/>
            <w:vAlign w:val="bottom"/>
          </w:tcPr>
          <w:p>
            <w:pPr>
              <w:spacing w:after="0"/>
              <w:rPr>
                <w:sz w:val="1"/>
                <w:szCs w:val="1"/>
                <w:color w:val="auto"/>
              </w:rPr>
            </w:pPr>
          </w:p>
        </w:tc>
      </w:tr>
      <w:tr>
        <w:trPr>
          <w:trHeight w:val="25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(10,872,000)</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(10,872,000)</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(10,872,000)</w:t>
            </w:r>
          </w:p>
        </w:tc>
        <w:tc>
          <w:tcPr>
            <w:tcW w:w="0" w:type="dxa"/>
            <w:vAlign w:val="bottom"/>
          </w:tcPr>
          <w:p>
            <w:pPr>
              <w:spacing w:after="0"/>
              <w:rPr>
                <w:sz w:val="1"/>
                <w:szCs w:val="1"/>
                <w:color w:val="auto"/>
              </w:rPr>
            </w:pPr>
          </w:p>
        </w:tc>
      </w:tr>
      <w:tr>
        <w:trPr>
          <w:trHeight w:val="217"/>
        </w:trPr>
        <w:tc>
          <w:tcPr>
            <w:tcW w:w="2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June 30, 2023</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30,276,938</w:t>
            </w: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$ 30,000</w:t>
            </w: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142,742,000</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(120,365,000</w:t>
            </w:r>
          </w:p>
        </w:tc>
        <w:tc>
          <w:tcPr>
            <w:tcW w:w="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22,407,000</w:t>
            </w: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(355,000</w:t>
            </w:r>
          </w:p>
        </w:tc>
        <w:tc>
          <w:tcPr>
            <w:tcW w:w="180" w:type="dxa"/>
            <w:vAlign w:val="bottom"/>
            <w:tcBorders>
              <w:top w:val="single" w:sz="8" w:color="CCEEFF"/>
            </w:tcBorders>
            <w:gridSpan w:val="2"/>
          </w:tcPr>
          <w:p>
            <w:pPr>
              <w:jc w:val="right"/>
              <w:ind w:right="41"/>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22,052,000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Total</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40" w:type="dxa"/>
            <w:vAlign w:val="bottom"/>
            <w:gridSpan w:val="8"/>
            <w:vMerge w:val="restart"/>
          </w:tcPr>
          <w:p>
            <w:pPr>
              <w:ind w:left="34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8"/>
                <w:szCs w:val="18"/>
                <w:color w:val="auto"/>
                <w:w w:val="96"/>
              </w:rPr>
              <w:t>Harrow</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40" w:type="dxa"/>
            <w:vAlign w:val="bottom"/>
            <w:gridSpan w:val="8"/>
            <w:vMerge w:val="continue"/>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Additional</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4"/>
          </w:tcPr>
          <w:p>
            <w:pPr>
              <w:jc w:val="center"/>
              <w:ind w:right="140"/>
              <w:spacing w:after="0"/>
              <w:rPr>
                <w:sz w:val="20"/>
                <w:szCs w:val="20"/>
                <w:color w:val="auto"/>
              </w:rPr>
            </w:pPr>
            <w:r>
              <w:rPr>
                <w:rFonts w:ascii="Arial" w:cs="Arial" w:eastAsia="Arial" w:hAnsi="Arial"/>
                <w:sz w:val="18"/>
                <w:szCs w:val="18"/>
                <w:color w:val="auto"/>
                <w:w w:val="92"/>
              </w:rPr>
              <w:t>Health, Inc.</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421"/>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02"/>
        </w:trPr>
        <w:tc>
          <w:tcPr>
            <w:tcW w:w="2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gridSpan w:val="2"/>
          </w:tcPr>
          <w:p>
            <w:pPr>
              <w:jc w:val="right"/>
              <w:ind w:right="200"/>
              <w:spacing w:after="0" w:line="201" w:lineRule="exact"/>
              <w:rPr>
                <w:sz w:val="20"/>
                <w:szCs w:val="20"/>
                <w:color w:val="auto"/>
              </w:rPr>
            </w:pPr>
            <w:r>
              <w:rPr>
                <w:rFonts w:ascii="Arial" w:cs="Arial" w:eastAsia="Arial" w:hAnsi="Arial"/>
                <w:sz w:val="18"/>
                <w:szCs w:val="18"/>
                <w:color w:val="auto"/>
              </w:rPr>
              <w:t>Par</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right"/>
              <w:ind w:right="360"/>
              <w:spacing w:after="0" w:line="201" w:lineRule="exact"/>
              <w:rPr>
                <w:sz w:val="20"/>
                <w:szCs w:val="20"/>
                <w:color w:val="auto"/>
              </w:rPr>
            </w:pPr>
            <w:r>
              <w:rPr>
                <w:rFonts w:ascii="Arial" w:cs="Arial" w:eastAsia="Arial" w:hAnsi="Arial"/>
                <w:sz w:val="18"/>
                <w:szCs w:val="18"/>
                <w:color w:val="auto"/>
              </w:rPr>
              <w:t>Paid-in</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3"/>
          </w:tcPr>
          <w:p>
            <w:pPr>
              <w:jc w:val="right"/>
              <w:ind w:right="141"/>
              <w:spacing w:after="0" w:line="201" w:lineRule="exact"/>
              <w:rPr>
                <w:sz w:val="20"/>
                <w:szCs w:val="20"/>
                <w:color w:val="auto"/>
              </w:rPr>
            </w:pPr>
            <w:r>
              <w:rPr>
                <w:rFonts w:ascii="Arial" w:cs="Arial" w:eastAsia="Arial" w:hAnsi="Arial"/>
                <w:sz w:val="18"/>
                <w:szCs w:val="18"/>
                <w:color w:val="auto"/>
                <w:w w:val="94"/>
              </w:rPr>
              <w:t>Accumulated</w:t>
            </w:r>
          </w:p>
        </w:tc>
        <w:tc>
          <w:tcPr>
            <w:tcW w:w="80" w:type="dxa"/>
            <w:vAlign w:val="bottom"/>
          </w:tcPr>
          <w:p>
            <w:pPr>
              <w:spacing w:after="0"/>
              <w:rPr>
                <w:sz w:val="17"/>
                <w:szCs w:val="17"/>
                <w:color w:val="auto"/>
              </w:rPr>
            </w:pPr>
          </w:p>
        </w:tc>
        <w:tc>
          <w:tcPr>
            <w:tcW w:w="1140" w:type="dxa"/>
            <w:vAlign w:val="bottom"/>
            <w:gridSpan w:val="4"/>
          </w:tcPr>
          <w:p>
            <w:pPr>
              <w:spacing w:after="0" w:line="201" w:lineRule="exact"/>
              <w:rPr>
                <w:sz w:val="20"/>
                <w:szCs w:val="20"/>
                <w:color w:val="auto"/>
              </w:rPr>
            </w:pPr>
            <w:r>
              <w:rPr>
                <w:rFonts w:ascii="Arial" w:cs="Arial" w:eastAsia="Arial" w:hAnsi="Arial"/>
                <w:sz w:val="18"/>
                <w:szCs w:val="18"/>
                <w:color w:val="auto"/>
              </w:rPr>
              <w:t>Stockholders’</w:t>
            </w:r>
          </w:p>
        </w:tc>
        <w:tc>
          <w:tcPr>
            <w:tcW w:w="60" w:type="dxa"/>
            <w:vAlign w:val="bottom"/>
          </w:tcPr>
          <w:p>
            <w:pPr>
              <w:spacing w:after="0"/>
              <w:rPr>
                <w:sz w:val="17"/>
                <w:szCs w:val="17"/>
                <w:color w:val="auto"/>
              </w:rPr>
            </w:pPr>
          </w:p>
        </w:tc>
        <w:tc>
          <w:tcPr>
            <w:tcW w:w="1280" w:type="dxa"/>
            <w:vAlign w:val="bottom"/>
            <w:gridSpan w:val="5"/>
          </w:tcPr>
          <w:p>
            <w:pPr>
              <w:ind w:left="40"/>
              <w:spacing w:after="0" w:line="201" w:lineRule="exact"/>
              <w:rPr>
                <w:sz w:val="20"/>
                <w:szCs w:val="20"/>
                <w:color w:val="auto"/>
              </w:rPr>
            </w:pPr>
            <w:r>
              <w:rPr>
                <w:rFonts w:ascii="Arial" w:cs="Arial" w:eastAsia="Arial" w:hAnsi="Arial"/>
                <w:sz w:val="18"/>
                <w:szCs w:val="18"/>
                <w:color w:val="auto"/>
              </w:rPr>
              <w:t>Noncontrolling</w:t>
            </w:r>
          </w:p>
        </w:tc>
        <w:tc>
          <w:tcPr>
            <w:tcW w:w="60" w:type="dxa"/>
            <w:vAlign w:val="bottom"/>
          </w:tcPr>
          <w:p>
            <w:pPr>
              <w:spacing w:after="0"/>
              <w:rPr>
                <w:sz w:val="17"/>
                <w:szCs w:val="17"/>
                <w:color w:val="auto"/>
              </w:rPr>
            </w:pPr>
          </w:p>
        </w:tc>
        <w:tc>
          <w:tcPr>
            <w:tcW w:w="1140" w:type="dxa"/>
            <w:vAlign w:val="bottom"/>
            <w:gridSpan w:val="4"/>
          </w:tcPr>
          <w:p>
            <w:pPr>
              <w:ind w:left="40"/>
              <w:spacing w:after="0" w:line="201" w:lineRule="exact"/>
              <w:rPr>
                <w:sz w:val="20"/>
                <w:szCs w:val="20"/>
                <w:color w:val="auto"/>
              </w:rPr>
            </w:pPr>
            <w:r>
              <w:rPr>
                <w:rFonts w:ascii="Arial" w:cs="Arial" w:eastAsia="Arial" w:hAnsi="Arial"/>
                <w:sz w:val="18"/>
                <w:szCs w:val="18"/>
                <w:color w:val="auto"/>
                <w:w w:val="99"/>
              </w:rPr>
              <w:t>Stockholders’</w:t>
            </w: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4"/>
          </w:tcPr>
          <w:p>
            <w:pPr>
              <w:jc w:val="right"/>
              <w:ind w:right="380"/>
              <w:spacing w:after="0"/>
              <w:rPr>
                <w:sz w:val="20"/>
                <w:szCs w:val="20"/>
                <w:color w:val="auto"/>
              </w:rPr>
            </w:pPr>
            <w:r>
              <w:rPr>
                <w:rFonts w:ascii="Arial" w:cs="Arial" w:eastAsia="Arial" w:hAnsi="Arial"/>
                <w:sz w:val="18"/>
                <w:szCs w:val="18"/>
                <w:color w:val="auto"/>
              </w:rPr>
              <w:t>Shares</w:t>
            </w:r>
          </w:p>
        </w:tc>
        <w:tc>
          <w:tcPr>
            <w:tcW w:w="60" w:type="dxa"/>
            <w:vAlign w:val="bottom"/>
          </w:tcPr>
          <w:p>
            <w:pPr>
              <w:spacing w:after="0"/>
              <w:rPr>
                <w:sz w:val="20"/>
                <w:szCs w:val="20"/>
                <w:color w:val="auto"/>
              </w:rPr>
            </w:pPr>
          </w:p>
        </w:tc>
        <w:tc>
          <w:tcPr>
            <w:tcW w:w="800" w:type="dxa"/>
            <w:vAlign w:val="bottom"/>
            <w:gridSpan w:val="3"/>
          </w:tcPr>
          <w:p>
            <w:pPr>
              <w:ind w:left="120"/>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20"/>
                <w:szCs w:val="20"/>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Capital</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3"/>
          </w:tcPr>
          <w:p>
            <w:pPr>
              <w:jc w:val="right"/>
              <w:ind w:right="361"/>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Equity</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301"/>
              <w:spacing w:after="0"/>
              <w:rPr>
                <w:sz w:val="20"/>
                <w:szCs w:val="20"/>
                <w:color w:val="auto"/>
              </w:rPr>
            </w:pPr>
            <w:r>
              <w:rPr>
                <w:rFonts w:ascii="Arial" w:cs="Arial" w:eastAsia="Arial" w:hAnsi="Arial"/>
                <w:sz w:val="18"/>
                <w:szCs w:val="18"/>
                <w:color w:val="auto"/>
                <w:w w:val="98"/>
              </w:rPr>
              <w:t>Interests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6"/>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27,031,127</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$ 27,000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$107,909,000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(97,845,000)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10,091,000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(355,000)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9,736,000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in</w:t>
            </w: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connection with:</w:t>
            </w: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60" w:type="dxa"/>
            <w:vAlign w:val="bottom"/>
          </w:tcPr>
          <w:p>
            <w:pPr>
              <w:ind w:left="180"/>
              <w:spacing w:after="0" w:line="201" w:lineRule="exact"/>
              <w:rPr>
                <w:sz w:val="20"/>
                <w:szCs w:val="20"/>
                <w:color w:val="auto"/>
              </w:rPr>
            </w:pPr>
            <w:r>
              <w:rPr>
                <w:rFonts w:ascii="Arial" w:cs="Arial" w:eastAsia="Arial" w:hAnsi="Arial"/>
                <w:sz w:val="18"/>
                <w:szCs w:val="18"/>
                <w:color w:val="auto"/>
              </w:rPr>
              <w:t>Exercise of employee stock-based</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80"/>
              <w:spacing w:after="0"/>
              <w:rPr>
                <w:sz w:val="20"/>
                <w:szCs w:val="20"/>
                <w:color w:val="auto"/>
              </w:rPr>
            </w:pPr>
            <w:r>
              <w:rPr>
                <w:rFonts w:ascii="Arial" w:cs="Arial" w:eastAsia="Arial" w:hAnsi="Arial"/>
                <w:sz w:val="18"/>
                <w:szCs w:val="18"/>
                <w:color w:val="auto"/>
              </w:rPr>
              <w:t>options</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20"/>
                <w:szCs w:val="20"/>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20"/>
              <w:spacing w:after="0"/>
              <w:rPr>
                <w:sz w:val="20"/>
                <w:szCs w:val="20"/>
                <w:color w:val="auto"/>
              </w:rPr>
            </w:pPr>
            <w:r>
              <w:rPr>
                <w:rFonts w:ascii="Arial" w:cs="Arial" w:eastAsia="Arial" w:hAnsi="Arial"/>
                <w:sz w:val="18"/>
                <w:szCs w:val="18"/>
                <w:color w:val="auto"/>
              </w:rPr>
              <w:t>3,000</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Vesting of RSUs</w:t>
            </w: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960" w:type="dxa"/>
            <w:vAlign w:val="bottom"/>
          </w:tcPr>
          <w:p>
            <w:pPr>
              <w:ind w:left="180"/>
              <w:spacing w:after="0" w:line="201" w:lineRule="exact"/>
              <w:rPr>
                <w:sz w:val="20"/>
                <w:szCs w:val="20"/>
                <w:color w:val="auto"/>
              </w:rPr>
            </w:pPr>
            <w:r>
              <w:rPr>
                <w:rFonts w:ascii="Arial" w:cs="Arial" w:eastAsia="Arial" w:hAnsi="Arial"/>
                <w:sz w:val="18"/>
                <w:szCs w:val="18"/>
                <w:color w:val="auto"/>
                <w:w w:val="95"/>
              </w:rPr>
              <w:t>Shares withheld related to net share</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80"/>
              <w:spacing w:after="0"/>
              <w:rPr>
                <w:sz w:val="20"/>
                <w:szCs w:val="20"/>
                <w:color w:val="auto"/>
              </w:rPr>
            </w:pPr>
            <w:r>
              <w:rPr>
                <w:rFonts w:ascii="Arial" w:cs="Arial" w:eastAsia="Arial" w:hAnsi="Arial"/>
                <w:sz w:val="18"/>
                <w:szCs w:val="18"/>
                <w:color w:val="auto"/>
              </w:rPr>
              <w:t>settlement of equity awards</w:t>
            </w:r>
          </w:p>
        </w:tc>
        <w:tc>
          <w:tcPr>
            <w:tcW w:w="1120" w:type="dxa"/>
            <w:vAlign w:val="bottom"/>
            <w:gridSpan w:val="5"/>
          </w:tcPr>
          <w:p>
            <w:pPr>
              <w:jc w:val="right"/>
              <w:ind w:right="120"/>
              <w:spacing w:after="0"/>
              <w:rPr>
                <w:sz w:val="20"/>
                <w:szCs w:val="20"/>
                <w:color w:val="auto"/>
              </w:rPr>
            </w:pPr>
            <w:r>
              <w:rPr>
                <w:rFonts w:ascii="Arial" w:cs="Arial" w:eastAsia="Arial" w:hAnsi="Arial"/>
                <w:sz w:val="18"/>
                <w:szCs w:val="18"/>
                <w:color w:val="auto"/>
              </w:rPr>
              <w:t>(13,149)</w:t>
            </w: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60"/>
              <w:spacing w:after="0"/>
              <w:rPr>
                <w:sz w:val="20"/>
                <w:szCs w:val="20"/>
                <w:color w:val="auto"/>
              </w:rPr>
            </w:pPr>
            <w:r>
              <w:rPr>
                <w:rFonts w:ascii="Arial" w:cs="Arial" w:eastAsia="Arial" w:hAnsi="Arial"/>
                <w:sz w:val="18"/>
                <w:szCs w:val="18"/>
                <w:color w:val="auto"/>
              </w:rPr>
              <w:t>(99,000)</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(99,000)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(99,000)</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1,993,000</w:t>
            </w: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1,993,000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1,993,000</w:t>
            </w:r>
          </w:p>
        </w:tc>
        <w:tc>
          <w:tcPr>
            <w:tcW w:w="0" w:type="dxa"/>
            <w:vAlign w:val="bottom"/>
          </w:tcPr>
          <w:p>
            <w:pPr>
              <w:spacing w:after="0"/>
              <w:rPr>
                <w:sz w:val="1"/>
                <w:szCs w:val="1"/>
                <w:color w:val="auto"/>
              </w:rPr>
            </w:pPr>
          </w:p>
        </w:tc>
      </w:tr>
      <w:tr>
        <w:trPr>
          <w:trHeight w:val="236"/>
        </w:trPr>
        <w:tc>
          <w:tcPr>
            <w:tcW w:w="296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5"/>
          </w:tcPr>
          <w:p>
            <w:pPr>
              <w:jc w:val="right"/>
              <w:ind w:right="21"/>
              <w:spacing w:after="0"/>
              <w:rPr>
                <w:sz w:val="20"/>
                <w:szCs w:val="20"/>
                <w:color w:val="auto"/>
              </w:rPr>
            </w:pPr>
            <w:r>
              <w:rPr>
                <w:rFonts w:ascii="Arial" w:cs="Arial" w:eastAsia="Arial" w:hAnsi="Arial"/>
                <w:sz w:val="18"/>
                <w:szCs w:val="18"/>
                <w:color w:val="auto"/>
              </w:rPr>
              <w:t>(6,239,000)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(6,239,000)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(6,239,000)</w:t>
            </w:r>
          </w:p>
        </w:tc>
        <w:tc>
          <w:tcPr>
            <w:tcW w:w="0" w:type="dxa"/>
            <w:vAlign w:val="bottom"/>
          </w:tcPr>
          <w:p>
            <w:pPr>
              <w:spacing w:after="0"/>
              <w:rPr>
                <w:sz w:val="1"/>
                <w:szCs w:val="1"/>
                <w:color w:val="auto"/>
              </w:rPr>
            </w:pPr>
          </w:p>
        </w:tc>
      </w:tr>
      <w:tr>
        <w:trPr>
          <w:trHeight w:val="256"/>
        </w:trPr>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27,069,978</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$ 27,000</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109,806,000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(104,084,000</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5,749,000</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(355,000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5,394,000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2023</w:t>
            </w: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30,056,370</w:t>
            </w:r>
          </w:p>
        </w:tc>
        <w:tc>
          <w:tcPr>
            <w:tcW w:w="1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6"/>
              </w:rPr>
              <w:t>$ 30,000</w:t>
            </w:r>
          </w:p>
        </w:tc>
        <w:tc>
          <w:tcPr>
            <w:tcW w:w="12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6"/>
              </w:rPr>
              <w:t>$137,989,000</w:t>
            </w:r>
          </w:p>
        </w:tc>
        <w:tc>
          <w:tcPr>
            <w:tcW w:w="1340" w:type="dxa"/>
            <w:vAlign w:val="bottom"/>
            <w:gridSpan w:val="5"/>
            <w:shd w:val="clear" w:color="auto" w:fill="CCEEFF"/>
          </w:tcPr>
          <w:p>
            <w:pPr>
              <w:jc w:val="right"/>
              <w:ind w:right="21"/>
              <w:spacing w:after="0"/>
              <w:rPr>
                <w:sz w:val="20"/>
                <w:szCs w:val="20"/>
                <w:color w:val="auto"/>
              </w:rPr>
            </w:pPr>
            <w:r>
              <w:rPr>
                <w:rFonts w:ascii="Arial" w:cs="Arial" w:eastAsia="Arial" w:hAnsi="Arial"/>
                <w:sz w:val="18"/>
                <w:szCs w:val="18"/>
                <w:color w:val="auto"/>
                <w:w w:val="95"/>
              </w:rPr>
              <w:t>$ (116,136,000)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21,883,000</w:t>
            </w:r>
          </w:p>
        </w:tc>
        <w:tc>
          <w:tcPr>
            <w:tcW w:w="1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(355,000)</w:t>
            </w: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21,528,000</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in</w:t>
            </w: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connection with:</w:t>
            </w: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60" w:type="dxa"/>
            <w:vAlign w:val="bottom"/>
          </w:tcPr>
          <w:p>
            <w:pPr>
              <w:ind w:left="180"/>
              <w:spacing w:after="0" w:line="201" w:lineRule="exact"/>
              <w:rPr>
                <w:sz w:val="20"/>
                <w:szCs w:val="20"/>
                <w:color w:val="auto"/>
              </w:rPr>
            </w:pPr>
            <w:r>
              <w:rPr>
                <w:rFonts w:ascii="Arial" w:cs="Arial" w:eastAsia="Arial" w:hAnsi="Arial"/>
                <w:sz w:val="18"/>
                <w:szCs w:val="18"/>
                <w:color w:val="auto"/>
                <w:w w:val="99"/>
              </w:rPr>
              <w:t>Exercise of consultant stock-based</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80"/>
              <w:spacing w:after="0"/>
              <w:rPr>
                <w:sz w:val="20"/>
                <w:szCs w:val="20"/>
                <w:color w:val="auto"/>
              </w:rPr>
            </w:pPr>
            <w:r>
              <w:rPr>
                <w:rFonts w:ascii="Arial" w:cs="Arial" w:eastAsia="Arial" w:hAnsi="Arial"/>
                <w:sz w:val="18"/>
                <w:szCs w:val="18"/>
                <w:color w:val="auto"/>
              </w:rPr>
              <w:t>options</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20"/>
                <w:szCs w:val="20"/>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20"/>
              <w:spacing w:after="0"/>
              <w:rPr>
                <w:sz w:val="20"/>
                <w:szCs w:val="20"/>
                <w:color w:val="auto"/>
              </w:rPr>
            </w:pPr>
            <w:r>
              <w:rPr>
                <w:rFonts w:ascii="Arial" w:cs="Arial" w:eastAsia="Arial" w:hAnsi="Arial"/>
                <w:sz w:val="18"/>
                <w:szCs w:val="18"/>
                <w:color w:val="auto"/>
              </w:rPr>
              <w:t>85,000</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85,000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Exercise of employee stock-based</w:t>
            </w: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119,274</w:t>
            </w:r>
          </w:p>
        </w:tc>
        <w:tc>
          <w:tcPr>
            <w:tcW w:w="160" w:type="dxa"/>
            <w:vAlign w:val="bottom"/>
            <w:shd w:val="clear" w:color="auto" w:fill="CCEEFF"/>
          </w:tcPr>
          <w:p>
            <w:pPr>
              <w:spacing w:after="0"/>
              <w:rPr>
                <w:sz w:val="20"/>
                <w:szCs w:val="20"/>
                <w:color w:val="auto"/>
              </w:rPr>
            </w:pP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104,000</w:t>
            </w: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104,000</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104,000</w:t>
            </w:r>
          </w:p>
        </w:tc>
        <w:tc>
          <w:tcPr>
            <w:tcW w:w="0" w:type="dxa"/>
            <w:vAlign w:val="bottom"/>
          </w:tcPr>
          <w:p>
            <w:pPr>
              <w:spacing w:after="0"/>
              <w:rPr>
                <w:sz w:val="1"/>
                <w:szCs w:val="1"/>
                <w:color w:val="auto"/>
              </w:rPr>
            </w:pPr>
          </w:p>
        </w:tc>
      </w:tr>
      <w:tr>
        <w:trPr>
          <w:trHeight w:val="216"/>
        </w:trPr>
        <w:tc>
          <w:tcPr>
            <w:tcW w:w="2960" w:type="dxa"/>
            <w:vAlign w:val="bottom"/>
          </w:tcPr>
          <w:p>
            <w:pPr>
              <w:ind w:left="180"/>
              <w:spacing w:after="0"/>
              <w:rPr>
                <w:sz w:val="20"/>
                <w:szCs w:val="20"/>
                <w:color w:val="auto"/>
              </w:rPr>
            </w:pPr>
            <w:r>
              <w:rPr>
                <w:rFonts w:ascii="Arial" w:cs="Arial" w:eastAsia="Arial" w:hAnsi="Arial"/>
                <w:sz w:val="18"/>
                <w:szCs w:val="18"/>
                <w:color w:val="auto"/>
              </w:rPr>
              <w:t>Vesting of RSUs</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131,760</w:t>
            </w:r>
          </w:p>
        </w:tc>
        <w:tc>
          <w:tcPr>
            <w:tcW w:w="160" w:type="dxa"/>
            <w:vAlign w:val="bottom"/>
          </w:tcPr>
          <w:p>
            <w:pPr>
              <w:spacing w:after="0"/>
              <w:rPr>
                <w:sz w:val="18"/>
                <w:szCs w:val="18"/>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Shares withheld related to net share</w:t>
            </w: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 of equity awards</w:t>
            </w:r>
          </w:p>
        </w:tc>
        <w:tc>
          <w:tcPr>
            <w:tcW w:w="11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(40,466)</w:t>
            </w: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(848,000)</w:t>
            </w: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(848,000)</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(848,000)</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20"/>
              <w:spacing w:after="0"/>
              <w:rPr>
                <w:sz w:val="20"/>
                <w:szCs w:val="20"/>
                <w:color w:val="auto"/>
              </w:rPr>
            </w:pPr>
            <w:r>
              <w:rPr>
                <w:rFonts w:ascii="Arial" w:cs="Arial" w:eastAsia="Arial" w:hAnsi="Arial"/>
                <w:sz w:val="18"/>
                <w:szCs w:val="18"/>
                <w:color w:val="auto"/>
              </w:rPr>
              <w:t>5,412,000</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5,412,000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5,412,000</w:t>
            </w:r>
          </w:p>
        </w:tc>
        <w:tc>
          <w:tcPr>
            <w:tcW w:w="0" w:type="dxa"/>
            <w:vAlign w:val="bottom"/>
          </w:tcPr>
          <w:p>
            <w:pPr>
              <w:spacing w:after="0"/>
              <w:rPr>
                <w:sz w:val="1"/>
                <w:szCs w:val="1"/>
                <w:color w:val="auto"/>
              </w:rPr>
            </w:pPr>
          </w:p>
        </w:tc>
      </w:tr>
      <w:tr>
        <w:trPr>
          <w:trHeight w:val="249"/>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5"/>
            <w:shd w:val="clear" w:color="auto" w:fill="CCEEFF"/>
          </w:tcPr>
          <w:p>
            <w:pPr>
              <w:jc w:val="right"/>
              <w:ind w:right="21"/>
              <w:spacing w:after="0"/>
              <w:rPr>
                <w:sz w:val="20"/>
                <w:szCs w:val="20"/>
                <w:color w:val="auto"/>
              </w:rPr>
            </w:pPr>
            <w:r>
              <w:rPr>
                <w:rFonts w:ascii="Arial" w:cs="Arial" w:eastAsia="Arial" w:hAnsi="Arial"/>
                <w:sz w:val="18"/>
                <w:szCs w:val="18"/>
                <w:color w:val="auto"/>
              </w:rPr>
              <w:t>(4,229,000)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(4,229,000)</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(4,229,000)</w:t>
            </w:r>
          </w:p>
        </w:tc>
        <w:tc>
          <w:tcPr>
            <w:tcW w:w="0" w:type="dxa"/>
            <w:vAlign w:val="bottom"/>
          </w:tcPr>
          <w:p>
            <w:pPr>
              <w:spacing w:after="0"/>
              <w:rPr>
                <w:sz w:val="1"/>
                <w:szCs w:val="1"/>
                <w:color w:val="auto"/>
              </w:rPr>
            </w:pPr>
          </w:p>
        </w:tc>
      </w:tr>
      <w:tr>
        <w:trPr>
          <w:trHeight w:val="217"/>
        </w:trPr>
        <w:tc>
          <w:tcPr>
            <w:tcW w:w="2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June 30, 2023</w:t>
            </w:r>
          </w:p>
        </w:tc>
        <w:tc>
          <w:tcPr>
            <w:tcW w:w="4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30,276,938</w:t>
            </w: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$ 30,000</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142,742,000</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gridSpan w:val="2"/>
          </w:tcPr>
          <w:p>
            <w:pPr>
              <w:spacing w:after="0"/>
              <w:rPr>
                <w:sz w:val="18"/>
                <w:szCs w:val="18"/>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(120,365,000</w:t>
            </w:r>
          </w:p>
        </w:tc>
        <w:tc>
          <w:tcPr>
            <w:tcW w:w="160" w:type="dxa"/>
            <w:vAlign w:val="bottom"/>
            <w:tcBorders>
              <w:top w:val="single" w:sz="8" w:color="CCEEFF"/>
            </w:tcBorders>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22,407,000</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(355,000</w:t>
            </w:r>
          </w:p>
        </w:tc>
        <w:tc>
          <w:tcPr>
            <w:tcW w:w="140" w:type="dxa"/>
            <w:vAlign w:val="bottom"/>
            <w:tcBorders>
              <w:top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22,052,000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688" w:right="339" w:bottom="0" w:gutter="0" w:footer="0" w:header="0"/>
        </w:sectPr>
      </w:pPr>
    </w:p>
    <w:bookmarkStart w:id="5" w:name="page6"/>
    <w:bookmarkEnd w:id="5"/>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00" w:type="dxa"/>
            <w:vAlign w:val="bottom"/>
            <w:gridSpan w:val="6"/>
          </w:tcPr>
          <w:p>
            <w:pPr>
              <w:jc w:val="right"/>
              <w:ind w:right="861"/>
              <w:spacing w:after="0"/>
              <w:rPr>
                <w:sz w:val="20"/>
                <w:szCs w:val="20"/>
                <w:color w:val="auto"/>
              </w:rPr>
            </w:pPr>
            <w:r>
              <w:rPr>
                <w:rFonts w:ascii="Arial" w:cs="Arial" w:eastAsia="Arial" w:hAnsi="Arial"/>
                <w:sz w:val="18"/>
                <w:szCs w:val="18"/>
                <w:color w:val="auto"/>
              </w:rPr>
              <w:t>For the Six Months Ended</w:t>
            </w:r>
          </w:p>
        </w:tc>
        <w:tc>
          <w:tcPr>
            <w:tcW w:w="0" w:type="dxa"/>
            <w:vAlign w:val="bottom"/>
          </w:tcPr>
          <w:p>
            <w:pPr>
              <w:spacing w:after="0"/>
              <w:rPr>
                <w:sz w:val="1"/>
                <w:szCs w:val="1"/>
                <w:color w:val="auto"/>
              </w:rPr>
            </w:pPr>
          </w:p>
        </w:tc>
      </w:tr>
      <w:tr>
        <w:trPr>
          <w:trHeight w:val="237"/>
        </w:trPr>
        <w:tc>
          <w:tcPr>
            <w:tcW w:w="7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June 30,</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1"/>
              <w:spacing w:after="0"/>
              <w:rPr>
                <w:sz w:val="20"/>
                <w:szCs w:val="20"/>
                <w:color w:val="auto"/>
              </w:rPr>
            </w:pPr>
            <w:r>
              <w:rPr>
                <w:rFonts w:ascii="Arial" w:cs="Arial" w:eastAsia="Arial" w:hAnsi="Arial"/>
                <w:sz w:val="18"/>
                <w:szCs w:val="18"/>
                <w:color w:val="auto"/>
              </w:rPr>
              <w:t>(10,872,000)</w:t>
            </w:r>
          </w:p>
        </w:tc>
        <w:tc>
          <w:tcPr>
            <w:tcW w:w="6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(8,677,000)</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w w:val="92"/>
              </w:rPr>
              <w:t>Depreciation and amortization of property, plant and equipment and software development costs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Amortization of operating lease right-of-use assets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credit losses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debt discount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1,623,000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(gain) loss from investment in Eton Pharmaceuticals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(1,328,000)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Equity in losses of unconsolidated entities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5,532,000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7,045,000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(288,000)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(12,038,000)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(2,314,000)</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61"/>
              <w:spacing w:after="0"/>
              <w:rPr>
                <w:sz w:val="20"/>
                <w:szCs w:val="20"/>
                <w:color w:val="auto"/>
              </w:rPr>
            </w:pPr>
            <w:r>
              <w:rPr>
                <w:rFonts w:ascii="Arial" w:cs="Arial" w:eastAsia="Arial" w:hAnsi="Arial"/>
                <w:sz w:val="18"/>
                <w:szCs w:val="18"/>
                <w:color w:val="auto"/>
              </w:rPr>
              <w:t>(2,014,000)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(915,000)</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(201,000)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3,584,000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2,454,000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payroll and related liabilities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(769,000)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(84,000)</w:t>
            </w:r>
          </w:p>
        </w:tc>
        <w:tc>
          <w:tcPr>
            <w:tcW w:w="0" w:type="dxa"/>
            <w:vAlign w:val="bottom"/>
          </w:tcPr>
          <w:p>
            <w:pPr>
              <w:spacing w:after="0"/>
              <w:rPr>
                <w:sz w:val="1"/>
                <w:szCs w:val="1"/>
                <w:color w:val="auto"/>
              </w:rPr>
            </w:pPr>
          </w:p>
        </w:tc>
      </w:tr>
      <w:tr>
        <w:trPr>
          <w:trHeight w:val="237"/>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 revenue and customer deposits</w:t>
            </w: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67,000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(3,648,000</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5,827,000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80" w:type="dxa"/>
            <w:vAlign w:val="bottom"/>
          </w:tcPr>
          <w:p>
            <w:pPr>
              <w:spacing w:after="0" w:line="203" w:lineRule="exact"/>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patent and trademark assets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Purchase of product NDAs and patents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61"/>
              <w:spacing w:after="0"/>
              <w:rPr>
                <w:sz w:val="20"/>
                <w:szCs w:val="20"/>
                <w:color w:val="auto"/>
              </w:rPr>
            </w:pPr>
            <w:r>
              <w:rPr>
                <w:rFonts w:ascii="Arial" w:cs="Arial" w:eastAsia="Arial" w:hAnsi="Arial"/>
                <w:sz w:val="18"/>
                <w:szCs w:val="18"/>
                <w:color w:val="auto"/>
              </w:rPr>
              <w:t>(131,473,000)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plant and equipment</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(746,000)</w:t>
            </w: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(664,000)</w:t>
            </w:r>
          </w:p>
        </w:tc>
        <w:tc>
          <w:tcPr>
            <w:tcW w:w="0" w:type="dxa"/>
            <w:vAlign w:val="bottom"/>
          </w:tcPr>
          <w:p>
            <w:pPr>
              <w:spacing w:after="0"/>
              <w:rPr>
                <w:sz w:val="1"/>
                <w:szCs w:val="1"/>
                <w:color w:val="auto"/>
              </w:rPr>
            </w:pPr>
          </w:p>
        </w:tc>
      </w:tr>
      <w:tr>
        <w:trPr>
          <w:trHeight w:val="210"/>
        </w:trPr>
        <w:tc>
          <w:tcPr>
            <w:tcW w:w="74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(132,219,000</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(669,000</w:t>
            </w:r>
          </w:p>
        </w:tc>
        <w:tc>
          <w:tcPr>
            <w:tcW w:w="100" w:type="dxa"/>
            <w:vAlign w:val="bottom"/>
            <w:tcBorders>
              <w:top w:val="single" w:sz="8" w:color="CCEEFF"/>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Proceeds from 11.875% notes payable, net of costs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4,961,000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Oaktree loan, net of costs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61,585,000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Payment of taxes upon vesting of RSUs and exercise of stock options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61"/>
              <w:spacing w:after="0"/>
              <w:rPr>
                <w:sz w:val="20"/>
                <w:szCs w:val="20"/>
                <w:color w:val="auto"/>
              </w:rPr>
            </w:pPr>
            <w:r>
              <w:rPr>
                <w:rFonts w:ascii="Arial" w:cs="Arial" w:eastAsia="Arial" w:hAnsi="Arial"/>
                <w:sz w:val="18"/>
                <w:szCs w:val="18"/>
                <w:color w:val="auto"/>
              </w:rPr>
              <w:t>(661,000)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(876,000)</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Proceeds from B. Riley senior secured note, net of costs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55,879,000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B. Riley senior secured note</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(59,750,000)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80" w:type="dxa"/>
            <w:vAlign w:val="bottom"/>
          </w:tcPr>
          <w:p>
            <w:pPr>
              <w:ind w:left="360"/>
              <w:spacing w:after="0"/>
              <w:rPr>
                <w:sz w:val="20"/>
                <w:szCs w:val="20"/>
                <w:color w:val="auto"/>
              </w:rPr>
            </w:pPr>
            <w:r>
              <w:rPr>
                <w:rFonts w:ascii="Arial" w:cs="Arial" w:eastAsia="Arial" w:hAnsi="Arial"/>
                <w:sz w:val="18"/>
                <w:szCs w:val="18"/>
                <w:color w:val="auto"/>
              </w:rPr>
              <w:t>Payments on finance lease obligations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36"/>
        </w:trPr>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62,351,000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(887,000</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3"/>
        </w:trPr>
        <w:tc>
          <w:tcPr>
            <w:tcW w:w="7480" w:type="dxa"/>
            <w:vAlign w:val="bottom"/>
          </w:tcPr>
          <w:p>
            <w:pPr>
              <w:spacing w:after="0" w:line="203" w:lineRule="exact"/>
              <w:rPr>
                <w:sz w:val="20"/>
                <w:szCs w:val="20"/>
                <w:color w:val="auto"/>
              </w:rPr>
            </w:pPr>
            <w:r>
              <w:rPr>
                <w:rFonts w:ascii="Arial" w:cs="Arial" w:eastAsia="Arial" w:hAnsi="Arial"/>
                <w:sz w:val="18"/>
                <w:szCs w:val="18"/>
                <w:color w:val="auto"/>
              </w:rPr>
              <w:t>NET CHANGE IN CASH, CASH EQUIVALENTS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(73,516,000)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4,271,000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CASH EQUIVALENTS, beginning of period</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96,270,000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42,167,000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CASH, CASH EQUIVALENTS, end of period</w:t>
            </w:r>
          </w:p>
        </w:tc>
        <w:tc>
          <w:tcPr>
            <w:tcW w:w="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22,754,000</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46,438,000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7480" w:type="dxa"/>
            <w:vAlign w:val="bottom"/>
          </w:tcPr>
          <w:p>
            <w:pPr>
              <w:ind w:left="180"/>
              <w:spacing w:after="0"/>
              <w:rPr>
                <w:sz w:val="20"/>
                <w:szCs w:val="20"/>
                <w:color w:val="auto"/>
              </w:rPr>
            </w:pPr>
            <w:r>
              <w:rPr>
                <w:rFonts w:ascii="Arial" w:cs="Arial" w:eastAsia="Arial" w:hAnsi="Arial"/>
                <w:sz w:val="18"/>
                <w:szCs w:val="18"/>
                <w:color w:val="auto"/>
              </w:rPr>
              <w:t>Cash paid for income taxes</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24"/>
                <w:szCs w:val="24"/>
                <w:color w:val="auto"/>
              </w:rPr>
            </w:pPr>
          </w:p>
        </w:tc>
        <w:tc>
          <w:tcPr>
            <w:tcW w:w="6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4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 paid for interest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8,076,000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3,234,000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ind w:left="180"/>
              <w:spacing w:after="0" w:line="195" w:lineRule="exact"/>
              <w:rPr>
                <w:sz w:val="20"/>
                <w:szCs w:val="20"/>
                <w:color w:val="auto"/>
              </w:rPr>
            </w:pPr>
            <w:r>
              <w:rPr>
                <w:rFonts w:ascii="Arial" w:cs="Arial" w:eastAsia="Arial" w:hAnsi="Arial"/>
                <w:sz w:val="18"/>
                <w:szCs w:val="18"/>
                <w:color w:val="auto"/>
              </w:rPr>
              <w:t>SUPPLEMENTAL DISCLOSURES OF NON-CASH INVESTING AND FINANCING</w:t>
            </w: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4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Purchase of property, plant and equipment included in accounts payable and accrued expenses</w:t>
            </w:r>
          </w:p>
        </w:tc>
        <w:tc>
          <w:tcPr>
            <w:tcW w:w="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8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color w:val="auto"/>
              </w:rPr>
              <w:t>Right-of-use assets obtained in exchange for new operating lease obligations</w:t>
            </w:r>
          </w:p>
        </w:tc>
        <w:tc>
          <w:tcPr>
            <w:tcW w:w="160" w:type="dxa"/>
            <w:vAlign w:val="bottom"/>
            <w:tcBorders>
              <w:top w:val="single" w:sz="8" w:color="CCEEFF"/>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CCEEFF"/>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2,188,000</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Accrual of exit fee related to Oaktree Loan</w:t>
            </w:r>
          </w:p>
        </w:tc>
        <w:tc>
          <w:tcPr>
            <w:tcW w:w="1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2,275,000</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ind w:left="180"/>
              <w:spacing w:after="0"/>
              <w:rPr>
                <w:sz w:val="20"/>
                <w:szCs w:val="20"/>
                <w:color w:val="auto"/>
              </w:rPr>
            </w:pPr>
            <w:r>
              <w:rPr>
                <w:rFonts w:ascii="Arial" w:cs="Arial" w:eastAsia="Arial" w:hAnsi="Arial"/>
                <w:sz w:val="18"/>
                <w:szCs w:val="18"/>
                <w:color w:val="auto"/>
              </w:rPr>
              <w:t>Reclassification of deferred financing costs</w:t>
            </w:r>
          </w:p>
        </w:tc>
        <w:tc>
          <w:tcPr>
            <w:tcW w:w="16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1,950,000</w:t>
            </w:r>
          </w:p>
        </w:tc>
        <w:tc>
          <w:tcPr>
            <w:tcW w:w="2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4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owed for exercise of options</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1,037,000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2023 and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Harrow Health, Inc. (together with its subsidiaries, partially owned companies and royalty arrangements unless the context indicates or otherwise requires, the “Company” or “Harrow”) is a leading eyecare pharmaceutical company engaged in the discovery, development, and commercialization of innovative ophthalmic pharmaceutical products for the U.S. market. Harrow helps U.S. eyecare professionals preserve the gift of sight by making its comprehensive portfolio of prescription and non-prescription pharmaceutical products accessible and affordable to millions of Americans each year. The Company own commercial rights to one of the largest portfolios of branded ophthalmic pharmaceutical products in the U.S. that are marketed under its Harrow name. The Company also owns and operates ImprimisRx, one of the nation’s leading ophthalmology-focused pharmaceutical-compounding businesses.</w:t>
      </w:r>
    </w:p>
    <w:p>
      <w:pPr>
        <w:spacing w:after="0" w:line="16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owns non-controlling equity interests in Surface Ophthalmics, Inc. (“Surface”) and Melt Pharmaceuticals, Inc. (“Melt”), both companies that began as subsidiaries of Harrow. Harrow also owns royalty rights in various drug candidates being developed by Surface and Melt.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prepared the accompanying unaudited condensed consolidated financial statements in accordance with accounting principles generally accepted in the United States of America (“GAAP”) for interim financial information and in accordance with the rules and regulations of the U.S. Securities and Exchange Commission.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and six months ended June 30, 2023 are not necessarily indicative of the results that may be expected for the year ending December 31, 2023 or for any other period. For further information, refer to the Company’s audited consolidated financial statements and footnotes thereto included in the Company’s Annual Report on Form 10-K for the year ended December 31, 2022.</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 owned and majority-owned subsidiaries.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Harrow consolidates entities in which it has a controlling financial interest. The Company assesses control under the variable interest entity (“VIE”) model to determine whether the Company is the primary beneficiary of that entity. The Company consolidates (i) entities in which it holds and/or controls, directly or indirectly, more than 50% of the voting rights, and (ii) VIEs for which the Company is deemed to be the primary beneficiary. All intercompany accounts and transactions have been eliminated in consolidation.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represents an update for the three and six months ended June 30, 2023 to the significant accounting policies described in the Company’s Annual Report on Form 10-K for the year ended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Uncertainties and Liquidity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certain regulatory standards, approvals, guidelines and inspections which could impact the Company’s ability to make, dispense, and sell certain products. If the Company was required to cease compounding and selling certain products as a result of regulatory guidelines or inspections, this may have a material impact on the Company’s financial condition, liquidity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Losses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estimates and records a provision for its expected credit losses related to its financial instruments, including its trade receivables, management considers historical collection rates, the current financial status of the Company’s customers, macroeconomic factors, and other industry-specific factors when evaluating for current expected credit losses. Forward-looking information is also considered in the evaluation of current expected credit losses. However, because of the short time to the expected receipt of accounts receivable, management believes that the carrying value, net of expected losses, approximates fair value and therefore, relies more on historical and current analysis of such financial instruments, including its trade receivables.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spacing w:after="0" w:line="271" w:lineRule="auto"/>
        <w:rPr>
          <w:sz w:val="20"/>
          <w:szCs w:val="20"/>
          <w:color w:val="auto"/>
        </w:rPr>
      </w:pPr>
      <w:r>
        <w:rPr>
          <w:rFonts w:ascii="Arial" w:cs="Arial" w:eastAsia="Arial" w:hAnsi="Arial"/>
          <w:sz w:val="17"/>
          <w:szCs w:val="17"/>
          <w:color w:val="auto"/>
        </w:rPr>
        <w:t>To determine the provision for credit losses for accounts receivable, the Company has disaggregated its accounts receivable by class of customer at the business component level, as management determined that risk profile of the Company’s customers is consistent based on the type and industry in which they operate, mainly in the pharmaceuticals industry. Each business component is analyzed for estimated credit losses individually. In doing so, the Company establishes a historical loss matrix, based on the previous collections of accounts receivable by the age of such receivables, and evaluates the current and forecasted financial position of its customers, as available. Further, the Company considers macroeconomic factors and the status of the pharmaceuticals industry to estimate if there are current expected credit losses within its trade receivables based on the trends of the Company’s expectation of the future status of such economic and industry-specific factors. Also, specific allowance amounts are established based on review of outstanding invoices to record the appropriate provision for customers that have a higher probability of default.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accounts receivable balance on the Company’s condensed consolidated balance sheet as of June 30, 2023 was $18,258,000, net of $75,000 of allowances. The following table provides a roll-forward of the allowance for credit losses that is deducted from the amortized cost basis of accounts receivable to present the net amount expected to be collected at June 30, 2023:</w:t>
      </w:r>
    </w:p>
    <w:p>
      <w:pPr>
        <w:sectPr>
          <w:pgSz w:w="11900" w:h="16838" w:orient="portrait"/>
          <w:cols w:equalWidth="0" w:num="1">
            <w:col w:w="11240"/>
          </w:cols>
          <w:pgMar w:left="320" w:top="692"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Balance at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27736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 in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27736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77360" cy="1625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Write-offs, net of recoveries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2023</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Combinations and Asset Acquisitions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666" w:hanging="666"/>
        <w:spacing w:after="0"/>
        <w:tabs>
          <w:tab w:leader="none" w:pos="666" w:val="left"/>
        </w:tabs>
        <w:numPr>
          <w:ilvl w:val="0"/>
          <w:numId w:val="3"/>
        </w:numPr>
        <w:rPr>
          <w:rFonts w:ascii="Arial" w:cs="Arial" w:eastAsia="Arial" w:hAnsi="Arial"/>
          <w:sz w:val="18"/>
          <w:szCs w:val="18"/>
          <w:color w:val="auto"/>
        </w:rPr>
      </w:pPr>
      <w:r>
        <w:rPr>
          <w:rFonts w:ascii="Arial" w:cs="Arial" w:eastAsia="Arial" w:hAnsi="Arial"/>
          <w:sz w:val="18"/>
          <w:szCs w:val="18"/>
          <w:color w:val="auto"/>
        </w:rPr>
        <w:t>73,000</w:t>
      </w:r>
    </w:p>
    <w:p>
      <w:pPr>
        <w:spacing w:after="0" w:line="23" w:lineRule="exact"/>
        <w:rPr>
          <w:rFonts w:ascii="Arial" w:cs="Arial" w:eastAsia="Arial" w:hAnsi="Arial"/>
          <w:sz w:val="18"/>
          <w:szCs w:val="18"/>
          <w:color w:val="auto"/>
        </w:rPr>
      </w:pPr>
    </w:p>
    <w:p>
      <w:pPr>
        <w:ind w:left="666"/>
        <w:spacing w:after="0"/>
        <w:rPr>
          <w:rFonts w:ascii="Arial" w:cs="Arial" w:eastAsia="Arial" w:hAnsi="Arial"/>
          <w:sz w:val="18"/>
          <w:szCs w:val="18"/>
          <w:color w:val="auto"/>
        </w:rPr>
      </w:pPr>
      <w:r>
        <w:rPr>
          <w:rFonts w:ascii="Arial" w:cs="Arial" w:eastAsia="Arial" w:hAnsi="Arial"/>
          <w:sz w:val="18"/>
          <w:szCs w:val="18"/>
          <w:color w:val="auto"/>
        </w:rPr>
        <w:t>29,000</w:t>
      </w:r>
    </w:p>
    <w:p>
      <w:pPr>
        <w:spacing w:after="0" w:line="9" w:lineRule="exact"/>
        <w:rPr>
          <w:sz w:val="20"/>
          <w:szCs w:val="20"/>
          <w:color w:val="auto"/>
        </w:rPr>
      </w:pPr>
    </w:p>
    <w:p>
      <w:pPr>
        <w:jc w:val="right"/>
        <w:ind w:right="4500"/>
        <w:spacing w:after="0"/>
        <w:rPr>
          <w:sz w:val="20"/>
          <w:szCs w:val="20"/>
          <w:color w:val="auto"/>
        </w:rPr>
      </w:pPr>
      <w:r>
        <w:rPr>
          <w:rFonts w:ascii="Arial" w:cs="Arial" w:eastAsia="Arial" w:hAnsi="Arial"/>
          <w:sz w:val="18"/>
          <w:szCs w:val="18"/>
          <w:color w:val="auto"/>
        </w:rPr>
        <w:t>(27,000)</w:t>
      </w:r>
    </w:p>
    <w:p>
      <w:pPr>
        <w:spacing w:after="0" w:line="49" w:lineRule="exact"/>
        <w:rPr>
          <w:sz w:val="20"/>
          <w:szCs w:val="20"/>
          <w:color w:val="auto"/>
        </w:rPr>
      </w:pPr>
    </w:p>
    <w:p>
      <w:pPr>
        <w:ind w:left="666" w:hanging="666"/>
        <w:spacing w:after="0"/>
        <w:tabs>
          <w:tab w:leader="none" w:pos="666" w:val="left"/>
        </w:tabs>
        <w:numPr>
          <w:ilvl w:val="0"/>
          <w:numId w:val="4"/>
        </w:numPr>
        <w:rPr>
          <w:rFonts w:ascii="Arial" w:cs="Arial" w:eastAsia="Arial" w:hAnsi="Arial"/>
          <w:sz w:val="18"/>
          <w:szCs w:val="18"/>
          <w:color w:val="auto"/>
        </w:rPr>
      </w:pPr>
      <w:r>
        <w:rPr>
          <w:rFonts w:ascii="Arial" w:cs="Arial" w:eastAsia="Arial" w:hAnsi="Arial"/>
          <w:sz w:val="18"/>
          <w:szCs w:val="18"/>
          <w:color w:val="auto"/>
        </w:rPr>
        <w:t>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372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31750</wp:posOffset>
            </wp:positionV>
            <wp:extent cx="7372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633" w:lineRule="exact"/>
        <w:rPr>
          <w:sz w:val="20"/>
          <w:szCs w:val="20"/>
          <w:color w:val="auto"/>
        </w:rPr>
      </w:pPr>
    </w:p>
    <w:p>
      <w:pPr>
        <w:sectPr>
          <w:pgSz w:w="11900" w:h="16838" w:orient="portrait"/>
          <w:cols w:equalWidth="0" w:num="2">
            <w:col w:w="4794" w:space="720"/>
            <w:col w:w="5726"/>
          </w:cols>
          <w:pgMar w:left="320" w:top="692" w:right="339" w:bottom="1440" w:gutter="0" w:footer="0" w:header="0"/>
          <w:type w:val="continuous"/>
        </w:sectPr>
      </w:pP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evaluates acquisitions of assets and other similar transactions to assess whether the transaction should be accounted for as a business combination or asset acquisition by first applying a screen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the Company has acquired inputs, process, and output, which would meet the requirements of a business. If determined to be a business combination, the Company accounts for the transaction under the acquisition method of accounting as indicated in Financial Accounting Standards Board (“FASB”).</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Accounting Standards Codification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requires the acquiring entity in a business combination to recognize the fair value of all assets acquired, liabilities assumed, and any non-controlling interest in the acquiree and establishes the acquisition date as the fair value measurement point. Accordingly, the Company recognizes assets acquired and liabilities assumed in business combinations, including any contingent assets and liabilities, and any non-controlling interest in the acquiree based on the fair value estimates as of the date of acquisition. The Company recognizes and measures goodwill as of the acquisition date, as the excess of the fair value of the consideration paid over the fair value of the identified net assets acquired.</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consideration for the Company’s business acquisitions may include future payments that are contingent upon the occurrence of a particular event or events. The obligation for such contingent consideration payments are recorded at fair value on the acquisition date. The contingent consideration obligations are then evaluated each reporting period. Changes in the fair value of contingent consideration, other than changes due to payments, would be recognized as a gain or loss and recorded in the condensed consolidated statement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9" w:name="page10"/>
    <w:bookmarkEnd w:id="9"/>
    <w:p>
      <w:pPr>
        <w:jc w:val="both"/>
        <w:spacing w:after="0" w:line="254" w:lineRule="auto"/>
        <w:rPr>
          <w:sz w:val="20"/>
          <w:szCs w:val="20"/>
          <w:color w:val="auto"/>
        </w:rPr>
      </w:pPr>
      <w:r>
        <w:rPr>
          <w:rFonts w:ascii="Arial" w:cs="Arial" w:eastAsia="Arial" w:hAnsi="Arial"/>
          <w:sz w:val="18"/>
          <w:szCs w:val="18"/>
          <w:color w:val="auto"/>
        </w:rPr>
        <w:t xml:space="preserve">If determined to be an asset acquisition, the Company accounts for the transaction under ASC 805-50 </w:t>
      </w:r>
      <w:r>
        <w:rPr>
          <w:rFonts w:ascii="Arial" w:cs="Arial" w:eastAsia="Arial" w:hAnsi="Arial"/>
          <w:sz w:val="18"/>
          <w:szCs w:val="18"/>
          <w:i w:val="1"/>
          <w:iCs w:val="1"/>
          <w:color w:val="auto"/>
        </w:rPr>
        <w:t>Business Combinations – Related Issues</w:t>
      </w:r>
      <w:r>
        <w:rPr>
          <w:rFonts w:ascii="Arial" w:cs="Arial" w:eastAsia="Arial" w:hAnsi="Arial"/>
          <w:sz w:val="18"/>
          <w:szCs w:val="18"/>
          <w:color w:val="auto"/>
        </w:rPr>
        <w:t>, which requires the acquiring entity in an asset acquisition to recognize assets acquired and liabilities assumed based on the cost to the acquiring entity or a relative fair value basis, which includes transaction costs in addition to consideration given. No gain or loss is recognized as of the date of acquisition unless the fair value of non-cash assets given as consideration differs from the assets’ carrying amounts on the acquiring entity’s financial statements. Consideration transferred that is non-cash will be measured based on either the cost (which shall be measured based on the fair value of the consideration given) or the fair value of the assets acquired, and liabilities assumed, whichever is more clearly evident and more reliably measurable. Goodwill is not recognized in an asset acquisition and any excess consideration transferred over the fair value of the net assets acquired is allocated to the identifiable assets based on relative fair values.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87" w:lineRule="exact"/>
        <w:rPr>
          <w:sz w:val="20"/>
          <w:szCs w:val="20"/>
          <w:color w:val="auto"/>
        </w:rPr>
      </w:pPr>
    </w:p>
    <w:p>
      <w:pPr>
        <w:ind w:left="340" w:hanging="332"/>
        <w:spacing w:after="0" w:line="274"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jc w:val="both"/>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9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June 30, 2023 and December 31, 2022, the Company measured its investment in Eton Pharmaceuticals, Inc. (“Eton”) on a recurring basis. The Company’s investment in Eton is classified as Level 1 as the fair value is determined using quoted market prices in active markets for the same securities. As of June 30, 2023 and December 31, 2022, the fair market value of the Company’s investment in Eton was $6,917,000 and $5,589,000, respectively.</w:t>
      </w:r>
    </w:p>
    <w:p>
      <w:pPr>
        <w:spacing w:after="0" w:line="1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carries the 2026 Notes at face value, including the unamortized premium, less unamortized debt issuance costs, the 2027 Notes are carried at face value less unamortized debt issuance costs, and the Oaktree Loan (as defined in Note 13) is carried at face value less the original issue discount and unamortized debt issuance costs on the condensed consolidated balance sheets and the Company presents fair value for disclosure purposes only. The 2026 Notes and 2027 Notes are classified as Level 1 instruments as the fair value is determined using quoted market prices in active markets for the same securities. The Oaktree Loan is classified as a Level 2 instrument and its fair value is determined through an income approach that considers collateral coverage, yield calibration, yield analysis and any adjustments to implied yield associated with the Company’s fundamental measures.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estimated fair values and the carrying values: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5"/>
          </w:tcPr>
          <w:p>
            <w:pPr>
              <w:ind w:left="860"/>
              <w:spacing w:after="0"/>
              <w:rPr>
                <w:sz w:val="20"/>
                <w:szCs w:val="20"/>
                <w:color w:val="auto"/>
              </w:rPr>
            </w:pPr>
            <w:r>
              <w:rPr>
                <w:rFonts w:ascii="Arial" w:cs="Arial" w:eastAsia="Arial" w:hAnsi="Arial"/>
                <w:sz w:val="18"/>
                <w:szCs w:val="18"/>
                <w:color w:val="auto"/>
              </w:rPr>
              <w:t>June 30, 2023</w:t>
            </w:r>
          </w:p>
        </w:tc>
        <w:tc>
          <w:tcPr>
            <w:tcW w:w="100" w:type="dxa"/>
            <w:vAlign w:val="bottom"/>
          </w:tcPr>
          <w:p>
            <w:pPr>
              <w:spacing w:after="0"/>
              <w:rPr>
                <w:sz w:val="20"/>
                <w:szCs w:val="20"/>
                <w:color w:val="auto"/>
              </w:rPr>
            </w:pPr>
          </w:p>
        </w:tc>
        <w:tc>
          <w:tcPr>
            <w:tcW w:w="2960" w:type="dxa"/>
            <w:vAlign w:val="bottom"/>
            <w:gridSpan w:val="5"/>
          </w:tcPr>
          <w:p>
            <w:pPr>
              <w:ind w:left="680"/>
              <w:spacing w:after="0"/>
              <w:rPr>
                <w:sz w:val="20"/>
                <w:szCs w:val="20"/>
                <w:color w:val="auto"/>
              </w:rPr>
            </w:pPr>
            <w:r>
              <w:rPr>
                <w:rFonts w:ascii="Arial" w:cs="Arial" w:eastAsia="Arial" w:hAnsi="Arial"/>
                <w:sz w:val="18"/>
                <w:szCs w:val="18"/>
                <w:color w:val="auto"/>
              </w:rPr>
              <w:t>December 31, 2022</w:t>
            </w:r>
          </w:p>
        </w:tc>
      </w:tr>
      <w:tr>
        <w:trPr>
          <w:trHeight w:val="236"/>
        </w:trPr>
        <w:tc>
          <w:tcPr>
            <w:tcW w:w="1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0"/>
              </w:rPr>
              <w:t>Carrying Value</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Fair Value</w:t>
            </w:r>
          </w:p>
        </w:tc>
        <w:tc>
          <w:tcPr>
            <w:tcW w:w="2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color w:val="auto"/>
                <w:w w:val="92"/>
              </w:rPr>
              <w:t>Carrying Value</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Fair Value</w:t>
            </w:r>
          </w:p>
        </w:tc>
        <w:tc>
          <w:tcPr>
            <w:tcW w:w="100" w:type="dxa"/>
            <w:vAlign w:val="bottom"/>
          </w:tcPr>
          <w:p>
            <w:pPr>
              <w:spacing w:after="0"/>
              <w:rPr>
                <w:sz w:val="20"/>
                <w:szCs w:val="20"/>
                <w:color w:val="auto"/>
              </w:rPr>
            </w:pPr>
          </w:p>
        </w:tc>
      </w:tr>
      <w:tr>
        <w:trPr>
          <w:trHeight w:val="216"/>
        </w:trPr>
        <w:tc>
          <w:tcPr>
            <w:tcW w:w="1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2026 Notes</w:t>
            </w:r>
          </w:p>
        </w:tc>
        <w:tc>
          <w:tcPr>
            <w:tcW w:w="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72,823,000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74,550,000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72,436,000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2027 Notes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37,053,000</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340"/>
              <w:spacing w:after="0"/>
              <w:rPr>
                <w:sz w:val="20"/>
                <w:szCs w:val="20"/>
                <w:color w:val="auto"/>
              </w:rPr>
            </w:pPr>
            <w:r>
              <w:rPr>
                <w:rFonts w:ascii="Arial" w:cs="Arial" w:eastAsia="Arial" w:hAnsi="Arial"/>
                <w:sz w:val="18"/>
                <w:szCs w:val="18"/>
                <w:color w:val="auto"/>
              </w:rPr>
              <w:t>40,604,000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31,738,000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35,112,000</w:t>
            </w:r>
          </w:p>
        </w:tc>
        <w:tc>
          <w:tcPr>
            <w:tcW w:w="100" w:type="dxa"/>
            <w:vAlign w:val="bottom"/>
          </w:tcPr>
          <w:p>
            <w:pPr>
              <w:spacing w:after="0"/>
              <w:rPr>
                <w:sz w:val="18"/>
                <w:szCs w:val="18"/>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Oaktree Loan</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59,836,000</w:t>
            </w: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63,661,000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other financial instruments include cash and cash equivalents, accounts receivable, accounts payable and accrued expenses, accrued payroll and related liabilities, deferred revenue and customer deposits and operating lease liabilities. The carrying amount of these financial instruments, except for operating lease liabilities, approximates fair value due to the short-term maturities of these instruments. Based on borrowing rates currently available to the Company, the carrying value of the operating lease liabilities approximate their respective fair values.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restricted stock units (“RSUs”), performance stock units (“PSUs”), and warrants, outstanding during the period. Common equivalent shares (using the treasury stock method) from stock options, unvested RSUs, unvested PSUs and warrants were 6,131,026 and 5,646,672 at June 30, 2023 and 2022, respectively, and are excluded in the calculation of diluted net loss per common share for the periods presented, because the effect is anti-dilutive. Included in the basic and diluted net loss per share calculation were RSUs awarded to directors that had vested, but the issuance and delivery of the shares are deferred until the director resigns. The number of shares underlying vested RSUs at June 30, 2023 and 2022 was 234,027 and 287,049,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computation of basic net loss per share of common stock for the three and six months ended June 30, 2023 and 2022:</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5"/>
          </w:tcPr>
          <w:p>
            <w:pPr>
              <w:jc w:val="right"/>
              <w:ind w:right="481"/>
              <w:spacing w:after="0"/>
              <w:rPr>
                <w:sz w:val="20"/>
                <w:szCs w:val="20"/>
                <w:color w:val="auto"/>
              </w:rPr>
            </w:pPr>
            <w:r>
              <w:rPr>
                <w:rFonts w:ascii="Arial" w:cs="Arial" w:eastAsia="Arial" w:hAnsi="Arial"/>
                <w:sz w:val="18"/>
                <w:szCs w:val="18"/>
                <w:color w:val="auto"/>
              </w:rPr>
              <w:t>For the Three Months Ended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5"/>
          </w:tcPr>
          <w:p>
            <w:pPr>
              <w:jc w:val="right"/>
              <w:ind w:right="521"/>
              <w:spacing w:after="0"/>
              <w:rPr>
                <w:sz w:val="20"/>
                <w:szCs w:val="20"/>
                <w:color w:val="auto"/>
              </w:rPr>
            </w:pPr>
            <w:r>
              <w:rPr>
                <w:rFonts w:ascii="Arial" w:cs="Arial" w:eastAsia="Arial" w:hAnsi="Arial"/>
                <w:sz w:val="18"/>
                <w:szCs w:val="18"/>
                <w:color w:val="auto"/>
              </w:rPr>
              <w:t>For the Six Months Ended</w:t>
            </w:r>
          </w:p>
        </w:tc>
        <w:tc>
          <w:tcPr>
            <w:tcW w:w="0" w:type="dxa"/>
            <w:vAlign w:val="bottom"/>
          </w:tcPr>
          <w:p>
            <w:pPr>
              <w:spacing w:after="0"/>
              <w:rPr>
                <w:sz w:val="1"/>
                <w:szCs w:val="1"/>
                <w:color w:val="auto"/>
              </w:rPr>
            </w:pPr>
          </w:p>
        </w:tc>
      </w:tr>
      <w:tr>
        <w:trPr>
          <w:trHeight w:val="237"/>
        </w:trPr>
        <w:tc>
          <w:tcPr>
            <w:tcW w:w="4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8"/>
                <w:szCs w:val="18"/>
                <w:color w:val="auto"/>
                <w:w w:val="87"/>
              </w:rPr>
              <w:t>June 30, 2023</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5"/>
              </w:rPr>
              <w:t>June 30, 2022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jc w:val="right"/>
              <w:ind w:right="361"/>
              <w:spacing w:after="0"/>
              <w:rPr>
                <w:sz w:val="20"/>
                <w:szCs w:val="20"/>
                <w:color w:val="auto"/>
              </w:rPr>
            </w:pPr>
            <w:r>
              <w:rPr>
                <w:rFonts w:ascii="Arial" w:cs="Arial" w:eastAsia="Arial" w:hAnsi="Arial"/>
                <w:sz w:val="18"/>
                <w:szCs w:val="18"/>
                <w:color w:val="auto"/>
                <w:w w:val="87"/>
              </w:rPr>
              <w:t>June 30, 2023</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June 30, 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(4,229,000)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(6,239,000)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(10,872,000)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(8,677,000)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5"/>
              </w:rPr>
              <w:t>Denominator – weighted average number of shares outstanding,</w:t>
            </w: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vMerge w:val="restart"/>
          </w:tcPr>
          <w:p>
            <w:pPr>
              <w:jc w:val="right"/>
              <w:ind w:right="230"/>
              <w:spacing w:after="0"/>
              <w:rPr>
                <w:sz w:val="20"/>
                <w:szCs w:val="20"/>
                <w:color w:val="auto"/>
              </w:rPr>
            </w:pPr>
            <w:r>
              <w:rPr>
                <w:rFonts w:ascii="Arial" w:cs="Arial" w:eastAsia="Arial" w:hAnsi="Arial"/>
                <w:sz w:val="18"/>
                <w:szCs w:val="18"/>
                <w:color w:val="auto"/>
              </w:rPr>
              <w:t>30,458,677</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27,303,458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vMerge w:val="restart"/>
          </w:tcPr>
          <w:p>
            <w:pPr>
              <w:jc w:val="right"/>
              <w:ind w:right="241"/>
              <w:spacing w:after="0"/>
              <w:rPr>
                <w:sz w:val="20"/>
                <w:szCs w:val="20"/>
                <w:color w:val="auto"/>
              </w:rPr>
            </w:pPr>
            <w:r>
              <w:rPr>
                <w:rFonts w:ascii="Arial" w:cs="Arial" w:eastAsia="Arial" w:hAnsi="Arial"/>
                <w:sz w:val="18"/>
                <w:szCs w:val="18"/>
                <w:color w:val="auto"/>
              </w:rPr>
              <w:t>30,379,354</w:t>
            </w:r>
          </w:p>
        </w:tc>
        <w:tc>
          <w:tcPr>
            <w:tcW w:w="1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27,265,350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4900" w:type="dxa"/>
            <w:vAlign w:val="bottom"/>
          </w:tcPr>
          <w:p>
            <w:pPr>
              <w:spacing w:after="0"/>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34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effective tax rate was (2.71)% and 0.46% for the six months ended June 30, 2023 and 2022, respectively. The Company’s effective tax rate for the six months ended June 30, 2023 and 2022 differs from the U.S. federal statutory tax rate of 21% due to state taxes, permanent book-tax differences related to Internal Revenue Code of 1986, as amended (“IRC”), Section 162(m) excess officer compensation limitation and share-based compensation and the change in valuation allowance.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and December 31, 2022, there were no unrecognized tax benefits included in the condensed consolidated balance sheets that would, if recognized, affect the effective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Eton Pharmaceuticals, Inc.</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As of June 30, 2023, the Company owned 1,982,000 shares of Eton common stock, which represents less than 10% of the equity interests of Eton. At June 30, 2023, the fair market value of Eton’s common stock was $3.49 per share. In accordance with ASC 321, </w:t>
      </w:r>
      <w:r>
        <w:rPr>
          <w:rFonts w:ascii="Arial" w:cs="Arial" w:eastAsia="Arial" w:hAnsi="Arial"/>
          <w:sz w:val="16"/>
          <w:szCs w:val="16"/>
          <w:i w:val="1"/>
          <w:iCs w:val="1"/>
          <w:color w:val="auto"/>
        </w:rPr>
        <w:t>Investments — Equity Securities</w:t>
      </w:r>
      <w:r>
        <w:rPr>
          <w:rFonts w:ascii="Arial" w:cs="Arial" w:eastAsia="Arial" w:hAnsi="Arial"/>
          <w:sz w:val="16"/>
          <w:szCs w:val="16"/>
          <w:color w:val="auto"/>
        </w:rPr>
        <w:t>, the Company recorded unrealized holding gains and (losses) from its Eton common stock position of $(714,000) and $1,328,000 during the three and six months ended June 30, 2023, respectively, and $(3,449,000) and $(3,310,000) during the same periods in 2022, respectively, related to the change in fair market value of its investment in Eton during the measurement period. As of June 30, 2023, the fair market value of the Company’s investment in Eton was $6,917,000.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Melt Pharmaceuticals, Inc. – Related Party</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owns 3,500,000 shares of common stock of Melt (representing approximately 46% of the equity interests of Melt as of June 30, 2023). The Company analyzes its investment in Melt and related agreements on a regular basis to evaluate its position of variable interests in Melt. The Company has determined that it does not have the ability to control Melt, however it has the ability to exercise significant influence over the operating and financial decisions of Melt and uses the equity method of accounting for this investment. Under this method, the Company recognizes earnings and losses in Melt in its condensed consolidated financial statements and adjusts the carrying amount of its investment in Melt accordingly. Any intra-entity profits and losses are eliminated. During the year ended December 31, 2021, the Company reduced the carrying value of its common stock investment in Melt to $0 as a result of the Company recording its share of equity losses in Melt since its deconsolidation in 2019. As of June 30, 2023, and at the time of entering into the Melt Loan Agreement (see Note 5), the Company owned 100% of Melt’s indebtedness. Following the reduction of the carrying value of the Company’s common stock investment in Melt to $0, the Company began recording 100% of the equity method losses of Melt, based on its ownership of Melt’s total indebtedness. In addition, the Company treats interest paid in kind on the Melt Loan Agreement as an in-substance capital contribution and reduces its investment in Melt accordingly, rather than recording interest income. The Company has no other requirements to advance funds to Melt.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summarizes the Company’s investments in Melt as of June 30,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90"/>
              <w:spacing w:after="0"/>
              <w:rPr>
                <w:sz w:val="20"/>
                <w:szCs w:val="20"/>
                <w:color w:val="auto"/>
              </w:rPr>
            </w:pPr>
            <w:r>
              <w:rPr>
                <w:rFonts w:ascii="Arial" w:cs="Arial" w:eastAsia="Arial" w:hAnsi="Arial"/>
                <w:sz w:val="18"/>
                <w:szCs w:val="18"/>
                <w:color w:val="auto"/>
                <w:w w:val="99"/>
              </w:rPr>
              <w:t>Share of</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41"/>
              <w:spacing w:after="0"/>
              <w:rPr>
                <w:sz w:val="20"/>
                <w:szCs w:val="20"/>
                <w:color w:val="auto"/>
              </w:rPr>
            </w:pPr>
            <w:r>
              <w:rPr>
                <w:rFonts w:ascii="Arial" w:cs="Arial" w:eastAsia="Arial" w:hAnsi="Arial"/>
                <w:sz w:val="18"/>
                <w:szCs w:val="18"/>
                <w:color w:val="auto"/>
                <w:w w:val="87"/>
              </w:rPr>
              <w:t>In-substance</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Cost</w:t>
            </w:r>
          </w:p>
        </w:tc>
        <w:tc>
          <w:tcPr>
            <w:tcW w:w="1460" w:type="dxa"/>
            <w:vAlign w:val="bottom"/>
            <w:gridSpan w:val="3"/>
          </w:tcPr>
          <w:p>
            <w:pPr>
              <w:ind w:left="20"/>
              <w:spacing w:after="0"/>
              <w:rPr>
                <w:sz w:val="20"/>
                <w:szCs w:val="20"/>
                <w:color w:val="auto"/>
              </w:rPr>
            </w:pPr>
            <w:r>
              <w:rPr>
                <w:rFonts w:ascii="Arial" w:cs="Arial" w:eastAsia="Arial" w:hAnsi="Arial"/>
                <w:sz w:val="18"/>
                <w:szCs w:val="18"/>
                <w:color w:val="auto"/>
              </w:rPr>
              <w:t>Equity Method</w:t>
            </w:r>
          </w:p>
        </w:tc>
        <w:tc>
          <w:tcPr>
            <w:tcW w:w="100" w:type="dxa"/>
            <w:vAlign w:val="bottom"/>
          </w:tcPr>
          <w:p>
            <w:pPr>
              <w:spacing w:after="0"/>
              <w:rPr>
                <w:sz w:val="19"/>
                <w:szCs w:val="19"/>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Paid-in-Kind</w:t>
            </w:r>
          </w:p>
        </w:tc>
        <w:tc>
          <w:tcPr>
            <w:tcW w:w="100" w:type="dxa"/>
            <w:vAlign w:val="bottom"/>
          </w:tcPr>
          <w:p>
            <w:pPr>
              <w:spacing w:after="0"/>
              <w:rPr>
                <w:sz w:val="19"/>
                <w:szCs w:val="19"/>
                <w:color w:val="auto"/>
              </w:rPr>
            </w:pPr>
          </w:p>
        </w:tc>
        <w:tc>
          <w:tcPr>
            <w:tcW w:w="1360" w:type="dxa"/>
            <w:vAlign w:val="bottom"/>
            <w:gridSpan w:val="2"/>
          </w:tcPr>
          <w:p>
            <w:pPr>
              <w:jc w:val="center"/>
              <w:ind w:right="361"/>
              <w:spacing w:after="0"/>
              <w:rPr>
                <w:sz w:val="20"/>
                <w:szCs w:val="20"/>
                <w:color w:val="auto"/>
              </w:rPr>
            </w:pPr>
            <w:r>
              <w:rPr>
                <w:rFonts w:ascii="Arial" w:cs="Arial" w:eastAsia="Arial" w:hAnsi="Arial"/>
                <w:sz w:val="18"/>
                <w:szCs w:val="18"/>
                <w:color w:val="auto"/>
                <w:w w:val="92"/>
              </w:rPr>
              <w:t>Capital</w:t>
            </w:r>
          </w:p>
        </w:tc>
        <w:tc>
          <w:tcPr>
            <w:tcW w:w="14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Net</w:t>
            </w:r>
          </w:p>
        </w:tc>
      </w:tr>
      <w:tr>
        <w:trPr>
          <w:trHeight w:val="237"/>
        </w:trPr>
        <w:tc>
          <w:tcPr>
            <w:tcW w:w="2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color w:val="auto"/>
                <w:w w:val="86"/>
              </w:rPr>
              <w:t>Basis</w:t>
            </w:r>
          </w:p>
        </w:tc>
        <w:tc>
          <w:tcPr>
            <w:tcW w:w="180" w:type="dxa"/>
            <w:vAlign w:val="bottom"/>
          </w:tcPr>
          <w:p>
            <w:pPr>
              <w:spacing w:after="0"/>
              <w:rPr>
                <w:sz w:val="20"/>
                <w:szCs w:val="20"/>
                <w:color w:val="auto"/>
              </w:rPr>
            </w:pPr>
          </w:p>
        </w:tc>
        <w:tc>
          <w:tcPr>
            <w:tcW w:w="1280" w:type="dxa"/>
            <w:vAlign w:val="bottom"/>
            <w:gridSpan w:val="2"/>
          </w:tcPr>
          <w:p>
            <w:pPr>
              <w:jc w:val="right"/>
              <w:ind w:right="550"/>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Interest</w:t>
            </w:r>
          </w:p>
        </w:tc>
        <w:tc>
          <w:tcPr>
            <w:tcW w:w="1460" w:type="dxa"/>
            <w:vAlign w:val="bottom"/>
            <w:gridSpan w:val="3"/>
          </w:tcPr>
          <w:p>
            <w:pPr>
              <w:jc w:val="center"/>
              <w:ind w:right="241"/>
              <w:spacing w:after="0"/>
              <w:rPr>
                <w:sz w:val="20"/>
                <w:szCs w:val="20"/>
                <w:color w:val="auto"/>
              </w:rPr>
            </w:pPr>
            <w:r>
              <w:rPr>
                <w:rFonts w:ascii="Arial" w:cs="Arial" w:eastAsia="Arial" w:hAnsi="Arial"/>
                <w:sz w:val="18"/>
                <w:szCs w:val="18"/>
                <w:color w:val="auto"/>
                <w:w w:val="92"/>
              </w:rPr>
              <w:t>Contributions</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Carrying value</w:t>
            </w:r>
          </w:p>
        </w:tc>
      </w:tr>
      <w:tr>
        <w:trPr>
          <w:trHeight w:val="216"/>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1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5,810,000</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(5,810,000)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2480" w:type="dxa"/>
            <w:vAlign w:val="bottom"/>
          </w:tcPr>
          <w:p>
            <w:pPr>
              <w:spacing w:after="0"/>
              <w:rPr>
                <w:sz w:val="20"/>
                <w:szCs w:val="20"/>
                <w:color w:val="auto"/>
              </w:rPr>
            </w:pPr>
            <w:r>
              <w:rPr>
                <w:rFonts w:ascii="Arial" w:cs="Arial" w:eastAsia="Arial" w:hAnsi="Arial"/>
                <w:sz w:val="18"/>
                <w:szCs w:val="18"/>
                <w:color w:val="auto"/>
              </w:rPr>
              <w:t>Note receivable</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13,500,000</w:t>
            </w:r>
          </w:p>
        </w:tc>
        <w:tc>
          <w:tcPr>
            <w:tcW w:w="180" w:type="dxa"/>
            <w:vAlign w:val="bottom"/>
          </w:tcPr>
          <w:p>
            <w:pPr>
              <w:spacing w:after="0"/>
              <w:rPr>
                <w:sz w:val="20"/>
                <w:szCs w:val="20"/>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w w:val="97"/>
              </w:rPr>
              <w:t>(13,500,000)</w:t>
            </w:r>
          </w:p>
        </w:tc>
        <w:tc>
          <w:tcPr>
            <w:tcW w:w="1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3,566,000</w:t>
            </w:r>
          </w:p>
        </w:tc>
        <w:tc>
          <w:tcPr>
            <w:tcW w:w="100" w:type="dxa"/>
            <w:vAlign w:val="bottom"/>
          </w:tcPr>
          <w:p>
            <w:pPr>
              <w:spacing w:after="0"/>
              <w:rPr>
                <w:sz w:val="20"/>
                <w:szCs w:val="20"/>
                <w:color w:val="auto"/>
              </w:rPr>
            </w:pPr>
          </w:p>
        </w:tc>
        <w:tc>
          <w:tcPr>
            <w:tcW w:w="1360" w:type="dxa"/>
            <w:vAlign w:val="bottom"/>
            <w:gridSpan w:val="2"/>
          </w:tcPr>
          <w:p>
            <w:pPr>
              <w:jc w:val="right"/>
              <w:ind w:right="181"/>
              <w:spacing w:after="0"/>
              <w:rPr>
                <w:sz w:val="20"/>
                <w:szCs w:val="20"/>
                <w:color w:val="auto"/>
              </w:rPr>
            </w:pPr>
            <w:r>
              <w:rPr>
                <w:rFonts w:ascii="Arial" w:cs="Arial" w:eastAsia="Arial" w:hAnsi="Arial"/>
                <w:sz w:val="18"/>
                <w:szCs w:val="18"/>
                <w:color w:val="auto"/>
              </w:rPr>
              <w:t>(3,566,000)</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30"/>
        </w:trPr>
        <w:tc>
          <w:tcPr>
            <w:tcW w:w="248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19,310,000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(19,310,000</w:t>
            </w:r>
          </w:p>
        </w:tc>
        <w:tc>
          <w:tcPr>
            <w:tcW w:w="34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(3,566,000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more information and related party disclosure regarding Melt.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Surface Ophthalmics, Inc. – Related Party</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owns 3,500,000 common shares of Surface (representing approximately 20% of Surface’s equity interests following the closing of a round of financing completed by Surface in July 2021) and uses the equity method of accounting for this investment, as management has determined that the Company has the ability to exercise significant influence over the operating and financial decisions of Surface. Under this method, the Company recognizes earnings and losses in Surface in its condensed consolidated financial statements and adjusts the carrying amount of its investment in Surface accordingly. The Company’s share of earnings and losses are based on the Company’s ownership interest of Surface. Any intra-entity profits and losses are eliminated. During the year ended December 31, 2021, the Company reduced its common stock investment in Surface to $0 as a result of the Company recording its share of equity losses of Surface. The Company has no other investments in Surface and no other requirements to advance funds to Surface.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investment in Surface as of June 30,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8"/>
                <w:szCs w:val="18"/>
                <w:color w:val="auto"/>
                <w:w w:val="86"/>
              </w:rPr>
              <w:t>Cost</w:t>
            </w:r>
          </w:p>
        </w:tc>
        <w:tc>
          <w:tcPr>
            <w:tcW w:w="140" w:type="dxa"/>
            <w:vAlign w:val="bottom"/>
          </w:tcPr>
          <w:p>
            <w:pPr>
              <w:spacing w:after="0"/>
              <w:rPr>
                <w:sz w:val="18"/>
                <w:szCs w:val="18"/>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color w:val="auto"/>
              </w:rPr>
              <w:t>Share of Equity</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Net</w:t>
            </w:r>
          </w:p>
        </w:tc>
      </w:tr>
      <w:tr>
        <w:trPr>
          <w:trHeight w:val="237"/>
        </w:trPr>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Basis</w:t>
            </w:r>
          </w:p>
        </w:tc>
        <w:tc>
          <w:tcPr>
            <w:tcW w:w="140" w:type="dxa"/>
            <w:vAlign w:val="bottom"/>
          </w:tcPr>
          <w:p>
            <w:pPr>
              <w:spacing w:after="0"/>
              <w:rPr>
                <w:sz w:val="20"/>
                <w:szCs w:val="20"/>
                <w:color w:val="auto"/>
              </w:rPr>
            </w:pPr>
          </w:p>
        </w:tc>
        <w:tc>
          <w:tcPr>
            <w:tcW w:w="1760" w:type="dxa"/>
            <w:vAlign w:val="bottom"/>
            <w:gridSpan w:val="3"/>
          </w:tcPr>
          <w:p>
            <w:pPr>
              <w:ind w:left="80"/>
              <w:spacing w:after="0"/>
              <w:rPr>
                <w:sz w:val="20"/>
                <w:szCs w:val="20"/>
                <w:color w:val="auto"/>
              </w:rPr>
            </w:pPr>
            <w:r>
              <w:rPr>
                <w:rFonts w:ascii="Arial" w:cs="Arial" w:eastAsia="Arial" w:hAnsi="Arial"/>
                <w:sz w:val="18"/>
                <w:szCs w:val="18"/>
                <w:color w:val="auto"/>
              </w:rPr>
              <w:t>Method Losses</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Carrying value</w:t>
            </w:r>
          </w:p>
        </w:tc>
      </w:tr>
      <w:tr>
        <w:trPr>
          <w:trHeight w:val="229"/>
        </w:trPr>
        <w:tc>
          <w:tcPr>
            <w:tcW w:w="30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(5,320,000</w:t>
            </w:r>
          </w:p>
        </w:tc>
        <w:tc>
          <w:tcPr>
            <w:tcW w:w="26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6 for more information and related party disclosure regarding Surface.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June 2016, FASB issued Accounting Standards Update (“ASU”)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This ASU replaces the incurred loss impairment methodology in current GAAP with a methodology that reflects expected credit losses and requires consideration of a broader range of reasonable and supportable information for credit loss estimates on certain types of financial instruments, including trade receivables. In addition, new disclosures are required. The ASU, as subsequently amended, is effective for the Company for the fiscal years beginning after December 15, 2022. The Company adopted ASU 2016-13 on January 1, 2023. Based on the composition of the Company’s accounts receivable, investment portfolio, and other financial assets, including current market conditions and historical credit loss activity, the adoption of this standard did not have a material impact on the Company’s consolidated financial statements or disclosures. Specifically, the Company’s estimate of expected credit losses as of June 30, 2023, using its expected credit loss evaluation process described above, resulted in no adjustments to the provision for credit losses and no cumulative-effect adjustment to accumulated deficit on the adoption date of the standard.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accounts for contracts with customers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has three primary streams of revenue: (1) revenue recognized from sales of products through its pharmacy and outsourcing facility and sales of branded products to wholesalers through a third-party logistics (“3PL”) partner, (2) revenue recognized from a commission agreement with a third party, and (3) revenue recognized from intellectual property licenses and asset purchase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sells prescription medications directly through its pharmacy, outsourcing facility and 3PL partner. Revenue from the Company’s pharmacy services includes: (i) the portion of the price the client pays directly to the Company, net of any volume-related or other discounts paid back to the client,</w:t>
      </w:r>
    </w:p>
    <w:p>
      <w:pPr>
        <w:ind w:firstLine="8"/>
        <w:spacing w:after="0" w:line="260" w:lineRule="auto"/>
        <w:tabs>
          <w:tab w:leader="none" w:pos="27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paid to the Company by individuals, and (iii) customer copayments made directly to the pharmacy network. Sales taxes are not included in revenue. Following the core principles of ASC 606, the Company has identified the following:</w:t>
      </w:r>
    </w:p>
    <w:p>
      <w:pPr>
        <w:spacing w:after="0" w:line="185" w:lineRule="exact"/>
        <w:rPr>
          <w:sz w:val="20"/>
          <w:szCs w:val="20"/>
          <w:color w:val="auto"/>
        </w:rPr>
      </w:pPr>
    </w:p>
    <w:p>
      <w:pPr>
        <w:jc w:val="both"/>
        <w:ind w:left="34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Identify the contract(s) with a customer: </w:t>
      </w:r>
      <w:r>
        <w:rPr>
          <w:rFonts w:ascii="Arial" w:cs="Arial" w:eastAsia="Arial" w:hAnsi="Arial"/>
          <w:sz w:val="18"/>
          <w:szCs w:val="18"/>
          <w:color w:val="auto"/>
        </w:rPr>
        <w:t>A contract is deemed to exist when the customer places an order through receipt of a prescription, via an</w:t>
      </w:r>
      <w:r>
        <w:rPr>
          <w:rFonts w:ascii="Arial" w:cs="Arial" w:eastAsia="Arial" w:hAnsi="Arial"/>
          <w:sz w:val="18"/>
          <w:szCs w:val="18"/>
          <w:i w:val="1"/>
          <w:iCs w:val="1"/>
          <w:color w:val="auto"/>
        </w:rPr>
        <w:t xml:space="preserve"> </w:t>
      </w:r>
      <w:r>
        <w:rPr>
          <w:rFonts w:ascii="Arial" w:cs="Arial" w:eastAsia="Arial" w:hAnsi="Arial"/>
          <w:sz w:val="18"/>
          <w:szCs w:val="18"/>
          <w:color w:val="auto"/>
        </w:rPr>
        <w:t>online order or via receipt of a purchase order from a customer. For branded products, orders are received through the Company’s 3PL partner, and the customer takes title of the products via formal purchase orders placed and fulfilled.</w:t>
      </w:r>
    </w:p>
    <w:p>
      <w:pPr>
        <w:spacing w:after="0" w:line="183" w:lineRule="exact"/>
        <w:rPr>
          <w:rFonts w:ascii="Arial" w:cs="Arial" w:eastAsia="Arial" w:hAnsi="Arial"/>
          <w:sz w:val="18"/>
          <w:szCs w:val="18"/>
          <w:color w:val="auto"/>
        </w:rPr>
      </w:pPr>
    </w:p>
    <w:p>
      <w:pPr>
        <w:jc w:val="both"/>
        <w:ind w:left="340" w:hanging="332"/>
        <w:spacing w:after="0" w:line="296"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Identify the performance obligations in the contract: </w:t>
      </w:r>
      <w:r>
        <w:rPr>
          <w:rFonts w:ascii="Arial" w:cs="Arial" w:eastAsia="Arial" w:hAnsi="Arial"/>
          <w:sz w:val="16"/>
          <w:szCs w:val="16"/>
          <w:color w:val="auto"/>
        </w:rPr>
        <w:t>Obligations for fulfillment of the Company’s contracts consist of delivering the product to</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at their specified destination. For shipping and handling activities under ASC 606, if the customer takes control of the goods after shipment, shipping and handling activities would always be considered a fulfillment activity and not treated as a separate performance obligation. If the customer takes control of the goods before shipment, entities must make an accounting policy election to treat shipping and handling activities as either a fulfillment cost or as a separate performance obligation. The Company has elected to treat its shipping and handling activities as a fulfillment cost.</w:t>
      </w:r>
    </w:p>
    <w:p>
      <w:pPr>
        <w:spacing w:after="0" w:line="161"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Determine the transaction price: </w:t>
      </w:r>
      <w:r>
        <w:rPr>
          <w:rFonts w:ascii="Arial" w:cs="Arial" w:eastAsia="Arial" w:hAnsi="Arial"/>
          <w:sz w:val="17"/>
          <w:szCs w:val="17"/>
          <w:color w:val="auto"/>
        </w:rPr>
        <w:t>The transaction price is based on an amount that reflects the consideration to which the Company expects to be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net of accruals for estimated rebates, wholesaler chargebacks, discounts and other deductions (collectively, sales deductions) and an estimate for returns and replacements established at the time of sale. The Company utilizes the services of a third-party professional services firm to estimate rebates and chargebacks associated with sales of its branded products. The transfer of promised goods is satisfied within a year, and therefore there are no significant financing components. There is no non-cash consideration related to product sales.</w:t>
      </w:r>
    </w:p>
    <w:p>
      <w:pPr>
        <w:spacing w:after="0" w:line="17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Allocate the transaction price to the performance obligations in the contract: </w:t>
      </w:r>
      <w:r>
        <w:rPr>
          <w:rFonts w:ascii="Arial" w:cs="Arial" w:eastAsia="Arial" w:hAnsi="Arial"/>
          <w:sz w:val="18"/>
          <w:szCs w:val="18"/>
          <w:color w:val="auto"/>
        </w:rPr>
        <w:t>Because there is only one performance obligation for product sales, no</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 is necessary.</w:t>
      </w:r>
    </w:p>
    <w:p>
      <w:pPr>
        <w:spacing w:after="0" w:line="170"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Recognize revenue when (or as) the entity satisfies a performance obligation: </w:t>
      </w:r>
      <w:r>
        <w:rPr>
          <w:rFonts w:ascii="Arial" w:cs="Arial" w:eastAsia="Arial" w:hAnsi="Arial"/>
          <w:sz w:val="16"/>
          <w:szCs w:val="16"/>
          <w:color w:val="auto"/>
        </w:rPr>
        <w:t>Revenue from products is recognized upon transfer of control of a</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to a customer. This generally occurs upon shipment unless contractual terms with a customer state that transfer of control occurs at delivery.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had entered into an agreement whereby it was paid a fee calculated based on sales the Company generates from a pharmaceutical product that is owned by a third party. The revenue earned from this arrangement was recognized, at which point there was no future performance obligation required by the Company and no consequential continuing involvement on the Company’s part to recognize the associated revenue.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Revenues From Transfer of Acquired Product Profit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entered into an agreement whereby it purchased the exclusive commercial rights to assets associated with certain ophthalmic products from another pharmaceutical company (the “Seller”). During a temporary, transition period, the Seller continues to manufacture and market these products and transfer the net profit from the sale of the products to the Company. The revenue recognized by the Company from the transfer of net profit was recognized at the time profit from the product sales were calculated by the Seller and confirmed by the Company, typically on a monthly basis, at which point there is no future performance obligation required by the Company and no consequential continuing involvement on the Company’s part to recognize the associated revenue. On a quarterly basis, the Seller invoices the Company for all credits and reimbursements (“Chargebacks”) made to customers related to the products. The Company uses historical actual experience to estimate Chargebacks associated with the net profit transferred. The estimate is recorded as a reduction in revenues in the Company’s condensed consolidated statements of operations and accounts receivable in the condensed consolidated balance sheets, at the time the revenue is recognized.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License Revenues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currently holds five intellectual property licenses and related agreements pursuant to which the Company has agreed to license or sell to a customer with the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in time that the performance obligation is met.</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Revenue disaggregated by revenue source for the three and six months ended June 30, 2023 and 2022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4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5"/>
              </w:rPr>
              <w:t>For the Three Months Ended</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gridSpan w:val="5"/>
          </w:tcPr>
          <w:p>
            <w:pPr>
              <w:ind w:left="140"/>
              <w:spacing w:after="0"/>
              <w:rPr>
                <w:sz w:val="20"/>
                <w:szCs w:val="20"/>
                <w:color w:val="auto"/>
              </w:rPr>
            </w:pPr>
            <w:r>
              <w:rPr>
                <w:rFonts w:ascii="Arial" w:cs="Arial" w:eastAsia="Arial" w:hAnsi="Arial"/>
                <w:sz w:val="18"/>
                <w:szCs w:val="18"/>
                <w:b w:val="1"/>
                <w:bCs w:val="1"/>
                <w:color w:val="auto"/>
              </w:rPr>
              <w:t>For the Six Months Ended</w:t>
            </w:r>
          </w:p>
        </w:tc>
      </w:tr>
      <w:tr>
        <w:trPr>
          <w:trHeight w:val="241"/>
        </w:trPr>
        <w:tc>
          <w:tcPr>
            <w:tcW w:w="4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7"/>
        </w:trPr>
        <w:tc>
          <w:tcPr>
            <w:tcW w:w="44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sales,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29,542,000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21,518,000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49,995,000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41,858,000</w:t>
            </w:r>
          </w:p>
        </w:tc>
        <w:tc>
          <w:tcPr>
            <w:tcW w:w="12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Commission revenues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1,212,000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2,532,000</w:t>
            </w:r>
          </w:p>
        </w:tc>
        <w:tc>
          <w:tcPr>
            <w:tcW w:w="120" w:type="dxa"/>
            <w:vAlign w:val="bottom"/>
          </w:tcPr>
          <w:p>
            <w:pPr>
              <w:spacing w:after="0"/>
              <w:rPr>
                <w:sz w:val="18"/>
                <w:szCs w:val="18"/>
                <w:color w:val="auto"/>
              </w:rPr>
            </w:pPr>
          </w:p>
        </w:tc>
      </w:tr>
      <w:tr>
        <w:trPr>
          <w:trHeight w:val="250"/>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Transfer of acquired product profit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3,928,000</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593,000</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9,578,000</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1,053,000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17"/>
        </w:trPr>
        <w:tc>
          <w:tcPr>
            <w:tcW w:w="4400" w:type="dxa"/>
            <w:vAlign w:val="bottom"/>
          </w:tcPr>
          <w:p>
            <w:pPr>
              <w:ind w:left="180"/>
              <w:spacing w:after="0"/>
              <w:rPr>
                <w:sz w:val="20"/>
                <w:szCs w:val="20"/>
                <w:color w:val="auto"/>
              </w:rPr>
            </w:pPr>
            <w:r>
              <w:rPr>
                <w:rFonts w:ascii="Arial" w:cs="Arial" w:eastAsia="Arial" w:hAnsi="Arial"/>
                <w:sz w:val="18"/>
                <w:szCs w:val="18"/>
                <w:b w:val="1"/>
                <w:bCs w:val="1"/>
                <w:color w:val="auto"/>
              </w:rPr>
              <w:t>Total revenues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33,470,000</w:t>
            </w:r>
          </w:p>
        </w:tc>
        <w:tc>
          <w:tcPr>
            <w:tcW w:w="3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23,323,000</w:t>
            </w:r>
          </w:p>
        </w:tc>
        <w:tc>
          <w:tcPr>
            <w:tcW w:w="3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59,573,000</w:t>
            </w:r>
          </w:p>
        </w:tc>
        <w:tc>
          <w:tcPr>
            <w:tcW w:w="32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45,443,000</w:t>
            </w:r>
          </w:p>
        </w:tc>
        <w:tc>
          <w:tcPr>
            <w:tcW w:w="12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revenue and customer deposits at June 30, 2023 and December 31, 2022 were $132,000 and $113,000, respectively. All deferred revenue and customer deposit amounts at December 31, 2022 were recognized as revenue during the six months ended June 30,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RECENT PRODUCT ACQUISITIONS, LICENSES AND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ILEVRO, NEVANAC, VIGAMOX, MAXIDEX, and TRIESENCE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2022, the Company entered into an Asset Purchase Agreement (the “Fab 5 APA”) with Novartis Technology, LLC and Novartis Innovative Therapies AG (together, “Novartis”), pursuant to which the Company agreed to purchase from Novartis the exclusive commercial rights to assets associated with the following ophthalmic products (collectively the “Fab 5 Products”) in the U.S. (the “Fab 5 Acquisition”): ILEVRO, NEVANAC, VIGAMOX, MAXIDEX, and TRIESENCE.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jc w:val="both"/>
        <w:spacing w:after="0" w:line="273" w:lineRule="auto"/>
        <w:rPr>
          <w:sz w:val="20"/>
          <w:szCs w:val="20"/>
          <w:color w:val="auto"/>
        </w:rPr>
      </w:pPr>
      <w:r>
        <w:rPr>
          <w:rFonts w:ascii="Arial" w:cs="Arial" w:eastAsia="Arial" w:hAnsi="Arial"/>
          <w:sz w:val="17"/>
          <w:szCs w:val="17"/>
          <w:color w:val="auto"/>
        </w:rPr>
        <w:t>Under the terms of the Fab 5 APA, the Company made a one-time payment of $130,000,000 at closing in January 2023, with up to another $45,000,000 due in a milestone payment related to the timing of the commercial availability of TRIESENCE. Pursuant to the Fab 5 APA and various ancillary agreements, immediately following the closing and subject to certain conditions and prior to the transfer of the Fab 5 Products new drug applications (the “NDAs”) to the Company, Novartis will continue to sell the Fab 5 Products on the Company’s behalf and transfer the net profit from the sale of the Fab 5 Products to the Company. Novartis has agreed to supply certain Fab 5 Products to the Company for a period of time after the NDAs are transferred and to assist with technology transfer of the Fab 5 Products manufacturing to other third-party manufacturers, if needed.</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assets acquired in the Fab 5 Acquisition are identifiable intangible asset groups in similar asset classes and all directly related to the five product NDAs acquired. The developed technology is within one major intangible asset class. No workforce/employees were included in the Fab 5 Acquisition and the Company is required to utilize its own business inputs/processes to transfer and commercialize the Fab 5 Products and NDAs.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incurred $558,000 in costs associated with the Fab 5 Acquisition, including the acquisition costs and the payment of $130,000,000 at closing, the total purchase price of the Fab 5 Acquisition was $130,558,000 and was accounted for as an asset acquisition. At the time of the Fab 5 Acquisition and as of June 30, 2023, the contingent consideration due related to the commercial availability of TRIESENCE was not considered probable and reasonably estimable, therefore no amount was included in the purchase price of the Fab 5 Acquisition. At the time the contingent consideration due related to the commercial availability of TRIESENCE becomes probable and reasonably estimable the additional consideration, if any, paid will be allocated to all of the assets on a pro rata basis based on their initial estimated fair values as a percent of the total purchase price. The Company does not consider any amounts related to TRIESENCE to be in-process research and development (IPR&amp;D) as considered within the scope of ASC 730, </w:t>
      </w:r>
      <w:r>
        <w:rPr>
          <w:rFonts w:ascii="Arial" w:cs="Arial" w:eastAsia="Arial" w:hAnsi="Arial"/>
          <w:sz w:val="18"/>
          <w:szCs w:val="18"/>
          <w:i w:val="1"/>
          <w:iCs w:val="1"/>
          <w:color w:val="auto"/>
        </w:rPr>
        <w:t>Research</w:t>
      </w:r>
      <w:r>
        <w:rPr>
          <w:rFonts w:ascii="Arial" w:cs="Arial" w:eastAsia="Arial" w:hAnsi="Arial"/>
          <w:sz w:val="18"/>
          <w:szCs w:val="18"/>
          <w:color w:val="auto"/>
        </w:rPr>
        <w:t xml:space="preserve"> </w:t>
      </w:r>
      <w:r>
        <w:rPr>
          <w:rFonts w:ascii="Arial" w:cs="Arial" w:eastAsia="Arial" w:hAnsi="Arial"/>
          <w:sz w:val="18"/>
          <w:szCs w:val="18"/>
          <w:i w:val="1"/>
          <w:iCs w:val="1"/>
          <w:color w:val="auto"/>
        </w:rPr>
        <w:t>and Development</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 of Non-Ophthalmic Assets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October 2022, wholly-owned subsidiaries of the Company (collectively, “Imprimis”) entered into an Asset Purchase Agreement (the “RPC Agreement”) with Innovation Compounding Pharmacy, LLC (the “Buyer”). Under the terms of the RPC Agreement, Imprimis agreed to sell substantially all of its assets associated with its non-ophthalmology related compounding product line, including but not limited to, certain intellectual property rights, customer lists, databases, and formulations (the “RPC Assets”). The Buyer agreed to make offers of employment to six of the Company’s employees that were responsible for the sales activities associated with the RPC Assets. Under the terms of the RPC Agreement, the Buyer paid Imprimis an aggregate cash amount of $6,000,000 in October 2022. In addition, the Buyer is obligated to pay up to $4,500,000 to Imprimis based on mutually agreed upon revenue milestones during the calendar year 2023 (the “Contingent Amount”). During the year ended December 31, 2022, no amount related to the Contingent Amount was recognized by the Company. The Company will recognize a gain related to the Contingent Amount if/when the contingency (in this case, revenue thresholds for 2023) become likely and reasonably estimated.</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RPC Agreement, Imprimis entered into a separate transition services agreement with the Buyer related to providing ongoing services associated with the RPC Assets, such as procuring and dispensing prescription orders, providing accounting and billing services and collecting accounts receivable. Imprimis provided transition services to the Buyer for approximately nine months following the effective date of the RPC Agreement and expects to wind down transition services in subsequent periods. The Company collected and will continue to collect cash on behalf of the Buyer for revenue generated by sales of RPC Assets from October 2022 through the transition period and the Company is obligated to transfer cash generated by such sales to the Buyer. The Company’s condensed consolidated balance sheet as of June 30, 2023 reflected $74,000 of cash collected on behalf of the Buyer and a receivable within accounts receivable of $59,000 for cash to be collected on behalf of the Buyer for sales of RPC Assets sold through June 30, 2023.</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amount due from the Buyer for reimbursement of services performed under the transition services agreement was $27,000 as of June 30, 2023. Such amount was netted against the amounts collected on behalf of the Buyer and was unpaid within accrued expenses on the condensed consolidated balance sheet as of June 30, 2023. The combined total of $106,000 was recorded within accrued expenses on the condensed consolidated balance sheet as of June 30, 2023, and represents a payable to the Buyer. The Company recorded a loss from the transition services agreement and disposition and sale of certain related assets and unusable inventory of $203,000 and $171,000 during the three and six months ended June 30, 2023, respectively, which is presented in other expense, net on the condensed consolidated statement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See Note 18 for additional information regarding recent product acquisitions and licenses.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5. INVESTMENT IN, AND NOTE RECEIVABLE FROM MELT PHARMACEUTICALS, INC. - RELATED PARTY TRANSACTIONS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2018, the Company entered into an asset purchase agreement with Melt (the “Melt Asset Purchase Agreement”). Pursuant to the terms of the Melt Asset Purchase Agreement, Melt was assigned certain intellectual property and related rights from the Company to develop, formulate, make, sell, and sub-license certain Company conscious sedation and analgesia related formulations (collectively, the “Melt Products”). Under the terms of the Melt Asset Purchase Agreement, Melt is required to make mid-single digit royalty payments to the Company on net sales of the Melt Products while any patent rights remain outstanding, as well as other conditions.</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February 2019, the Company and Melt entered into a Management Service Agreement between the Company and Melt (the “Melt MSA”), whereby the Company provides to Melt certain administrative services and support, including bookkeeping, web services and human resources related activities, and Melt is required to pay the Company a monthly amount of $10,000. During the three and six months ended June 30, 2023 and 2022, the Company recorded $30,000 and $89,000 and $40,000 and $70,000, respectively, due from Melt for reimbursable expenses and amounts payable pursuant to the Melt MSA, which are included in prepaid expenses and other current assets in the accompanying condensed consolidated balance sheets. In addition, during the three and six months ended June 30, 2023, the Company advanced Melt $500,000, which amount was repaid to the Company by Melt subsequent to June 30, 2023. As of June 30, 2023 and December 31, 2022, the Company was due $728,000 and $139,000, respectively, from Melt for reimbursable expenses and amounts due under the Melt MSA. Melt did not make any payments to the Company during the three and six months ended June 30, 2023.</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Chief Executive Officer, Mark L. Baum, was previously a member of the Melt board of directors until his resignation during the year ended December 31, 2021. Mr. Baum re-joined the Melt board of directors in January 2023. At the time Mr. Baum re-joined, the Melt board of directors consists of five total board members, including Mr. Baum, who is the only representative of the Company on Melt’s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Melt is summarized below:</w:t>
      </w:r>
    </w:p>
    <w:p>
      <w:pPr>
        <w:spacing w:after="0" w:line="221" w:lineRule="exact"/>
        <w:rPr>
          <w:sz w:val="20"/>
          <w:szCs w:val="20"/>
          <w:color w:val="auto"/>
        </w:rPr>
      </w:pPr>
    </w:p>
    <w:p>
      <w:pPr>
        <w:jc w:val="center"/>
        <w:ind w:left="1080"/>
        <w:spacing w:after="0"/>
        <w:rPr>
          <w:sz w:val="20"/>
          <w:szCs w:val="20"/>
          <w:color w:val="auto"/>
        </w:rPr>
      </w:pPr>
      <w:r>
        <w:rPr>
          <w:rFonts w:ascii="Arial" w:cs="Arial" w:eastAsia="Arial" w:hAnsi="Arial"/>
          <w:sz w:val="18"/>
          <w:szCs w:val="18"/>
          <w:b w:val="1"/>
          <w:bCs w:val="1"/>
          <w:color w:val="auto"/>
        </w:rPr>
        <w:t>For the Six Months Ended</w:t>
      </w:r>
    </w:p>
    <w:p>
      <w:pPr>
        <w:spacing w:after="0" w:line="27" w:lineRule="exact"/>
        <w:rPr>
          <w:sz w:val="20"/>
          <w:szCs w:val="20"/>
          <w:color w:val="auto"/>
        </w:rPr>
      </w:pPr>
    </w:p>
    <w:p>
      <w:pPr>
        <w:jc w:val="center"/>
        <w:ind w:left="108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040" w:type="dxa"/>
            <w:vAlign w:val="bottom"/>
            <w:tcBorders>
              <w:bottom w:val="single" w:sz="8" w:color="CCEEFF"/>
            </w:tcBorders>
          </w:tcPr>
          <w:p>
            <w:pPr>
              <w:spacing w:after="0"/>
              <w:rPr>
                <w:sz w:val="21"/>
                <w:szCs w:val="21"/>
                <w:color w:val="auto"/>
              </w:rPr>
            </w:pPr>
          </w:p>
        </w:tc>
        <w:tc>
          <w:tcPr>
            <w:tcW w:w="15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CCEEFF"/>
            </w:tcBorders>
          </w:tcPr>
          <w:p>
            <w:pPr>
              <w:spacing w:after="0"/>
              <w:rPr>
                <w:sz w:val="21"/>
                <w:szCs w:val="2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Loss from operations</w:t>
            </w:r>
          </w:p>
        </w:tc>
        <w:tc>
          <w:tcPr>
            <w:tcW w:w="18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(2,448,000)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(5,532,000)</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(3,551,000)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(6,518,000)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Melt is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At June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At December 31,</w:t>
            </w:r>
          </w:p>
        </w:tc>
        <w:tc>
          <w:tcPr>
            <w:tcW w:w="2240" w:type="dxa"/>
            <w:vAlign w:val="bottom"/>
          </w:tcPr>
          <w:p>
            <w:pPr>
              <w:spacing w:after="0"/>
              <w:rPr>
                <w:sz w:val="19"/>
                <w:szCs w:val="19"/>
                <w:color w:val="auto"/>
              </w:rPr>
            </w:pPr>
          </w:p>
        </w:tc>
      </w:tr>
      <w:tr>
        <w:trPr>
          <w:trHeight w:val="241"/>
        </w:trPr>
        <w:tc>
          <w:tcPr>
            <w:tcW w:w="442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240" w:type="dxa"/>
            <w:vAlign w:val="bottom"/>
          </w:tcPr>
          <w:p>
            <w:pPr>
              <w:spacing w:after="0"/>
              <w:rPr>
                <w:sz w:val="20"/>
                <w:szCs w:val="20"/>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655,000</w:t>
            </w:r>
          </w:p>
        </w:tc>
        <w:tc>
          <w:tcPr>
            <w:tcW w:w="100" w:type="dxa"/>
            <w:vAlign w:val="bottom"/>
            <w:shd w:val="clear" w:color="auto" w:fill="CCEEFF"/>
          </w:tcPr>
          <w:p>
            <w:pPr>
              <w:spacing w:after="0"/>
              <w:rPr>
                <w:sz w:val="18"/>
                <w:szCs w:val="18"/>
                <w:color w:val="auto"/>
              </w:rPr>
            </w:pPr>
          </w:p>
        </w:tc>
        <w:tc>
          <w:tcPr>
            <w:tcW w:w="2240" w:type="dxa"/>
            <w:vAlign w:val="bottom"/>
          </w:tcPr>
          <w:p>
            <w:pPr>
              <w:spacing w:after="0"/>
              <w:rPr>
                <w:sz w:val="18"/>
                <w:szCs w:val="18"/>
                <w:color w:val="auto"/>
              </w:rPr>
            </w:pPr>
          </w:p>
        </w:tc>
      </w:tr>
      <w:tr>
        <w:trPr>
          <w:trHeight w:val="237"/>
        </w:trPr>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Non-current assets</w:t>
            </w:r>
          </w:p>
        </w:tc>
        <w:tc>
          <w:tcPr>
            <w:tcW w:w="1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97,000</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107,000</w:t>
            </w:r>
          </w:p>
        </w:tc>
        <w:tc>
          <w:tcPr>
            <w:tcW w:w="100" w:type="dxa"/>
            <w:vAlign w:val="bottom"/>
            <w:tcBorders>
              <w:bottom w:val="single" w:sz="8" w:color="CCEEFF"/>
            </w:tcBorders>
          </w:tcPr>
          <w:p>
            <w:pPr>
              <w:spacing w:after="0"/>
              <w:rPr>
                <w:sz w:val="20"/>
                <w:szCs w:val="20"/>
                <w:color w:val="auto"/>
              </w:rPr>
            </w:pPr>
          </w:p>
        </w:tc>
        <w:tc>
          <w:tcPr>
            <w:tcW w:w="2240" w:type="dxa"/>
            <w:vAlign w:val="bottom"/>
          </w:tcPr>
          <w:p>
            <w:pPr>
              <w:spacing w:after="0"/>
              <w:rPr>
                <w:sz w:val="20"/>
                <w:szCs w:val="20"/>
                <w:color w:val="auto"/>
              </w:rPr>
            </w:pPr>
          </w:p>
        </w:tc>
      </w:tr>
      <w:tr>
        <w:trPr>
          <w:trHeight w:val="229"/>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762,000</w:t>
            </w:r>
          </w:p>
        </w:tc>
        <w:tc>
          <w:tcPr>
            <w:tcW w:w="100" w:type="dxa"/>
            <w:vAlign w:val="bottom"/>
            <w:tcBorders>
              <w:bottom w:val="single" w:sz="8" w:color="CCEEFF"/>
            </w:tcBorders>
            <w:shd w:val="clear" w:color="auto" w:fill="CCEEFF"/>
          </w:tcPr>
          <w:p>
            <w:pPr>
              <w:spacing w:after="0"/>
              <w:rPr>
                <w:sz w:val="19"/>
                <w:szCs w:val="19"/>
                <w:color w:val="auto"/>
              </w:rPr>
            </w:pPr>
          </w:p>
        </w:tc>
        <w:tc>
          <w:tcPr>
            <w:tcW w:w="224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7"/>
        </w:trPr>
        <w:tc>
          <w:tcPr>
            <w:tcW w:w="4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380" w:type="dxa"/>
            <w:vAlign w:val="bottom"/>
            <w:gridSpan w:val="2"/>
            <w:shd w:val="clear" w:color="auto" w:fill="CCEEFF"/>
          </w:tcPr>
          <w:p>
            <w:pPr>
              <w:jc w:val="center"/>
              <w:ind w:left="9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21,783,000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19,056,000</w:t>
            </w:r>
          </w:p>
        </w:tc>
        <w:tc>
          <w:tcPr>
            <w:tcW w:w="100" w:type="dxa"/>
            <w:vAlign w:val="bottom"/>
            <w:shd w:val="clear" w:color="auto" w:fill="CCEEFF"/>
          </w:tcPr>
          <w:p>
            <w:pPr>
              <w:spacing w:after="0"/>
              <w:rPr>
                <w:sz w:val="18"/>
                <w:szCs w:val="18"/>
                <w:color w:val="auto"/>
              </w:rPr>
            </w:pPr>
          </w:p>
        </w:tc>
        <w:tc>
          <w:tcPr>
            <w:tcW w:w="2240" w:type="dxa"/>
            <w:vAlign w:val="bottom"/>
          </w:tcPr>
          <w:p>
            <w:pPr>
              <w:spacing w:after="0"/>
              <w:rPr>
                <w:sz w:val="18"/>
                <w:szCs w:val="18"/>
                <w:color w:val="auto"/>
              </w:rPr>
            </w:pPr>
          </w:p>
        </w:tc>
      </w:tr>
      <w:tr>
        <w:trPr>
          <w:trHeight w:val="237"/>
        </w:trPr>
        <w:tc>
          <w:tcPr>
            <w:tcW w:w="4420" w:type="dxa"/>
            <w:vAlign w:val="bottom"/>
          </w:tcPr>
          <w:p>
            <w:pPr>
              <w:spacing w:after="0"/>
              <w:rPr>
                <w:sz w:val="20"/>
                <w:szCs w:val="20"/>
                <w:color w:val="auto"/>
              </w:rPr>
            </w:pPr>
            <w:r>
              <w:rPr>
                <w:rFonts w:ascii="Arial" w:cs="Arial" w:eastAsia="Arial" w:hAnsi="Arial"/>
                <w:sz w:val="18"/>
                <w:szCs w:val="18"/>
                <w:color w:val="auto"/>
              </w:rPr>
              <w:t>Total preferred stock and stockholders’ deficit</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(21,593,000)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(18,294,000)</w:t>
            </w:r>
          </w:p>
        </w:tc>
        <w:tc>
          <w:tcPr>
            <w:tcW w:w="2240" w:type="dxa"/>
            <w:vAlign w:val="bottom"/>
          </w:tcPr>
          <w:p>
            <w:pPr>
              <w:spacing w:after="0"/>
              <w:rPr>
                <w:sz w:val="20"/>
                <w:szCs w:val="20"/>
                <w:color w:val="auto"/>
              </w:rPr>
            </w:pPr>
          </w:p>
        </w:tc>
      </w:tr>
      <w:tr>
        <w:trPr>
          <w:trHeight w:val="230"/>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deficit</w:t>
            </w: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4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419"/>
        </w:trPr>
        <w:tc>
          <w:tcPr>
            <w:tcW w:w="4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left="950"/>
              <w:spacing w:after="0"/>
              <w:rPr>
                <w:sz w:val="20"/>
                <w:szCs w:val="20"/>
                <w:color w:val="auto"/>
              </w:rPr>
            </w:pPr>
            <w:r>
              <w:rPr>
                <w:rFonts w:ascii="Arial" w:cs="Arial" w:eastAsia="Arial" w:hAnsi="Arial"/>
                <w:sz w:val="18"/>
                <w:szCs w:val="18"/>
                <w:color w:val="auto"/>
                <w:w w:val="89"/>
              </w:rPr>
              <w:t>15</w:t>
            </w:r>
          </w:p>
        </w:tc>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Melt Note Receivable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1, 2021, the Company entered into a loan and security agreement in the principal amount of $13,500,000 (the “Melt Loan Agreement”), as lender, with Melt, as borrower. Amounts borrowed under the Melt Loan Agreement bear interest at 12.50% per annum, which interest can be paid in-kind at the option of Melt until the maturity date. The Melt Loan Agreement permits Melt to pay interest only on the principal amount loaned thereunder through the term and all amounts owed were previously due and payable on September 1, 2022. In April 2022, the Company entered into a First Amendment and in September 2022, a Second Amendment (together, the “Amendments”) to the Melt Loan Agreement. The Amendments (i) extended the maturity date of the Melt Loan Agreement to June 1, 2023, which can be extended further to September 1, 2026 upon Melt completing a qualifying financing of a minimum amount of $10,000,000 from third-party investors, (ii) added conditions related to minimum cash amounts following a qualifying financing, and (iii) clarified the definition of material adverse effects. Melt may elect to prepay all, but not less than all, of the amounts owed prior to the maturity date at any time without penalty.</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Melt has granted the Company a security interest in substantially all of its personal property, rights and assets, including intellectual property rights, to secure the payment of all amounts owed under the Melt Loan Agreement. The Melt Loan Agreement contains customary representations, warranties and covenants, including covenants by Melt limiting additional indebtedness, liens, mergers and acquisitions, dispositions, investments, distributions, subordinated debt, and transactions with affiliates. The Melt Loan Agreement includes customary events of default, and upon the occurrence of an event of default (subject to cure periods for certain events of default), all amounts owed by Melt thereunder may be declared immediately due and payable by the Company, and the interest rate on the loan may be increased by 3% per annum. The Melt Loan Agreement is currently in default due to non-payment on June 1, 2023 and the Company and Melt are involved in ongoing discussions to resolve the default.</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Melt Loan Agreement, the Company and Melt entered into a Right of First Refusal Agreement providing the Company with the right, but not the obligation, to match any offer received by Melt associated with the commercial rights to any of Melt’s drug candidates for a period of five years following the effective date of the Melt Loan Agreement.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net funds received by Melt excluded $908,000 owed to the Company for reimbursable expenses and amounts due under the Melt MSA prior to the effective date of the note receivable. As of June 30, 2023 and December 31, 2022, aggregate principal and accrued interest payable to the Company pursuant to the Melt Loan Agreement amounted to $17,066,000 and $15,984,000, respectively. In accordance with ASC 323, </w:t>
      </w:r>
      <w:r>
        <w:rPr>
          <w:rFonts w:ascii="Arial" w:cs="Arial" w:eastAsia="Arial" w:hAnsi="Arial"/>
          <w:sz w:val="18"/>
          <w:szCs w:val="18"/>
          <w:i w:val="1"/>
          <w:iCs w:val="1"/>
          <w:color w:val="auto"/>
        </w:rPr>
        <w:t>Investments – Equity Method</w:t>
      </w:r>
      <w:r>
        <w:rPr>
          <w:rFonts w:ascii="Arial" w:cs="Arial" w:eastAsia="Arial" w:hAnsi="Arial"/>
          <w:sz w:val="18"/>
          <w:szCs w:val="18"/>
          <w:color w:val="auto"/>
        </w:rPr>
        <w:t xml:space="preserve"> </w:t>
      </w:r>
      <w:r>
        <w:rPr>
          <w:rFonts w:ascii="Arial" w:cs="Arial" w:eastAsia="Arial" w:hAnsi="Arial"/>
          <w:sz w:val="18"/>
          <w:szCs w:val="18"/>
          <w:i w:val="1"/>
          <w:iCs w:val="1"/>
          <w:color w:val="auto"/>
        </w:rPr>
        <w:t>and Joint Ventures</w:t>
      </w:r>
      <w:r>
        <w:rPr>
          <w:rFonts w:ascii="Arial" w:cs="Arial" w:eastAsia="Arial" w:hAnsi="Arial"/>
          <w:sz w:val="18"/>
          <w:szCs w:val="18"/>
          <w:color w:val="auto"/>
        </w:rPr>
        <w:t>, the carrying amount of the note receivable has been reduced by the Company’s allocated share of Melt’s losses based on its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of total debt owed by Melt (see Note 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 IN SURFACE OPHTHALMICS, INC. - RELATED PARTY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an asset purchase and license agreement with Surface in 2017 and amended it in April 2018 (the “Surface License Agreements”). Pursuant to the terms of the Surface License Agreements, the Company assigned and licensed to Surface certain intellectual property and related rights associated with Surface’s drug candidates (collectively, the “Surface Products”). Surface is required to make mid-single digit royalty payments to the Company on net sales of the Surface Products while any patent rights remain outstanding.</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the Company owned 3,500,000 shares of Surface common stock. Perry J. Sternberg, a director of the Company, is a director of Surface. Mark L. Baum, who is the Company’s Chief Executive Officer, was previously a member of the Surface board of directors and resigned from his position as a director of Surface on March 31,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Surface is summarized below:</w:t>
      </w:r>
    </w:p>
    <w:p>
      <w:pPr>
        <w:spacing w:after="0" w:line="221"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For the Six Months Ended</w:t>
      </w:r>
    </w:p>
    <w:p>
      <w:pPr>
        <w:spacing w:after="0" w:line="2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4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4500" w:type="dxa"/>
            <w:vAlign w:val="bottom"/>
          </w:tcPr>
          <w:p>
            <w:pPr>
              <w:spacing w:after="0"/>
              <w:rPr>
                <w:sz w:val="21"/>
                <w:szCs w:val="2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500" w:type="dxa"/>
            <w:vAlign w:val="bottom"/>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Loss from operations</w:t>
            </w:r>
          </w:p>
        </w:tc>
        <w:tc>
          <w:tcPr>
            <w:tcW w:w="15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(3,289,000)</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(3,553,000)</w:t>
            </w:r>
          </w:p>
        </w:tc>
        <w:tc>
          <w:tcPr>
            <w:tcW w:w="450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(3,144,000)</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(3,526,000)</w:t>
            </w:r>
          </w:p>
        </w:tc>
        <w:tc>
          <w:tcPr>
            <w:tcW w:w="4500" w:type="dxa"/>
            <w:vAlign w:val="bottom"/>
          </w:tcPr>
          <w:p>
            <w:pPr>
              <w:spacing w:after="0"/>
              <w:rPr>
                <w:sz w:val="18"/>
                <w:szCs w:val="18"/>
                <w:color w:val="auto"/>
              </w:rPr>
            </w:pPr>
          </w:p>
        </w:tc>
      </w:tr>
      <w:tr>
        <w:trPr>
          <w:trHeight w:val="439"/>
        </w:trPr>
        <w:tc>
          <w:tcPr>
            <w:tcW w:w="28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16</w:t>
            </w:r>
          </w:p>
        </w:tc>
        <w:tc>
          <w:tcPr>
            <w:tcW w:w="9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unaudited condensed balance sheet information of Surface is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ind w:right="330"/>
              <w:spacing w:after="0"/>
              <w:rPr>
                <w:sz w:val="20"/>
                <w:szCs w:val="20"/>
                <w:color w:val="auto"/>
              </w:rPr>
            </w:pPr>
            <w:r>
              <w:rPr>
                <w:rFonts w:ascii="Arial" w:cs="Arial" w:eastAsia="Arial" w:hAnsi="Arial"/>
                <w:sz w:val="18"/>
                <w:szCs w:val="18"/>
                <w:b w:val="1"/>
                <w:bCs w:val="1"/>
                <w:color w:val="auto"/>
              </w:rPr>
              <w:t>At June 30,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At December 31,</w:t>
            </w:r>
          </w:p>
        </w:tc>
      </w:tr>
      <w:tr>
        <w:trPr>
          <w:trHeight w:val="241"/>
        </w:trPr>
        <w:tc>
          <w:tcPr>
            <w:tcW w:w="5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12,182,000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15,350,000</w:t>
            </w:r>
          </w:p>
        </w:tc>
        <w:tc>
          <w:tcPr>
            <w:tcW w:w="100" w:type="dxa"/>
            <w:vAlign w:val="bottom"/>
            <w:shd w:val="clear" w:color="auto" w:fill="CCEEFF"/>
          </w:tcPr>
          <w:p>
            <w:pPr>
              <w:spacing w:after="0"/>
              <w:rPr>
                <w:sz w:val="18"/>
                <w:szCs w:val="18"/>
                <w:color w:val="auto"/>
              </w:rPr>
            </w:pPr>
          </w:p>
        </w:tc>
      </w:tr>
      <w:tr>
        <w:trPr>
          <w:trHeight w:val="237"/>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Non-current assets</w:t>
            </w: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808,000</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652,000</w:t>
            </w:r>
          </w:p>
        </w:tc>
        <w:tc>
          <w:tcPr>
            <w:tcW w:w="100" w:type="dxa"/>
            <w:vAlign w:val="bottom"/>
            <w:tcBorders>
              <w:bottom w:val="single" w:sz="8" w:color="CCEEFF"/>
            </w:tcBorders>
          </w:tcPr>
          <w:p>
            <w:pPr>
              <w:spacing w:after="0"/>
              <w:rPr>
                <w:sz w:val="20"/>
                <w:szCs w:val="20"/>
                <w:color w:val="auto"/>
              </w:rPr>
            </w:pPr>
          </w:p>
        </w:tc>
      </w:tr>
      <w:tr>
        <w:trPr>
          <w:trHeight w:val="229"/>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12,990,000</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16,002,000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1,586,000</w:t>
            </w:r>
          </w:p>
        </w:tc>
        <w:tc>
          <w:tcPr>
            <w:tcW w:w="100" w:type="dxa"/>
            <w:vAlign w:val="bottom"/>
            <w:shd w:val="clear" w:color="auto" w:fill="CCEEFF"/>
          </w:tcPr>
          <w:p>
            <w:pPr>
              <w:spacing w:after="0"/>
              <w:rPr>
                <w:sz w:val="18"/>
                <w:szCs w:val="18"/>
                <w:color w:val="auto"/>
              </w:rPr>
            </w:pPr>
          </w:p>
        </w:tc>
      </w:tr>
      <w:tr>
        <w:trPr>
          <w:trHeight w:val="237"/>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preferred stock and stockholders’ equity</w:t>
            </w: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11,736,000</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14,416,000</w:t>
            </w:r>
          </w:p>
        </w:tc>
        <w:tc>
          <w:tcPr>
            <w:tcW w:w="100" w:type="dxa"/>
            <w:vAlign w:val="bottom"/>
            <w:tcBorders>
              <w:bottom w:val="single" w:sz="8" w:color="CCEEFF"/>
            </w:tcBorders>
          </w:tcPr>
          <w:p>
            <w:pPr>
              <w:spacing w:after="0"/>
              <w:rPr>
                <w:sz w:val="20"/>
                <w:szCs w:val="20"/>
                <w:color w:val="auto"/>
              </w:rPr>
            </w:pPr>
          </w:p>
        </w:tc>
      </w:tr>
      <w:tr>
        <w:trPr>
          <w:trHeight w:val="230"/>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12,990,000</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16,002,000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Inventories are comprised of finished compounded formulations, over-the-counter and prescription retail pharmacy products, branded commercial pharmaceutical products, including those held at a 3PL, related laboratory supplies and active pharmaceutical ingredients. The composition of inventories as of June 30, 2023 and December 31, 2022 was as follows:</w:t>
      </w:r>
    </w:p>
    <w:p>
      <w:pPr>
        <w:spacing w:after="0" w:line="193"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5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ind w:left="80"/>
              <w:spacing w:after="0"/>
              <w:rPr>
                <w:sz w:val="20"/>
                <w:szCs w:val="20"/>
                <w:color w:val="auto"/>
              </w:rPr>
            </w:pPr>
            <w:r>
              <w:rPr>
                <w:rFonts w:ascii="Arial" w:cs="Arial" w:eastAsia="Arial" w:hAnsi="Arial"/>
                <w:sz w:val="18"/>
                <w:szCs w:val="18"/>
                <w:b w:val="1"/>
                <w:bCs w:val="1"/>
                <w:color w:val="auto"/>
              </w:rPr>
              <w:t>June 30, 2023</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December 31, 2022</w:t>
            </w:r>
          </w:p>
        </w:tc>
      </w:tr>
      <w:tr>
        <w:trPr>
          <w:trHeight w:val="216"/>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4"/>
              </w:rPr>
              <w:t>5,235,000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860"/>
              <w:spacing w:after="0"/>
              <w:rPr>
                <w:sz w:val="20"/>
                <w:szCs w:val="20"/>
                <w:color w:val="auto"/>
              </w:rPr>
            </w:pPr>
            <w:r>
              <w:rPr>
                <w:rFonts w:ascii="Arial" w:cs="Arial" w:eastAsia="Arial" w:hAnsi="Arial"/>
                <w:sz w:val="18"/>
                <w:szCs w:val="18"/>
                <w:color w:val="auto"/>
                <w:w w:val="87"/>
              </w:rPr>
              <w:t>60,000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38,000</w:t>
            </w:r>
          </w:p>
        </w:tc>
      </w:tr>
      <w:tr>
        <w:trPr>
          <w:trHeight w:val="24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87"/>
              </w:rPr>
              <w:t>3,260,000</w:t>
            </w: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2,796,000</w:t>
            </w:r>
          </w:p>
        </w:tc>
      </w:tr>
      <w:tr>
        <w:trPr>
          <w:trHeight w:val="203"/>
        </w:trPr>
        <w:tc>
          <w:tcPr>
            <w:tcW w:w="55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Total inventories</w:t>
            </w:r>
          </w:p>
        </w:tc>
        <w:tc>
          <w:tcPr>
            <w:tcW w:w="2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ind w:left="640"/>
              <w:spacing w:after="0" w:line="203" w:lineRule="exact"/>
              <w:rPr>
                <w:sz w:val="20"/>
                <w:szCs w:val="20"/>
                <w:color w:val="auto"/>
              </w:rPr>
            </w:pPr>
            <w:r>
              <w:rPr>
                <w:rFonts w:ascii="Arial" w:cs="Arial" w:eastAsia="Arial" w:hAnsi="Arial"/>
                <w:sz w:val="18"/>
                <w:szCs w:val="18"/>
                <w:color w:val="auto"/>
                <w:w w:val="84"/>
              </w:rPr>
              <w:t>8,555,000</w:t>
            </w:r>
          </w:p>
        </w:tc>
        <w:tc>
          <w:tcPr>
            <w:tcW w:w="2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6,541,000</w:t>
            </w:r>
          </w:p>
        </w:tc>
        <w:tc>
          <w:tcPr>
            <w:tcW w:w="100" w:type="dxa"/>
            <w:vAlign w:val="bottom"/>
            <w:tcBorders>
              <w:top w:val="single" w:sz="8" w:color="CCEEFF"/>
            </w:tcBorders>
          </w:tcPr>
          <w:p>
            <w:pPr>
              <w:spacing w:after="0"/>
              <w:rPr>
                <w:sz w:val="17"/>
                <w:szCs w:val="17"/>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w w:val="98"/>
              </w:rPr>
              <w:t>NOTE 8. PREPAID EXPENSES AND OTHER CURRENT ASSETS</w:t>
            </w: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20" w:type="dxa"/>
            <w:vAlign w:val="bottom"/>
            <w:gridSpan w:val="10"/>
          </w:tcPr>
          <w:p>
            <w:pPr>
              <w:spacing w:after="0"/>
              <w:rPr>
                <w:sz w:val="20"/>
                <w:szCs w:val="20"/>
                <w:color w:val="auto"/>
              </w:rPr>
            </w:pPr>
            <w:r>
              <w:rPr>
                <w:rFonts w:ascii="Arial" w:cs="Arial" w:eastAsia="Arial" w:hAnsi="Arial"/>
                <w:sz w:val="18"/>
                <w:szCs w:val="18"/>
                <w:color w:val="auto"/>
              </w:rPr>
              <w:t>Prepaid expenses and other current assets at June 30, 2023 and December 31, 2022 consisted of the following:</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4"/>
          </w:tcPr>
          <w:p>
            <w:pPr>
              <w:jc w:val="center"/>
              <w:ind w:right="540"/>
              <w:spacing w:after="0"/>
              <w:rPr>
                <w:sz w:val="20"/>
                <w:szCs w:val="20"/>
                <w:color w:val="auto"/>
              </w:rPr>
            </w:pPr>
            <w:r>
              <w:rPr>
                <w:rFonts w:ascii="Arial" w:cs="Arial" w:eastAsia="Arial" w:hAnsi="Arial"/>
                <w:sz w:val="18"/>
                <w:szCs w:val="18"/>
                <w:b w:val="1"/>
                <w:bCs w:val="1"/>
                <w:color w:val="auto"/>
                <w:w w:val="88"/>
              </w:rPr>
              <w:t>June 30, 2023</w:t>
            </w:r>
          </w:p>
        </w:tc>
        <w:tc>
          <w:tcPr>
            <w:tcW w:w="16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216"/>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276,000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Prepaid computer software licenses and related expenses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1,132,000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1,165,000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Due from Melt Pharmaceuticals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728,000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Other prepaid expenses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1,249,000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1,331,000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current assets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1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prepaid expenses and other current assets</w:t>
            </w:r>
          </w:p>
        </w:tc>
        <w:tc>
          <w:tcPr>
            <w:tcW w:w="2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3,812,000</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3,611,000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NOTE 9. PROPERTY, PLANT AND EQUIPMENT</w:t>
            </w: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60" w:type="dxa"/>
            <w:vAlign w:val="bottom"/>
            <w:gridSpan w:val="6"/>
          </w:tcPr>
          <w:p>
            <w:pPr>
              <w:spacing w:after="0"/>
              <w:rPr>
                <w:sz w:val="20"/>
                <w:szCs w:val="20"/>
                <w:color w:val="auto"/>
              </w:rPr>
            </w:pPr>
            <w:r>
              <w:rPr>
                <w:rFonts w:ascii="Arial" w:cs="Arial" w:eastAsia="Arial" w:hAnsi="Arial"/>
                <w:sz w:val="18"/>
                <w:szCs w:val="18"/>
                <w:color w:val="auto"/>
                <w:w w:val="90"/>
              </w:rPr>
              <w:t>Property, plant and equipment at June 30, 2023 and December 31, 2022 consisted of the following:</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2"/>
              </w:rPr>
              <w:t>June 30, 2023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90"/>
              </w:rPr>
              <w:t>December 31, 2022</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Computer hardware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1,139,000</w:t>
            </w:r>
          </w:p>
        </w:tc>
        <w:tc>
          <w:tcPr>
            <w:tcW w:w="260" w:type="dxa"/>
            <w:vAlign w:val="bottom"/>
          </w:tcPr>
          <w:p>
            <w:pPr>
              <w:spacing w:after="0"/>
              <w:rPr>
                <w:sz w:val="18"/>
                <w:szCs w:val="18"/>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979,000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equipment</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888,000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860,000</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Lab and pharmacy equipment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4,499,000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4,259,000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6,622,000</w:t>
            </w:r>
          </w:p>
        </w:tc>
        <w:tc>
          <w:tcPr>
            <w:tcW w:w="2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6,449,000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13,148,000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12,547,000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(9,515,000)</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(9,061,000)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2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3,633,000</w:t>
            </w:r>
          </w:p>
        </w:tc>
        <w:tc>
          <w:tcPr>
            <w:tcW w:w="26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3,486,000</w:t>
            </w:r>
          </w:p>
        </w:tc>
        <w:tc>
          <w:tcPr>
            <w:tcW w:w="100" w:type="dxa"/>
            <w:vAlign w:val="bottom"/>
            <w:tcBorders>
              <w:top w:val="single" w:sz="8" w:color="CCEEFF"/>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months ended June 30, 2023, depreciation related to the property, plant and equipment was $228,000 and $453,000, respectively, compared to $381,000 and $757,000 during the same periods in 2022,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r>
              <w:rPr>
                <w:rFonts w:ascii="Arial" w:cs="Arial" w:eastAsia="Arial" w:hAnsi="Arial"/>
                <w:sz w:val="18"/>
                <w:szCs w:val="18"/>
                <w:b w:val="1"/>
                <w:bCs w:val="1"/>
                <w:color w:val="auto"/>
              </w:rPr>
              <w:t>NOTE 10. CAPITALIZED SOFTWARE COSTS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20" w:type="dxa"/>
            <w:vAlign w:val="bottom"/>
          </w:tcPr>
          <w:p>
            <w:pPr>
              <w:spacing w:after="0"/>
              <w:rPr>
                <w:sz w:val="20"/>
                <w:szCs w:val="20"/>
                <w:color w:val="auto"/>
              </w:rPr>
            </w:pPr>
            <w:r>
              <w:rPr>
                <w:rFonts w:ascii="Arial" w:cs="Arial" w:eastAsia="Arial" w:hAnsi="Arial"/>
                <w:sz w:val="18"/>
                <w:szCs w:val="18"/>
                <w:color w:val="auto"/>
                <w:w w:val="91"/>
              </w:rPr>
              <w:t>Capitalized software costs at June 30, 2023 and December 31, 2022 consisted of the following:</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6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June 30, 2023</w:t>
            </w:r>
          </w:p>
        </w:tc>
        <w:tc>
          <w:tcPr>
            <w:tcW w:w="16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2022</w:t>
            </w:r>
          </w:p>
        </w:tc>
      </w:tr>
      <w:tr>
        <w:trPr>
          <w:trHeight w:val="216"/>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Capitalized software costs</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tcPr>
          <w:p>
            <w:pPr>
              <w:ind w:left="180"/>
              <w:spacing w:after="0"/>
              <w:rPr>
                <w:sz w:val="20"/>
                <w:szCs w:val="20"/>
                <w:color w:val="auto"/>
              </w:rPr>
            </w:pPr>
            <w:r>
              <w:rPr>
                <w:rFonts w:ascii="Arial" w:cs="Arial" w:eastAsia="Arial" w:hAnsi="Arial"/>
                <w:sz w:val="18"/>
                <w:szCs w:val="18"/>
                <w:color w:val="auto"/>
              </w:rPr>
              <w:t>Capitalized internal-use software development costs</w:t>
            </w:r>
          </w:p>
        </w:tc>
        <w:tc>
          <w:tcPr>
            <w:tcW w:w="3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340"/>
              <w:spacing w:after="0"/>
              <w:rPr>
                <w:sz w:val="20"/>
                <w:szCs w:val="20"/>
                <w:color w:val="auto"/>
              </w:rPr>
            </w:pPr>
            <w:r>
              <w:rPr>
                <w:rFonts w:ascii="Arial" w:cs="Arial" w:eastAsia="Arial" w:hAnsi="Arial"/>
                <w:sz w:val="18"/>
                <w:szCs w:val="18"/>
                <w:color w:val="auto"/>
              </w:rPr>
              <w:t>2,661,000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1,413,000</w:t>
            </w:r>
          </w:p>
        </w:tc>
        <w:tc>
          <w:tcPr>
            <w:tcW w:w="100" w:type="dxa"/>
            <w:vAlign w:val="bottom"/>
          </w:tcPr>
          <w:p>
            <w:pPr>
              <w:spacing w:after="0"/>
              <w:rPr>
                <w:sz w:val="18"/>
                <w:szCs w:val="18"/>
                <w:color w:val="auto"/>
              </w:rPr>
            </w:pPr>
          </w:p>
        </w:tc>
      </w:tr>
      <w:tr>
        <w:trPr>
          <w:trHeight w:val="249"/>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Acquired third-party software license for internal-use</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159,000</w:t>
            </w: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159,000</w:t>
            </w:r>
          </w:p>
        </w:tc>
        <w:tc>
          <w:tcPr>
            <w:tcW w:w="100" w:type="dxa"/>
            <w:vAlign w:val="bottom"/>
            <w:shd w:val="clear" w:color="auto" w:fill="CCEEFF"/>
          </w:tcPr>
          <w:p>
            <w:pPr>
              <w:spacing w:after="0"/>
              <w:rPr>
                <w:sz w:val="21"/>
                <w:szCs w:val="21"/>
                <w:color w:val="auto"/>
              </w:rPr>
            </w:pPr>
          </w:p>
        </w:tc>
      </w:tr>
      <w:tr>
        <w:trPr>
          <w:trHeight w:val="210"/>
        </w:trPr>
        <w:tc>
          <w:tcPr>
            <w:tcW w:w="69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gross capitalized software for internal-use</w:t>
            </w:r>
          </w:p>
        </w:tc>
        <w:tc>
          <w:tcPr>
            <w:tcW w:w="6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2,820,000</w:t>
            </w:r>
          </w:p>
        </w:tc>
        <w:tc>
          <w:tcPr>
            <w:tcW w:w="3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1,572,000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(1,029,000)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(793,000)</w:t>
            </w:r>
          </w:p>
        </w:tc>
        <w:tc>
          <w:tcPr>
            <w:tcW w:w="100" w:type="dxa"/>
            <w:vAlign w:val="bottom"/>
            <w:shd w:val="clear" w:color="auto" w:fill="CCEEFF"/>
          </w:tcPr>
          <w:p>
            <w:pPr>
              <w:spacing w:after="0"/>
              <w:rPr>
                <w:sz w:val="18"/>
                <w:szCs w:val="18"/>
                <w:color w:val="auto"/>
              </w:rPr>
            </w:pPr>
          </w:p>
        </w:tc>
      </w:tr>
      <w:tr>
        <w:trPr>
          <w:trHeight w:val="237"/>
        </w:trPr>
        <w:tc>
          <w:tcPr>
            <w:tcW w:w="6920" w:type="dxa"/>
            <w:vAlign w:val="bottom"/>
          </w:tcPr>
          <w:p>
            <w:pPr>
              <w:spacing w:after="0"/>
              <w:rPr>
                <w:sz w:val="20"/>
                <w:szCs w:val="20"/>
                <w:color w:val="auto"/>
              </w:rPr>
            </w:pPr>
            <w:r>
              <w:rPr>
                <w:rFonts w:ascii="Arial" w:cs="Arial" w:eastAsia="Arial" w:hAnsi="Arial"/>
                <w:sz w:val="18"/>
                <w:szCs w:val="18"/>
                <w:color w:val="auto"/>
              </w:rPr>
              <w:t>Capitalized internal-use software in process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jc w:val="right"/>
              <w:ind w:right="340"/>
              <w:spacing w:after="0"/>
              <w:rPr>
                <w:sz w:val="20"/>
                <w:szCs w:val="20"/>
                <w:color w:val="auto"/>
              </w:rPr>
            </w:pPr>
            <w:r>
              <w:rPr>
                <w:rFonts w:ascii="Arial" w:cs="Arial" w:eastAsia="Arial" w:hAnsi="Arial"/>
                <w:sz w:val="18"/>
                <w:szCs w:val="18"/>
                <w:color w:val="auto"/>
              </w:rPr>
              <w:t>345,000</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1,333,000</w:t>
            </w:r>
          </w:p>
        </w:tc>
        <w:tc>
          <w:tcPr>
            <w:tcW w:w="100" w:type="dxa"/>
            <w:vAlign w:val="bottom"/>
          </w:tcPr>
          <w:p>
            <w:pPr>
              <w:spacing w:after="0"/>
              <w:rPr>
                <w:sz w:val="20"/>
                <w:szCs w:val="20"/>
                <w:color w:val="auto"/>
              </w:rPr>
            </w:pPr>
          </w:p>
        </w:tc>
      </w:tr>
      <w:tr>
        <w:trPr>
          <w:trHeight w:val="229"/>
        </w:trPr>
        <w:tc>
          <w:tcPr>
            <w:tcW w:w="69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amortization expense of $170,000 and $237,000 related to capitalized software costs during the three and six months ended June 30, 2023, respectively, and $43,000 and $86,000 during the same periods in 2022,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at June 30, 2023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244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Net</w:t>
            </w:r>
          </w:p>
        </w:tc>
      </w:tr>
      <w:tr>
        <w:trPr>
          <w:trHeight w:val="216"/>
        </w:trPr>
        <w:tc>
          <w:tcPr>
            <w:tcW w:w="3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Periods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3"/>
          </w:tcPr>
          <w:p>
            <w:pPr>
              <w:jc w:val="right"/>
              <w:ind w:right="301"/>
              <w:spacing w:after="0"/>
              <w:rPr>
                <w:sz w:val="20"/>
                <w:szCs w:val="20"/>
                <w:color w:val="auto"/>
              </w:rPr>
            </w:pPr>
            <w:r>
              <w:rPr>
                <w:rFonts w:ascii="Arial" w:cs="Arial" w:eastAsia="Arial" w:hAnsi="Arial"/>
                <w:sz w:val="18"/>
                <w:szCs w:val="18"/>
                <w:b w:val="1"/>
                <w:bCs w:val="1"/>
                <w:color w:val="auto"/>
                <w:w w:val="93"/>
              </w:rPr>
              <w:t>Accumulated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Carrying</w:t>
            </w:r>
          </w:p>
        </w:tc>
      </w:tr>
      <w:tr>
        <w:trPr>
          <w:trHeight w:val="241"/>
        </w:trPr>
        <w:tc>
          <w:tcPr>
            <w:tcW w:w="30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(in years)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320" w:type="dxa"/>
            <w:vAlign w:val="bottom"/>
          </w:tcPr>
          <w:p>
            <w:pPr>
              <w:spacing w:after="0"/>
              <w:rPr>
                <w:sz w:val="20"/>
                <w:szCs w:val="20"/>
                <w:color w:val="auto"/>
              </w:rPr>
            </w:pPr>
          </w:p>
        </w:tc>
        <w:tc>
          <w:tcPr>
            <w:tcW w:w="1460" w:type="dxa"/>
            <w:vAlign w:val="bottom"/>
            <w:gridSpan w:val="3"/>
          </w:tcPr>
          <w:p>
            <w:pPr>
              <w:jc w:val="right"/>
              <w:ind w:right="301"/>
              <w:spacing w:after="0"/>
              <w:rPr>
                <w:sz w:val="20"/>
                <w:szCs w:val="20"/>
                <w:color w:val="auto"/>
              </w:rPr>
            </w:pPr>
            <w:r>
              <w:rPr>
                <w:rFonts w:ascii="Arial" w:cs="Arial" w:eastAsia="Arial" w:hAnsi="Arial"/>
                <w:sz w:val="18"/>
                <w:szCs w:val="18"/>
                <w:b w:val="1"/>
                <w:bCs w:val="1"/>
                <w:color w:val="auto"/>
                <w:w w:val="96"/>
              </w:rPr>
              <w:t>Amortization</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Impairment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17-19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980,000</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(204,000)</w:t>
            </w:r>
          </w:p>
        </w:tc>
        <w:tc>
          <w:tcPr>
            <w:tcW w:w="3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Licenses</w:t>
            </w:r>
          </w:p>
        </w:tc>
        <w:tc>
          <w:tcPr>
            <w:tcW w:w="2280" w:type="dxa"/>
            <w:vAlign w:val="bottom"/>
            <w:gridSpan w:val="2"/>
          </w:tcPr>
          <w:p>
            <w:pPr>
              <w:jc w:val="center"/>
              <w:ind w:left="1170"/>
              <w:spacing w:after="0"/>
              <w:rPr>
                <w:sz w:val="20"/>
                <w:szCs w:val="20"/>
                <w:color w:val="auto"/>
              </w:rPr>
            </w:pPr>
            <w:r>
              <w:rPr>
                <w:rFonts w:ascii="Arial" w:cs="Arial" w:eastAsia="Arial" w:hAnsi="Arial"/>
                <w:sz w:val="18"/>
                <w:szCs w:val="18"/>
                <w:color w:val="auto"/>
                <w:w w:val="89"/>
              </w:rPr>
              <w:t>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8"/>
                <w:szCs w:val="18"/>
                <w:color w:val="auto"/>
              </w:rPr>
              <w:t>(28,000)</w:t>
            </w:r>
          </w:p>
        </w:tc>
        <w:tc>
          <w:tcPr>
            <w:tcW w:w="1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72,000</w:t>
            </w:r>
          </w:p>
        </w:tc>
        <w:tc>
          <w:tcPr>
            <w:tcW w:w="10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Indefinite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267,000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267,000</w:t>
            </w:r>
          </w:p>
        </w:tc>
        <w:tc>
          <w:tcPr>
            <w:tcW w:w="10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Acquired NDAs</w:t>
            </w:r>
          </w:p>
        </w:tc>
        <w:tc>
          <w:tcPr>
            <w:tcW w:w="2280" w:type="dxa"/>
            <w:vAlign w:val="bottom"/>
            <w:gridSpan w:val="2"/>
          </w:tcPr>
          <w:p>
            <w:pPr>
              <w:jc w:val="center"/>
              <w:ind w:left="1170"/>
              <w:spacing w:after="0"/>
              <w:rPr>
                <w:sz w:val="20"/>
                <w:szCs w:val="20"/>
                <w:color w:val="auto"/>
              </w:rPr>
            </w:pPr>
            <w:r>
              <w:rPr>
                <w:rFonts w:ascii="Arial" w:cs="Arial" w:eastAsia="Arial" w:hAnsi="Arial"/>
                <w:sz w:val="18"/>
                <w:szCs w:val="18"/>
                <w:color w:val="auto"/>
                <w:w w:val="91"/>
              </w:rPr>
              <w:t>10-15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155,193,000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8"/>
                <w:szCs w:val="18"/>
                <w:color w:val="auto"/>
              </w:rPr>
              <w:t>(6,338,000)</w:t>
            </w:r>
          </w:p>
        </w:tc>
        <w:tc>
          <w:tcPr>
            <w:tcW w:w="1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148,855,000</w:t>
            </w:r>
          </w:p>
        </w:tc>
        <w:tc>
          <w:tcPr>
            <w:tcW w:w="10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280" w:type="dxa"/>
            <w:vAlign w:val="bottom"/>
            <w:gridSpan w:val="2"/>
            <w:shd w:val="clear" w:color="auto" w:fill="CCEEFF"/>
          </w:tcPr>
          <w:p>
            <w:pPr>
              <w:jc w:val="center"/>
              <w:ind w:left="1150"/>
              <w:spacing w:after="0"/>
              <w:rPr>
                <w:sz w:val="20"/>
                <w:szCs w:val="20"/>
                <w:color w:val="auto"/>
              </w:rPr>
            </w:pPr>
            <w:r>
              <w:rPr>
                <w:rFonts w:ascii="Arial" w:cs="Arial" w:eastAsia="Arial" w:hAnsi="Arial"/>
                <w:sz w:val="18"/>
                <w:szCs w:val="18"/>
                <w:color w:val="auto"/>
                <w:w w:val="88"/>
              </w:rPr>
              <w:t>3-15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596,000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(489,000)</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107,000</w:t>
            </w:r>
          </w:p>
        </w:tc>
        <w:tc>
          <w:tcPr>
            <w:tcW w:w="10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Trade name</w:t>
            </w:r>
          </w:p>
        </w:tc>
        <w:tc>
          <w:tcPr>
            <w:tcW w:w="2280" w:type="dxa"/>
            <w:vAlign w:val="bottom"/>
            <w:gridSpan w:val="2"/>
          </w:tcPr>
          <w:p>
            <w:pPr>
              <w:jc w:val="center"/>
              <w:ind w:left="1150"/>
              <w:spacing w:after="0"/>
              <w:rPr>
                <w:sz w:val="20"/>
                <w:szCs w:val="20"/>
                <w:color w:val="auto"/>
              </w:rPr>
            </w:pPr>
            <w:r>
              <w:rPr>
                <w:rFonts w:ascii="Arial" w:cs="Arial" w:eastAsia="Arial" w:hAnsi="Arial"/>
                <w:sz w:val="18"/>
                <w:szCs w:val="18"/>
                <w:color w:val="auto"/>
                <w:w w:val="79"/>
              </w:rPr>
              <w:t>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75,000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8"/>
                <w:szCs w:val="18"/>
                <w:color w:val="auto"/>
              </w:rPr>
              <w:t>(5,000)</w:t>
            </w:r>
          </w:p>
        </w:tc>
        <w:tc>
          <w:tcPr>
            <w:tcW w:w="1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2280" w:type="dxa"/>
            <w:vAlign w:val="bottom"/>
            <w:gridSpan w:val="2"/>
            <w:shd w:val="clear" w:color="auto" w:fill="CCEEFF"/>
          </w:tcPr>
          <w:p>
            <w:pPr>
              <w:jc w:val="center"/>
              <w:ind w:left="1150"/>
              <w:spacing w:after="0"/>
              <w:rPr>
                <w:sz w:val="20"/>
                <w:szCs w:val="20"/>
                <w:color w:val="auto"/>
              </w:rPr>
            </w:pPr>
            <w:r>
              <w:rPr>
                <w:rFonts w:ascii="Arial" w:cs="Arial" w:eastAsia="Arial" w:hAnsi="Arial"/>
                <w:sz w:val="18"/>
                <w:szCs w:val="18"/>
                <w:color w:val="auto"/>
                <w:w w:val="92"/>
              </w:rPr>
              <w:t>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(50,000)</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6"/>
        </w:trPr>
        <w:tc>
          <w:tcPr>
            <w:tcW w:w="300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2280" w:type="dxa"/>
            <w:vAlign w:val="bottom"/>
            <w:gridSpan w:val="2"/>
          </w:tcPr>
          <w:p>
            <w:pPr>
              <w:jc w:val="center"/>
              <w:ind w:left="1170"/>
              <w:spacing w:after="0"/>
              <w:rPr>
                <w:sz w:val="20"/>
                <w:szCs w:val="20"/>
                <w:color w:val="auto"/>
              </w:rPr>
            </w:pPr>
            <w:r>
              <w:rPr>
                <w:rFonts w:ascii="Arial" w:cs="Arial" w:eastAsia="Arial" w:hAnsi="Arial"/>
                <w:sz w:val="18"/>
                <w:szCs w:val="18"/>
                <w:color w:val="auto"/>
                <w:w w:val="89"/>
              </w:rPr>
              <w:t>25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8,000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8"/>
                <w:szCs w:val="18"/>
                <w:color w:val="auto"/>
              </w:rPr>
              <w:t>(7,000)</w:t>
            </w:r>
          </w:p>
        </w:tc>
        <w:tc>
          <w:tcPr>
            <w:tcW w:w="10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r>
      <w:tr>
        <w:trPr>
          <w:trHeight w:val="230"/>
        </w:trPr>
        <w:tc>
          <w:tcPr>
            <w:tcW w:w="30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157,269,000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(7,121,000</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150,148,000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80" w:type="dxa"/>
            <w:vAlign w:val="bottom"/>
            <w:gridSpan w:val="14"/>
          </w:tcPr>
          <w:p>
            <w:pPr>
              <w:spacing w:after="0"/>
              <w:rPr>
                <w:sz w:val="20"/>
                <w:szCs w:val="20"/>
                <w:color w:val="auto"/>
              </w:rPr>
            </w:pPr>
            <w:r>
              <w:rPr>
                <w:rFonts w:ascii="Arial" w:cs="Arial" w:eastAsia="Arial" w:hAnsi="Arial"/>
                <w:sz w:val="18"/>
                <w:szCs w:val="18"/>
                <w:color w:val="auto"/>
                <w:w w:val="92"/>
              </w:rPr>
              <w:t>Amortization expense for intangible assets for the three and six months ended June 30, 2023 and 2022 was as follows: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1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5"/>
          </w:tcPr>
          <w:p>
            <w:pPr>
              <w:jc w:val="right"/>
              <w:ind w:right="660"/>
              <w:spacing w:after="0"/>
              <w:rPr>
                <w:sz w:val="20"/>
                <w:szCs w:val="20"/>
                <w:color w:val="auto"/>
              </w:rPr>
            </w:pPr>
            <w:r>
              <w:rPr>
                <w:rFonts w:ascii="Arial" w:cs="Arial" w:eastAsia="Arial" w:hAnsi="Arial"/>
                <w:sz w:val="18"/>
                <w:szCs w:val="18"/>
                <w:color w:val="auto"/>
                <w:w w:val="95"/>
              </w:rPr>
              <w:t>For the Three Months Ended</w:t>
            </w:r>
          </w:p>
        </w:tc>
        <w:tc>
          <w:tcPr>
            <w:tcW w:w="240" w:type="dxa"/>
            <w:vAlign w:val="bottom"/>
          </w:tcPr>
          <w:p>
            <w:pPr>
              <w:spacing w:after="0"/>
              <w:rPr>
                <w:sz w:val="24"/>
                <w:szCs w:val="24"/>
                <w:color w:val="auto"/>
              </w:rPr>
            </w:pPr>
          </w:p>
        </w:tc>
        <w:tc>
          <w:tcPr>
            <w:tcW w:w="2840" w:type="dxa"/>
            <w:vAlign w:val="bottom"/>
            <w:gridSpan w:val="8"/>
          </w:tcPr>
          <w:p>
            <w:pPr>
              <w:jc w:val="right"/>
              <w:ind w:right="800"/>
              <w:spacing w:after="0"/>
              <w:rPr>
                <w:sz w:val="20"/>
                <w:szCs w:val="20"/>
                <w:color w:val="auto"/>
              </w:rPr>
            </w:pPr>
            <w:r>
              <w:rPr>
                <w:rFonts w:ascii="Arial" w:cs="Arial" w:eastAsia="Arial" w:hAnsi="Arial"/>
                <w:sz w:val="18"/>
                <w:szCs w:val="18"/>
                <w:color w:val="auto"/>
                <w:w w:val="97"/>
              </w:rPr>
              <w:t>For the Six Months Ended</w:t>
            </w:r>
          </w:p>
        </w:tc>
      </w:tr>
      <w:tr>
        <w:trPr>
          <w:trHeight w:val="237"/>
        </w:trPr>
        <w:tc>
          <w:tcPr>
            <w:tcW w:w="1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8"/>
                <w:szCs w:val="18"/>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112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Licenses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3,000</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NDAs</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2,805,000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341,000</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4,975,000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682,000</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22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14,000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33,000</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27,000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1120" w:type="dxa"/>
            <w:vAlign w:val="bottom"/>
            <w:tcBorders>
              <w:top w:val="single" w:sz="8" w:color="CCEEFF"/>
              <w:bottom w:val="single" w:sz="8" w:color="CCEEFF"/>
            </w:tcBorders>
            <w:shd w:val="clear" w:color="auto" w:fill="CCEEFF"/>
          </w:tcPr>
          <w:p>
            <w:pPr>
              <w:spacing w:after="0"/>
              <w:rPr>
                <w:sz w:val="22"/>
                <w:szCs w:val="22"/>
                <w:color w:val="auto"/>
              </w:rPr>
            </w:pPr>
          </w:p>
        </w:tc>
        <w:tc>
          <w:tcPr>
            <w:tcW w:w="2100" w:type="dxa"/>
            <w:vAlign w:val="bottom"/>
            <w:tcBorders>
              <w:top w:val="single" w:sz="8" w:color="CCEEFF"/>
              <w:bottom w:val="single" w:sz="8" w:color="CCEEFF"/>
            </w:tcBorders>
            <w:shd w:val="clear" w:color="auto" w:fill="CCEEFF"/>
          </w:tcPr>
          <w:p>
            <w:pPr>
              <w:spacing w:after="0"/>
              <w:rPr>
                <w:sz w:val="22"/>
                <w:szCs w:val="22"/>
                <w:color w:val="auto"/>
              </w:rPr>
            </w:pPr>
          </w:p>
        </w:tc>
        <w:tc>
          <w:tcPr>
            <w:tcW w:w="7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2,843,000</w:t>
            </w:r>
          </w:p>
        </w:tc>
        <w:tc>
          <w:tcPr>
            <w:tcW w:w="28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398,000</w:t>
            </w:r>
          </w:p>
        </w:tc>
        <w:tc>
          <w:tcPr>
            <w:tcW w:w="3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5,050,000</w:t>
            </w:r>
          </w:p>
        </w:tc>
        <w:tc>
          <w:tcPr>
            <w:tcW w:w="28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802,000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13"/>
        </w:trPr>
        <w:tc>
          <w:tcPr>
            <w:tcW w:w="8220" w:type="dxa"/>
            <w:vAlign w:val="bottom"/>
            <w:gridSpan w:val="11"/>
          </w:tcPr>
          <w:p>
            <w:pPr>
              <w:spacing w:after="0"/>
              <w:rPr>
                <w:sz w:val="20"/>
                <w:szCs w:val="20"/>
                <w:color w:val="auto"/>
              </w:rPr>
            </w:pPr>
            <w:r>
              <w:rPr>
                <w:rFonts w:ascii="Arial" w:cs="Arial" w:eastAsia="Arial" w:hAnsi="Arial"/>
                <w:sz w:val="18"/>
                <w:szCs w:val="18"/>
                <w:color w:val="auto"/>
                <w:w w:val="97"/>
              </w:rPr>
              <w:t>Estimated future amortization expense for the Company’s intangible assets at June 30, 2023 is as follows: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24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5,852,000</w:t>
            </w:r>
          </w:p>
        </w:tc>
      </w:tr>
      <w:tr>
        <w:trPr>
          <w:trHeight w:val="216"/>
        </w:trPr>
        <w:tc>
          <w:tcPr>
            <w:tcW w:w="1120" w:type="dxa"/>
            <w:vAlign w:val="bottom"/>
          </w:tcPr>
          <w:p>
            <w:pPr>
              <w:spacing w:after="0"/>
              <w:rPr>
                <w:sz w:val="18"/>
                <w:szCs w:val="18"/>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2024</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rPr>
              <w:t>11,785,000</w:t>
            </w:r>
          </w:p>
        </w:tc>
      </w:tr>
      <w:tr>
        <w:trPr>
          <w:trHeight w:val="216"/>
        </w:trPr>
        <w:tc>
          <w:tcPr>
            <w:tcW w:w="1120" w:type="dxa"/>
            <w:vAlign w:val="bottom"/>
          </w:tcPr>
          <w:p>
            <w:pPr>
              <w:spacing w:after="0"/>
              <w:rPr>
                <w:sz w:val="18"/>
                <w:szCs w:val="18"/>
                <w:color w:val="auto"/>
              </w:rPr>
            </w:pPr>
          </w:p>
        </w:tc>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11,785,000</w:t>
            </w:r>
          </w:p>
        </w:tc>
      </w:tr>
      <w:tr>
        <w:trPr>
          <w:trHeight w:val="216"/>
        </w:trPr>
        <w:tc>
          <w:tcPr>
            <w:tcW w:w="1120" w:type="dxa"/>
            <w:vAlign w:val="bottom"/>
          </w:tcPr>
          <w:p>
            <w:pPr>
              <w:spacing w:after="0"/>
              <w:rPr>
                <w:sz w:val="18"/>
                <w:szCs w:val="18"/>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2026</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rPr>
              <w:t>11,785,000</w:t>
            </w:r>
          </w:p>
        </w:tc>
      </w:tr>
      <w:tr>
        <w:trPr>
          <w:trHeight w:val="216"/>
        </w:trPr>
        <w:tc>
          <w:tcPr>
            <w:tcW w:w="1120" w:type="dxa"/>
            <w:vAlign w:val="bottom"/>
          </w:tcPr>
          <w:p>
            <w:pPr>
              <w:spacing w:after="0"/>
              <w:rPr>
                <w:sz w:val="18"/>
                <w:szCs w:val="18"/>
                <w:color w:val="auto"/>
              </w:rPr>
            </w:pPr>
          </w:p>
        </w:tc>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11,785,000</w:t>
            </w:r>
          </w:p>
        </w:tc>
      </w:tr>
      <w:tr>
        <w:trPr>
          <w:trHeight w:val="236"/>
        </w:trPr>
        <w:tc>
          <w:tcPr>
            <w:tcW w:w="1120" w:type="dxa"/>
            <w:vAlign w:val="bottom"/>
          </w:tcPr>
          <w:p>
            <w:pPr>
              <w:spacing w:after="0"/>
              <w:rPr>
                <w:sz w:val="20"/>
                <w:szCs w:val="20"/>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8"/>
                <w:szCs w:val="18"/>
                <w:color w:val="auto"/>
              </w:rPr>
              <w:t>96,889,000</w:t>
            </w:r>
          </w:p>
        </w:tc>
      </w:tr>
      <w:tr>
        <w:trPr>
          <w:trHeight w:val="269"/>
        </w:trPr>
        <w:tc>
          <w:tcPr>
            <w:tcW w:w="1120" w:type="dxa"/>
            <w:vAlign w:val="bottom"/>
          </w:tcPr>
          <w:p>
            <w:pPr>
              <w:spacing w:after="0"/>
              <w:rPr>
                <w:sz w:val="23"/>
                <w:szCs w:val="23"/>
                <w:color w:val="auto"/>
              </w:rPr>
            </w:pPr>
          </w:p>
        </w:tc>
        <w:tc>
          <w:tcPr>
            <w:tcW w:w="2100" w:type="dxa"/>
            <w:vAlign w:val="bottom"/>
            <w:tcBorders>
              <w:top w:val="single" w:sz="8" w:color="CCEEFF"/>
              <w:bottom w:val="single" w:sz="8" w:color="CCEEFF"/>
            </w:tcBorders>
            <w:shd w:val="clear" w:color="auto" w:fill="CCEEFF"/>
          </w:tcPr>
          <w:p>
            <w:pPr>
              <w:spacing w:after="0"/>
              <w:rPr>
                <w:sz w:val="23"/>
                <w:szCs w:val="23"/>
                <w:color w:val="auto"/>
              </w:rPr>
            </w:pPr>
          </w:p>
        </w:tc>
        <w:tc>
          <w:tcPr>
            <w:tcW w:w="7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4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CCEEFF"/>
              <w:bottom w:val="single" w:sz="8" w:color="CCEEFF"/>
            </w:tcBorders>
            <w:shd w:val="clear" w:color="auto" w:fill="CCEEFF"/>
          </w:tcPr>
          <w:p>
            <w:pPr>
              <w:spacing w:after="0"/>
              <w:rPr>
                <w:sz w:val="23"/>
                <w:szCs w:val="23"/>
                <w:color w:val="auto"/>
              </w:rPr>
            </w:pPr>
          </w:p>
        </w:tc>
        <w:tc>
          <w:tcPr>
            <w:tcW w:w="96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94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gridSpan w:val="2"/>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149,881,000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to the carrying value of the Company’s goodwill during the three and six months ended June 30, 2023 and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12. ACCOUNTS PAYABLE AND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at June 30, 2023 and December 31, 2022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55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10,506,000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6,440,000</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Accrued insurance premium</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Accrued IHEEZO milestone payments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Accrued litigation settlements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49,000</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Accrued RPC transition payments (see Note 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453,000</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Accrued interest (see Note 13)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2,151,000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1,254,000</w:t>
            </w:r>
          </w:p>
        </w:tc>
        <w:tc>
          <w:tcPr>
            <w:tcW w:w="100" w:type="dxa"/>
            <w:vAlign w:val="bottom"/>
          </w:tcPr>
          <w:p>
            <w:pPr>
              <w:spacing w:after="0"/>
              <w:rPr>
                <w:sz w:val="18"/>
                <w:szCs w:val="18"/>
                <w:color w:val="auto"/>
              </w:rPr>
            </w:pPr>
          </w:p>
        </w:tc>
      </w:tr>
      <w:tr>
        <w:trPr>
          <w:trHeight w:val="249"/>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exit fee for note payable (see Note 13)</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2,275,000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3"/>
        </w:trPr>
        <w:tc>
          <w:tcPr>
            <w:tcW w:w="5580" w:type="dxa"/>
            <w:vAlign w:val="bottom"/>
          </w:tcPr>
          <w:p>
            <w:pPr>
              <w:spacing w:after="0" w:line="203" w:lineRule="exact"/>
              <w:rPr>
                <w:sz w:val="20"/>
                <w:szCs w:val="20"/>
                <w:color w:val="auto"/>
              </w:rPr>
            </w:pPr>
            <w:r>
              <w:rPr>
                <w:rFonts w:ascii="Arial" w:cs="Arial" w:eastAsia="Arial" w:hAnsi="Arial"/>
                <w:sz w:val="18"/>
                <w:szCs w:val="18"/>
                <w:color w:val="auto"/>
              </w:rPr>
              <w:t>Total accounts payable and accrued expenses</w:t>
            </w:r>
          </w:p>
        </w:tc>
        <w:tc>
          <w:tcPr>
            <w:tcW w:w="20" w:type="dxa"/>
            <w:vAlign w:val="bottom"/>
          </w:tcPr>
          <w:p>
            <w:pPr>
              <w:spacing w:after="0"/>
              <w:rPr>
                <w:sz w:val="17"/>
                <w:szCs w:val="17"/>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20,097,000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13,771,000</w:t>
            </w:r>
          </w:p>
        </w:tc>
        <w:tc>
          <w:tcPr>
            <w:tcW w:w="100" w:type="dxa"/>
            <w:vAlign w:val="bottom"/>
          </w:tcPr>
          <w:p>
            <w:pPr>
              <w:spacing w:after="0"/>
              <w:rPr>
                <w:sz w:val="17"/>
                <w:szCs w:val="17"/>
                <w:color w:val="auto"/>
              </w:rPr>
            </w:pPr>
          </w:p>
        </w:tc>
      </w:tr>
      <w:tr>
        <w:trPr>
          <w:trHeight w:val="249"/>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(17,822,000)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(13,771,000)</w:t>
            </w:r>
          </w:p>
        </w:tc>
      </w:tr>
      <w:tr>
        <w:trPr>
          <w:trHeight w:val="217"/>
        </w:trPr>
        <w:tc>
          <w:tcPr>
            <w:tcW w:w="55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Non-current total accrued expenses</w:t>
            </w: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2,275,000</w:t>
            </w: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financed all insurance policies for the policy term of August 17, 2022 through August 16, 2023. The financing agreement has an interest rate of 4.13% per annum and requires eight monthly payments of $114,000.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Oaktree Loan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March 2023, the Company entered into a Credit Agreement and Guaranty (the “Oaktree Loan”) with Oaktree Fund Administration, LLC, as administrative agent for the lenders (together, “Oaktree”), providing for a senior secured term loan facility to the Company with a principal amount of up to $100,000,000. Upon entering into the Oaktree Loan, the Company drew a principal amount of $65,000,000 (“Tranche A”) from the Oaktree Loan and used the net proceeds to repay all amounts owed by the Company pursuant to the Loan and Security Agreement the Company previously entered into with B. Riley Commercial Capital, LLC on December 14, 2022 (the “B. Riley Loan”) – see subheading </w:t>
      </w:r>
      <w:r>
        <w:rPr>
          <w:rFonts w:ascii="Arial" w:cs="Arial" w:eastAsia="Arial" w:hAnsi="Arial"/>
          <w:sz w:val="18"/>
          <w:szCs w:val="18"/>
          <w:i w:val="1"/>
          <w:iCs w:val="1"/>
          <w:color w:val="auto"/>
        </w:rPr>
        <w:t>B. Riley Loan and Security Agreement – Paid in Full</w:t>
      </w:r>
      <w:r>
        <w:rPr>
          <w:rFonts w:ascii="Arial" w:cs="Arial" w:eastAsia="Arial" w:hAnsi="Arial"/>
          <w:sz w:val="18"/>
          <w:szCs w:val="18"/>
          <w:color w:val="auto"/>
        </w:rPr>
        <w:t xml:space="preserve"> within this footnote. The additional principal loan amount of up to $35,000,000 available under the Oaktree Loan (“Tranche B”) will be made available to the Company upon the commercialization of TRIESENCE. If Tranche B is not drawn by the Company on or before March 27, 2024, the amount available under Tranche B decreases to $30,000,000.</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Oaktree Loan is secured by nearly all of the assets, including intellectual property, of the Company and its material subsidiaries. The Oaktree Loan has a maturity date of January 19, 2026 and carries an interest rate equal to the Secured Overnight Financing Rate (SOFR) plus 6.5% per annum (totaling 11.77% at June 30, 2023). From proceeds, the Company paid fees, offering expenses, and the Oaktree Loan was issued at an original issue discount of $3,415,000, in aggregate. The Oaktree Loan also carries an exit fee equal to 3.50% of the aggregate principal amount owed and the Company accrued $2,275,000 related to the exit fee. The original issue discount, fees and expenses (including the exit fee) are being amortized over the term of the Oaktree Loan using the effective interest rate method. The Oaktree Loan requires quarterly interest-only payments with all of the unpaid principal, interest and fees due on the maturity date, January 19, 2026.</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Oaktree Loan contains customary guarantees and covenants, including financial covenants related to minimum liquidity and minimum net revenues. As of the end of the fiscal quarter ending December 31, 2024, if the Company’s Total Leverage Ratio (as defined in the Oaktree Loan) is greater than or equal to five times, but less than seven times, the Company will be required to issue to Oaktree warrants to purchase 375,000 shares of the Company’s common stock, and if the Total Leverage Ratio is greater than or equal to seven times, the Company will be required to issue to Oaktree warrants to purchase an additional 375,000 shares of the Company’s common stock (equaling 750,000 shares in aggregate). If the Total Leverage Ratio as of the end of the fiscal quarter ending December 31, 2024 is less than five times, no warrants will be issued to Oaktree. Based on current projections, the Company does not expect to issue any warrants related to the Oaktree Loan.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Interest expense related to the Oaktree Loan totaled $2,570,000 and $2,665,000 for the three and six months ended June 30, 2023, respectively, and included the amortization of debt issuance costs and discount of $514,000 and $526,000,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18 for additional information and an amendment made to the Oaktree Loan subsequent to June 30,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HROWM - 11.875% Senior Notes Due 2027</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2022 and in January 2023, the Company closed an offering of $35,000,000 and $5,250,000, respectively, aggregate principal amount of 11.875% senior notes due in December 2027 (the “2027 Notes”). The 2027 Notes were sold to investors at a par value of $25.00 per 2027 Note, and the offering resulted in net proceeds to the Company of approximately $36,699,000 after deducting underwriting discounts and commissions and expenses of $3,551,000.</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2027 Notes are senior unsecured obligations of the Company and rank equally in right of payment with all of the Company’s other existing and future senior unsecured and unsubordinated indebtedness. The 2027 Notes are effectively subordinated in right of payment to all of the Company’s existing and future secured indebtedness and structurally subordinated to all existing and future indebtedness of the Company’s subsidiaries, including trade payables. The 2027 Notes bear interest at the rate of 11.875% per annum. Interest on the 2027 Notes is payable quarterly in arrears on January 31, April 30, July 31 and October 31 of each year, commencing on January 31, 2023. The 2027 Notes will mature on December 31, 2027.</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any time prior to December 31, 2024, the Company may, at its option, redeem the 2027 Notes, in whole at any time or in part from time to time, at a redemption price equal to 100% of the principal amount of the 2027 Notes to be redeemed, plus a make-whole amount, if any, plus accrued and unpaid interest to, but excluding, the date of redemption. The Company may redeem the 2027 Notes for cash in whole or in part at any time at its option (i) on or after December 31, 2024 and prior to December 31, 2025, at a price equal to $25.50 per note, plus accrued and unpaid interest to, but excluding, the date of redemption, (ii) on or after December 31, 2025 and prior to December 31, 2026, at a price equal to $25.25 per note, plus accrued and unpaid interest to, but excluding, the date of redemption, and (iii) on or after December 31, 2026 and prior to maturity, at a price equal to 100% of their principal amount, plus accrued and unpaid interest to, but excluding, the date of redemption. In addition, the Company is required to redeem the 2027 Notes, for cash, in whole but not in part, at the price of $25.50 per note, plus accrued and unpaid interest to, but excluding, the date of redemption, upon occurrence of certain events including the occurrence of a Material Change, as defined in the Second Supplemental Indenture. The 2027 Notes trade on the Nasdaq Stock Market LLC under the symbol “HROWM.”</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related to the 2027 Notes totaled $1,371,000 and $2,766,000 for the three and six months ended June 30, 2023, respectively, and included amortization of debt issuance costs and debt discount of $176,000 and $376,000,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Our Chief Executive Officer, Mark L. Baum, Chief Financial Officer, Andrew R. Boll along with director R. Lawrence Van Horn and former director Dr.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Richard Lindstrom, in the aggregate, own $950,000 in principal amount of the 2027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HROWL - 8.625% Senior Notes Due 2026</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April 2021, the Company closed an offering of $50,000,000 aggregate principal amount of 8.625% senior notes due April 2026, and in May 2021 issued an additional $5,000,000 of such notes pursuant to the full exercise of the underwriters’ option to purchase additional notes (collectively, the “April Notes”). The April Notes were sold to investors at a par value of $25.00 per April Note and the offering resulted in net proceeds to the Company of approximately $51,909,000 after deducting underwriting discounts and commissions and expenses of $3,091,000. In June 2021, in a further issuance of the April Notes, the Company sold an additional $20,000,000 aggregate principal amount of such notes (the “June Notes,” and together with the April Notes, the “2026 Notes”), at a price of $25.75 per June Note, with interest of $278,000 on the June Notes being accrued from April 20, 2021 as of the date of issuance. The June offering resulted in net proceeds to the Company of approximately $19,164,000 after deducting underwriting discounts and commissions and expenses of $1,158,000 and a premium on note issuance of $322,000. The June Notes are treated as a single series with the April Notes under the indenture governing the April Notes, dated as of April 20, 2021, and have the same terms as the April Notes (other than the initial offering price and issue date). The 2026 Notes are senior unsecured obligations of the Company and rank equally in right of payment with all of our other existing and future senior unsecured and unsubordinated indebtedness. The 2026 Notes are effectively subordinated in right of payment to all of the Company’s existing and future secured indebtedness and structurally subordinated to all existing and future indebtedness of the Company’s subsidiaries, including trade payables. The 2026 Notes bear interest at a rate of 8.625% per annum. Interest on the 2026 Notes is payable quarterly in arrears on January 31, April 30, July 31 and October 31 of each year, commencing on July 31, 2021. The 2026 Notes will mature on April 30, 2026. The issuance costs were recorded as a debt discount and are being amortized as interest expense, net of the amortization of the premium on note issuance, over the term of the 2026 Notes using the effective interest rate method.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both"/>
        <w:spacing w:after="0" w:line="255" w:lineRule="auto"/>
        <w:rPr>
          <w:sz w:val="20"/>
          <w:szCs w:val="20"/>
          <w:color w:val="auto"/>
        </w:rPr>
      </w:pPr>
      <w:r>
        <w:rPr>
          <w:rFonts w:ascii="Arial" w:cs="Arial" w:eastAsia="Arial" w:hAnsi="Arial"/>
          <w:sz w:val="18"/>
          <w:szCs w:val="18"/>
          <w:color w:val="auto"/>
        </w:rPr>
        <w:t>Prior to February 1, 2026, the Company may, at its option, redeem the 2026 Notes, in whole at any time or in part from time to time, at a redemption price equal to 100% of the principal amount of the 2026 Notes to be redeemed, plus a make-whole amount, if any, plus accrued and unpaid interest to, but excluding, the date of redemption. The Company may redeem the 2026 Notes for cash in whole or in part at any time at our option on or after February 1, 2026 and prior to maturity, at a price equal to 100% of their principal amount, plus accrued and unpaid interest to, but excluding, the date of redemption. On and after any redemption date, interest will cease to accrue on the redeemed Notes. The 2026 Notes trade on the Nasdaq Stock Market LLC under the symbol “HROWL”.</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related to the 2026 Notes totaled $1,812,000 and $3,622,000 and $1,812,000 and $3,622,000 for the three and six months ended June 30, 2023 and 2022, respectively, and included amortization of debt issuance costs and discount of $195,000 and $388,000 and $195,000 and $388,000 for three and six months ended June 30, 2023 and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Riley Loan and Security Agreement – Paid in Full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14, 2022 (the “Effective Date”), the Company entered into a Loan and Security Agreement (the “BR Loan”) with B. Riley Commercial Capital, LLC, as Administrative Agent for the Lenders. The BR Loan provided for a loan facility of up to $100,000,000 to the Company with a maturity date of December 14, 2025 (the “Maturity Date”), at an interest rate of 10.875% per annum.</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BR Loan was secured by an intellectual property security agreement entered into in connection with the BR Loan, and by all assets of the Company and its material subsidiaries. The outstanding balance of the BR Loan was due in full on the Maturity Date. The BR Loan provided for voluntary prepayment subject to no prepayment fee if no loan amount had been funded or the prepayment or repayment occurred (other than as a result of acceleration of the BR Loan) on or prior to the date that was 90 days following the Effective Date and up to 3.00% of the amount of the BR Loan based on other payment dates.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2023, $59,750,000 of principal amount was funded pursuant to the BR Loan simultaneously with the consummation of the Fab 5 Acquisition (see Note 4). In March 2023, the Company repaid all amounts owed under the BR Loan, in connection with the Oaktree Loan, and no exit or prepayment fees were paid as a result of the payoff of the BR Loan pursuant to a side letter agreement among the parties.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expense related to the BR Loan totaled $1,565,000 for the six months ended June 30, 2023, and included amortization of debt issuance costs and debt discount of $356,000. The Company recorded a loss of $5,465,000 related to the early extinguishment of debt associated with the BR Loan.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A summary of the Company’s debt is described as follows: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3"/>
            <w:vMerge w:val="restart"/>
          </w:tcPr>
          <w:p>
            <w:pPr>
              <w:jc w:val="right"/>
              <w:ind w:right="62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11"/>
        </w:trPr>
        <w:tc>
          <w:tcPr>
            <w:tcW w:w="11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20" w:type="dxa"/>
            <w:vAlign w:val="bottom"/>
          </w:tcPr>
          <w:p>
            <w:pPr>
              <w:spacing w:after="0"/>
              <w:rPr>
                <w:sz w:val="20"/>
                <w:szCs w:val="20"/>
                <w:color w:val="auto"/>
              </w:rPr>
            </w:pPr>
          </w:p>
        </w:tc>
        <w:tc>
          <w:tcPr>
            <w:tcW w:w="55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8.625% Senior Notes due April 2026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11.875% Senior Notes due December 2027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40,250,000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35,000,000</w:t>
            </w: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1"/>
                <w:szCs w:val="21"/>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Oaktree Loan due January 2026</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65,000,000</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5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180,250,000</w:t>
            </w: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110,000,000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1"/>
                <w:szCs w:val="21"/>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(10,538,000)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(5,826,000)</w:t>
            </w: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169,712,000</w:t>
            </w: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104,174,000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and six months ended June 30, 2023 the total effective interest rate of the Company’s debt was 10.71%, and 10.81%, respectively, and 8.88% and 8.94% for the same periods in the prior year,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8500" w:type="dxa"/>
            <w:vAlign w:val="bottom"/>
            <w:gridSpan w:val="2"/>
          </w:tcPr>
          <w:p>
            <w:pPr>
              <w:spacing w:after="0"/>
              <w:rPr>
                <w:sz w:val="20"/>
                <w:szCs w:val="20"/>
                <w:color w:val="auto"/>
              </w:rPr>
            </w:pPr>
            <w:r>
              <w:rPr>
                <w:rFonts w:ascii="Arial" w:cs="Arial" w:eastAsia="Arial" w:hAnsi="Arial"/>
                <w:sz w:val="18"/>
                <w:szCs w:val="18"/>
                <w:color w:val="auto"/>
              </w:rPr>
              <w:t>At June 30, 2023, future minimum payments under the Company’s debt were as follows: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11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Amount</w:t>
            </w:r>
          </w:p>
        </w:tc>
      </w:tr>
      <w:tr>
        <w:trPr>
          <w:trHeight w:val="216"/>
        </w:trPr>
        <w:tc>
          <w:tcPr>
            <w:tcW w:w="1120" w:type="dxa"/>
            <w:vAlign w:val="bottom"/>
          </w:tcPr>
          <w:p>
            <w:pPr>
              <w:spacing w:after="0"/>
              <w:rPr>
                <w:sz w:val="18"/>
                <w:szCs w:val="18"/>
                <w:color w:val="auto"/>
              </w:rPr>
            </w:pPr>
          </w:p>
        </w:tc>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9,815,000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19,352,000</w:t>
            </w: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18,748,000</w:t>
            </w:r>
          </w:p>
        </w:tc>
        <w:tc>
          <w:tcPr>
            <w:tcW w:w="8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147,305,000</w:t>
            </w:r>
          </w:p>
        </w:tc>
        <w:tc>
          <w:tcPr>
            <w:tcW w:w="80" w:type="dxa"/>
            <w:vAlign w:val="bottom"/>
          </w:tcPr>
          <w:p>
            <w:pPr>
              <w:spacing w:after="0"/>
              <w:rPr>
                <w:sz w:val="18"/>
                <w:szCs w:val="18"/>
                <w:color w:val="auto"/>
              </w:rPr>
            </w:pPr>
          </w:p>
        </w:tc>
      </w:tr>
      <w:tr>
        <w:trPr>
          <w:trHeight w:val="249"/>
        </w:trPr>
        <w:tc>
          <w:tcPr>
            <w:tcW w:w="1120" w:type="dxa"/>
            <w:vAlign w:val="bottom"/>
          </w:tcPr>
          <w:p>
            <w:pPr>
              <w:spacing w:after="0"/>
              <w:rPr>
                <w:sz w:val="21"/>
                <w:szCs w:val="21"/>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45,030,000</w:t>
            </w:r>
          </w:p>
        </w:tc>
        <w:tc>
          <w:tcPr>
            <w:tcW w:w="80" w:type="dxa"/>
            <w:vAlign w:val="bottom"/>
            <w:shd w:val="clear" w:color="auto" w:fill="CCEEFF"/>
          </w:tcPr>
          <w:p>
            <w:pPr>
              <w:spacing w:after="0"/>
              <w:rPr>
                <w:sz w:val="21"/>
                <w:szCs w:val="21"/>
                <w:color w:val="auto"/>
              </w:rPr>
            </w:pPr>
          </w:p>
        </w:tc>
      </w:tr>
      <w:tr>
        <w:trPr>
          <w:trHeight w:val="203"/>
        </w:trPr>
        <w:tc>
          <w:tcPr>
            <w:tcW w:w="1120" w:type="dxa"/>
            <w:vAlign w:val="bottom"/>
          </w:tcPr>
          <w:p>
            <w:pPr>
              <w:spacing w:after="0"/>
              <w:rPr>
                <w:sz w:val="17"/>
                <w:szCs w:val="17"/>
                <w:color w:val="auto"/>
              </w:rPr>
            </w:pPr>
          </w:p>
        </w:tc>
        <w:tc>
          <w:tcPr>
            <w:tcW w:w="738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Total minimum payments</w:t>
            </w: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240,250,000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1120" w:type="dxa"/>
            <w:vAlign w:val="bottom"/>
          </w:tcPr>
          <w:p>
            <w:pPr>
              <w:spacing w:after="0"/>
              <w:rPr>
                <w:sz w:val="21"/>
                <w:szCs w:val="21"/>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 representing interest payments</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(60,000,000)</w:t>
            </w:r>
          </w:p>
        </w:tc>
      </w:tr>
      <w:tr>
        <w:trPr>
          <w:trHeight w:val="203"/>
        </w:trPr>
        <w:tc>
          <w:tcPr>
            <w:tcW w:w="1120" w:type="dxa"/>
            <w:vAlign w:val="bottom"/>
          </w:tcPr>
          <w:p>
            <w:pPr>
              <w:spacing w:after="0"/>
              <w:rPr>
                <w:sz w:val="17"/>
                <w:szCs w:val="17"/>
                <w:color w:val="auto"/>
              </w:rPr>
            </w:pPr>
          </w:p>
        </w:tc>
        <w:tc>
          <w:tcPr>
            <w:tcW w:w="738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Notes payable, gross principal amount due</w:t>
            </w: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180,250,000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1120" w:type="dxa"/>
            <w:vAlign w:val="bottom"/>
          </w:tcPr>
          <w:p>
            <w:pPr>
              <w:spacing w:after="0"/>
              <w:rPr>
                <w:sz w:val="21"/>
                <w:szCs w:val="21"/>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 net of premium</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(10,538,000)</w:t>
            </w:r>
          </w:p>
        </w:tc>
      </w:tr>
      <w:tr>
        <w:trPr>
          <w:trHeight w:val="217"/>
        </w:trPr>
        <w:tc>
          <w:tcPr>
            <w:tcW w:w="1120" w:type="dxa"/>
            <w:vAlign w:val="bottom"/>
          </w:tcPr>
          <w:p>
            <w:pPr>
              <w:spacing w:after="0"/>
              <w:rPr>
                <w:sz w:val="18"/>
                <w:szCs w:val="18"/>
                <w:color w:val="auto"/>
              </w:rPr>
            </w:pPr>
          </w:p>
        </w:tc>
        <w:tc>
          <w:tcPr>
            <w:tcW w:w="73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Notes payable, net of unamortized discount</w:t>
            </w: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169,712,000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LEASES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leases office and laboratory space under non-cancelable operating leases listed below. These lease agreements have remaining terms between one to five years and contain various clauses for renewal at the Company’s option.</w:t>
      </w:r>
    </w:p>
    <w:p>
      <w:pPr>
        <w:spacing w:after="0" w:line="170"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operating lease for 5,789 square feet of office space in Carlsbad, California, which commenced in January 2022 and will expire in March 2025.</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operating lease for 35,326 square feet of lab, warehouse and office space in Ledgewood, New Jersey that expires in July 2027, with an option to extend the term for two additional five-year periods. This includes an amendment, which was made effective July 2020, that extended the term of the original lease and added 1,400 of additional square footage to the lease, and another amendment entered into in May 2021 that extended the term of the lease to July 2027 and added 8,900 square feet of space.</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operating lease for 5,500 square feet of office space in Nashville, Tennessee, which commended in January 2020 and will expire in December 2024, with an option to extend the term for two additional five-year periods.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operating lease for 11,552 square feet of lab and office space in Nashville, Tennessee which commenced in June 2022 and will expire in June 2027.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2023, the weighted average incremental borrowing rate and the weighted average remaining lease term for the operating leases held by the Company were 6.61% and 10.59 years,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six months ended June 30, 2023, cash paid for amounts included for the operating lease liabilities was $306,000 and $611,000, respectively, and $207,000 and $373,000 during the same periods in 2022, respectively. During the three and six months ended June 30, 2023 and 2022, the Company recorded operating lease expense of $308,000 and $617,000 and $262,000 and $500,000, respectively, which is included in selling, general and administrative expenses.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7220" w:type="dxa"/>
            <w:vAlign w:val="bottom"/>
            <w:gridSpan w:val="2"/>
          </w:tcPr>
          <w:p>
            <w:pPr>
              <w:spacing w:after="0"/>
              <w:rPr>
                <w:sz w:val="20"/>
                <w:szCs w:val="20"/>
                <w:color w:val="auto"/>
              </w:rPr>
            </w:pPr>
            <w:r>
              <w:rPr>
                <w:rFonts w:ascii="Arial" w:cs="Arial" w:eastAsia="Arial" w:hAnsi="Arial"/>
                <w:sz w:val="18"/>
                <w:szCs w:val="18"/>
                <w:color w:val="auto"/>
              </w:rPr>
              <w:t>Future lease payments under operating leases as of June 30, 2023 were as follows</w:t>
            </w:r>
            <w:r>
              <w:rPr>
                <w:rFonts w:ascii="Arial" w:cs="Arial" w:eastAsia="Arial" w:hAnsi="Arial"/>
                <w:sz w:val="18"/>
                <w:szCs w:val="18"/>
                <w:b w:val="1"/>
                <w:bCs w:val="1"/>
                <w:color w:val="auto"/>
              </w:rPr>
              <w:t>:</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Operating Leases</w:t>
            </w:r>
          </w:p>
        </w:tc>
      </w:tr>
      <w:tr>
        <w:trPr>
          <w:trHeight w:val="216"/>
        </w:trPr>
        <w:tc>
          <w:tcPr>
            <w:tcW w:w="11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1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2024</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1,262,000</w:t>
            </w:r>
          </w:p>
        </w:tc>
      </w:tr>
      <w:tr>
        <w:trPr>
          <w:trHeight w:val="216"/>
        </w:trPr>
        <w:tc>
          <w:tcPr>
            <w:tcW w:w="1120" w:type="dxa"/>
            <w:vAlign w:val="bottom"/>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1,093,000</w:t>
            </w:r>
          </w:p>
        </w:tc>
      </w:tr>
      <w:tr>
        <w:trPr>
          <w:trHeight w:val="216"/>
        </w:trPr>
        <w:tc>
          <w:tcPr>
            <w:tcW w:w="112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2026</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1,114,000</w:t>
            </w:r>
          </w:p>
        </w:tc>
      </w:tr>
      <w:tr>
        <w:trPr>
          <w:trHeight w:val="216"/>
        </w:trPr>
        <w:tc>
          <w:tcPr>
            <w:tcW w:w="1120" w:type="dxa"/>
            <w:vAlign w:val="bottom"/>
          </w:tcPr>
          <w:p>
            <w:pPr>
              <w:spacing w:after="0"/>
              <w:rPr>
                <w:sz w:val="18"/>
                <w:szCs w:val="18"/>
                <w:color w:val="auto"/>
              </w:rPr>
            </w:pP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972,000</w:t>
            </w:r>
          </w:p>
        </w:tc>
      </w:tr>
      <w:tr>
        <w:trPr>
          <w:trHeight w:val="237"/>
        </w:trPr>
        <w:tc>
          <w:tcPr>
            <w:tcW w:w="1120" w:type="dxa"/>
            <w:vAlign w:val="bottom"/>
          </w:tcPr>
          <w:p>
            <w:pPr>
              <w:spacing w:after="0"/>
              <w:rPr>
                <w:sz w:val="20"/>
                <w:szCs w:val="20"/>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5,829,000</w:t>
            </w:r>
          </w:p>
        </w:tc>
      </w:tr>
      <w:tr>
        <w:trPr>
          <w:trHeight w:val="216"/>
        </w:trPr>
        <w:tc>
          <w:tcPr>
            <w:tcW w:w="11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1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10,889,000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120" w:type="dxa"/>
            <w:vAlign w:val="bottom"/>
          </w:tcPr>
          <w:p>
            <w:pPr>
              <w:spacing w:after="0"/>
              <w:rPr>
                <w:sz w:val="20"/>
                <w:szCs w:val="20"/>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Less: amount representing interest payments</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(3,186,000)</w:t>
            </w:r>
          </w:p>
        </w:tc>
      </w:tr>
      <w:tr>
        <w:trPr>
          <w:trHeight w:val="216"/>
        </w:trPr>
        <w:tc>
          <w:tcPr>
            <w:tcW w:w="11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operating lease obligations</w:t>
            </w:r>
          </w:p>
        </w:tc>
        <w:tc>
          <w:tcPr>
            <w:tcW w:w="1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120" w:type="dxa"/>
            <w:vAlign w:val="bottom"/>
          </w:tcPr>
          <w:p>
            <w:pPr>
              <w:spacing w:after="0"/>
              <w:rPr>
                <w:sz w:val="20"/>
                <w:szCs w:val="20"/>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Less: current portion, operating lease obligations</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(764,000)</w:t>
            </w:r>
          </w:p>
        </w:tc>
      </w:tr>
      <w:tr>
        <w:trPr>
          <w:trHeight w:val="229"/>
        </w:trPr>
        <w:tc>
          <w:tcPr>
            <w:tcW w:w="1120" w:type="dxa"/>
            <w:vAlign w:val="bottom"/>
          </w:tcPr>
          <w:p>
            <w:pPr>
              <w:spacing w:after="0"/>
              <w:rPr>
                <w:sz w:val="19"/>
                <w:szCs w:val="19"/>
                <w:color w:val="auto"/>
              </w:rPr>
            </w:pPr>
          </w:p>
        </w:tc>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 net of current portion</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2023, the Company issued 131,760 shares of its common stock underlying RSUs held by a director that ceased providing services to the Company. The RSUs had previously vested, including 13,123 RSUs during the six months ended June 30, 2023, but the issuance and delivery of the shares were deferred until the director terminated all service to the Company.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2023, the Company issued 59,504 shares of common stock and received proceeds of $337,000 upon the exercise of options to purchase 59,504 shares of common stock with exercise prices ranging from $1.70 to $8.50 per share.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six months ended June 30, 2023, the Company issued 62,367 shares of common stock to Mark L. Baum, the Company’s Chief Executive Officer, upon the cashless exercise of options to purchase 180,000 shares at an exercise price of $8.99 per share. The Company withheld from Mr. Baum 77,167 shares as consideration for the cashless exercise and an additional 40,466 shares for payroll tax obligations totaling $849,000.</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six months ended June 30, 2023, the Company issued 55,558 shares of common stock to Andrew R. Boll, the Company’s Chief Financial Officer, upon the cashless exercise of options to purchase 90,000 shares at an exercise price of $6.00 per share. The Company withheld from Mr. Boll 25,521 shares as consideration for the cashless exercise and an additional 8,921 shares for payroll tax obligations totaling $189,000.</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2023, upon vesting of 23,000 RSUs granted in January 2020 to Andrew R. Boll, the Company’s Chief Financial Officer, the Company issued 13,398 shares of common stock to Mr. Boll, net of 9,602 shares of common stock withheld for payroll tax withholdings totaling $142,000.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2023, upon vesting of 88,000 RSUs granted in January 2020 to Mark L. Baum, the Company’s Chief Executive Officer, the Company issued 52,821 shares of common stock to Mr. Baum, net of 35,179 shares of common stock withheld for payroll tax withholdings totaling $519,000.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2023, 32,810 shares of the Company’s common stock underlying RSUs issued to directors vested, but the issuance and delivery of these shares are deferred until the applicable director ceased providing services to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which was subsequently amended on June 3, 2021 (as amended, the “2017 Plan” together with the 2007 Plan, the “Plans”). As of June 30, 2023, the 2017 Plan provides for the issuance of a maximum of 6,000,000 shares of the Company’s common stock. The purposes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IRC of 1986, as amended, non-qualified stock options, restricted stock units, performance stock units and restricted stock. The Plans are administered by the Compensation Committee of the Company’s Board of Directors. The Company had 529,117 shares available for future issuances under the 2017 Plan at June 30, 2023.</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80" w:type="dxa"/>
            <w:vAlign w:val="bottom"/>
            <w:gridSpan w:val="5"/>
          </w:tcPr>
          <w:p>
            <w:pPr>
              <w:spacing w:after="0"/>
              <w:rPr>
                <w:sz w:val="20"/>
                <w:szCs w:val="20"/>
                <w:color w:val="auto"/>
              </w:rPr>
            </w:pPr>
            <w:r>
              <w:rPr>
                <w:rFonts w:ascii="Arial" w:cs="Arial" w:eastAsia="Arial" w:hAnsi="Arial"/>
                <w:sz w:val="18"/>
                <w:szCs w:val="18"/>
                <w:color w:val="auto"/>
                <w:w w:val="95"/>
              </w:rPr>
              <w:t>A summary of stock option activity under the Plans for the six months ended June 30, 2023 is as follows: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Weighted</w:t>
            </w: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Number of</w:t>
            </w:r>
          </w:p>
        </w:tc>
        <w:tc>
          <w:tcPr>
            <w:tcW w:w="18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Average</w:t>
            </w: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41"/>
        </w:trPr>
        <w:tc>
          <w:tcPr>
            <w:tcW w:w="5180" w:type="dxa"/>
            <w:vAlign w:val="bottom"/>
          </w:tcPr>
          <w:p>
            <w:pPr>
              <w:spacing w:after="0"/>
              <w:rPr>
                <w:sz w:val="20"/>
                <w:szCs w:val="20"/>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Shares</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340" w:type="dxa"/>
            <w:vAlign w:val="bottom"/>
          </w:tcPr>
          <w:p>
            <w:pPr>
              <w:spacing w:after="0"/>
              <w:rPr>
                <w:sz w:val="20"/>
                <w:szCs w:val="20"/>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Life</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6"/>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2023</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3,027,701</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Options granted</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47,000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19.69</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(329,504)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80" w:type="dxa"/>
            <w:vAlign w:val="bottom"/>
          </w:tcPr>
          <w:p>
            <w:pPr>
              <w:spacing w:after="0"/>
              <w:rPr>
                <w:sz w:val="20"/>
                <w:szCs w:val="20"/>
                <w:color w:val="auto"/>
              </w:rPr>
            </w:pPr>
            <w:r>
              <w:rPr>
                <w:rFonts w:ascii="Arial" w:cs="Arial" w:eastAsia="Arial" w:hAnsi="Arial"/>
                <w:sz w:val="18"/>
                <w:szCs w:val="18"/>
                <w:color w:val="auto"/>
              </w:rPr>
              <w:t>Options cancelled/forfeited</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(66,299)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6.32</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June 30, 2023</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2,678,898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900" w:type="dxa"/>
            <w:vAlign w:val="bottom"/>
            <w:tcBorders>
              <w:top w:val="single" w:sz="8" w:color="CCEEFF"/>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2,416,383</w:t>
            </w:r>
          </w:p>
        </w:tc>
        <w:tc>
          <w:tcPr>
            <w:tcW w:w="34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5.50</w:t>
            </w:r>
          </w:p>
        </w:tc>
        <w:tc>
          <w:tcPr>
            <w:tcW w:w="1900" w:type="dxa"/>
            <w:vAlign w:val="bottom"/>
            <w:gridSpan w:val="3"/>
          </w:tcPr>
          <w:p>
            <w:pPr>
              <w:jc w:val="right"/>
              <w:ind w:right="320"/>
              <w:spacing w:after="0" w:line="196" w:lineRule="exact"/>
              <w:rPr>
                <w:sz w:val="20"/>
                <w:szCs w:val="20"/>
                <w:color w:val="auto"/>
              </w:rPr>
            </w:pPr>
            <w:r>
              <w:rPr>
                <w:rFonts w:ascii="Arial" w:cs="Arial" w:eastAsia="Arial" w:hAnsi="Arial"/>
                <w:sz w:val="18"/>
                <w:szCs w:val="18"/>
                <w:color w:val="auto"/>
              </w:rPr>
              <w:t>3.85</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32,729,000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Options vested and expected to vest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2,642,748</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5.86</w:t>
            </w:r>
          </w:p>
        </w:tc>
        <w:tc>
          <w:tcPr>
            <w:tcW w:w="1900" w:type="dxa"/>
            <w:vAlign w:val="bottom"/>
            <w:tcBorders>
              <w:bottom w:val="single" w:sz="8" w:color="CCEEFF"/>
            </w:tcBorders>
            <w:gridSpan w:val="3"/>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4.28</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34,882,000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shares underlying options with an exercise price lower than the market price on June 30, 2023, based on the closing price of the Company’s common stock of $19.04 on that date.</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six months ended June 30, 2023, the Company granted stock options to certain employees. The stock options were granted with an exercise price equal to the current market price of the Company’s common stock, as reported by the securities exchange on which the common stock was then listed, at the grant date and have contractual terms of ten years. Vesting terms for options granted to employees during the six months ended June 30, 2023 included the following vesting schedule: 25% of the shares subject to the option vest and become exercisable on the first anniversary of the grant date and the remaining 75% of the shares subject to the option vest and become exercisable quarterly in equal installments thereafter over three years. Certain option awards provide for accelerated vesting if there is a change in control (as defined in the Plans) and in the event of certain modifications to the option award agreement.</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 of each option award is estimated on the date of grant using the Black-Scholes-Merton option pricing model. The expected term of options granted to employees and directors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using the Black-Scholes-Merton option pricing model with the following assumptions used for valuing options granted to employees: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0" w:type="dxa"/>
            <w:vAlign w:val="bottom"/>
          </w:tcPr>
          <w:p>
            <w:pPr>
              <w:spacing w:after="0"/>
              <w:rPr>
                <w:sz w:val="20"/>
                <w:szCs w:val="20"/>
                <w:color w:val="auto"/>
              </w:rPr>
            </w:pPr>
          </w:p>
        </w:tc>
        <w:tc>
          <w:tcPr>
            <w:tcW w:w="3900" w:type="dxa"/>
            <w:vAlign w:val="bottom"/>
            <w:tcBorders>
              <w:bottom w:val="single" w:sz="8" w:color="CCEEFF"/>
            </w:tcBorders>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 of options granted</w:t>
            </w: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4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Expected terms (in years)</w:t>
            </w: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5.50-6.11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6.11</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11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3.64-3.94%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1.54-2.78%</w:t>
            </w:r>
          </w:p>
        </w:tc>
        <w:tc>
          <w:tcPr>
            <w:tcW w:w="11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439"/>
        </w:trPr>
        <w:tc>
          <w:tcPr>
            <w:tcW w:w="11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June 30,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0"/>
              </w:rPr>
              <w:t>Options Outstanding</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00" w:type="dxa"/>
            <w:vAlign w:val="bottom"/>
            <w:gridSpan w:val="5"/>
          </w:tcPr>
          <w:p>
            <w:pPr>
              <w:ind w:left="520"/>
              <w:spacing w:after="0"/>
              <w:rPr>
                <w:sz w:val="20"/>
                <w:szCs w:val="20"/>
                <w:color w:val="auto"/>
              </w:rPr>
            </w:pPr>
            <w:r>
              <w:rPr>
                <w:rFonts w:ascii="Arial" w:cs="Arial" w:eastAsia="Arial" w:hAnsi="Arial"/>
                <w:sz w:val="18"/>
                <w:szCs w:val="18"/>
                <w:b w:val="1"/>
                <w:bCs w:val="1"/>
                <w:color w:val="auto"/>
              </w:rPr>
              <w:t>Options Exercisable</w:t>
            </w:r>
          </w:p>
        </w:tc>
      </w:tr>
      <w:tr>
        <w:trPr>
          <w:trHeight w:val="198"/>
        </w:trPr>
        <w:tc>
          <w:tcPr>
            <w:tcW w:w="3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1"/>
              </w:rPr>
              <w:t>Weighted</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Weighted</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Average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Number</w:t>
            </w:r>
          </w:p>
        </w:tc>
        <w:tc>
          <w:tcPr>
            <w:tcW w:w="30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Contractual</w:t>
            </w:r>
          </w:p>
        </w:tc>
        <w:tc>
          <w:tcPr>
            <w:tcW w:w="16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Exercise</w:t>
            </w:r>
          </w:p>
        </w:tc>
        <w:tc>
          <w:tcPr>
            <w:tcW w:w="34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r>
      <w:tr>
        <w:trPr>
          <w:trHeight w:val="241"/>
        </w:trPr>
        <w:tc>
          <w:tcPr>
            <w:tcW w:w="4160" w:type="dxa"/>
            <w:vAlign w:val="bottom"/>
            <w:gridSpan w:val="2"/>
          </w:tcPr>
          <w:p>
            <w:pPr>
              <w:ind w:left="1020"/>
              <w:spacing w:after="0"/>
              <w:rPr>
                <w:sz w:val="20"/>
                <w:szCs w:val="20"/>
                <w:color w:val="auto"/>
              </w:rPr>
            </w:pPr>
            <w:r>
              <w:rPr>
                <w:rFonts w:ascii="Arial" w:cs="Arial" w:eastAsia="Arial" w:hAnsi="Arial"/>
                <w:sz w:val="18"/>
                <w:szCs w:val="18"/>
                <w:b w:val="1"/>
                <w:bCs w:val="1"/>
                <w:color w:val="auto"/>
              </w:rPr>
              <w:t>Range of Exercise Prices</w:t>
            </w:r>
          </w:p>
        </w:tc>
        <w:tc>
          <w:tcPr>
            <w:tcW w:w="1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Outstanding</w:t>
            </w:r>
          </w:p>
        </w:tc>
        <w:tc>
          <w:tcPr>
            <w:tcW w:w="30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Life in Years</w:t>
            </w:r>
          </w:p>
        </w:tc>
        <w:tc>
          <w:tcPr>
            <w:tcW w:w="16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3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Exercisable</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r>
      <w:tr>
        <w:trPr>
          <w:trHeight w:val="216"/>
        </w:trPr>
        <w:tc>
          <w:tcPr>
            <w:tcW w:w="3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$1.47 - $1.73</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295,852</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295,852</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jc w:val="center"/>
              <w:spacing w:after="0"/>
              <w:rPr>
                <w:sz w:val="20"/>
                <w:szCs w:val="20"/>
                <w:color w:val="auto"/>
              </w:rPr>
            </w:pPr>
            <w:r>
              <w:rPr>
                <w:rFonts w:ascii="Arial" w:cs="Arial" w:eastAsia="Arial" w:hAnsi="Arial"/>
                <w:sz w:val="18"/>
                <w:szCs w:val="18"/>
                <w:color w:val="auto"/>
                <w:w w:val="93"/>
              </w:rPr>
              <w:t>$2.23</w:t>
            </w:r>
          </w:p>
        </w:tc>
        <w:tc>
          <w:tcPr>
            <w:tcW w:w="2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285,000</w:t>
            </w: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3.59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285,000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$2.40 - $2.60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24,068</w:t>
            </w:r>
          </w:p>
        </w:tc>
        <w:tc>
          <w:tcPr>
            <w:tcW w:w="1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24,068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r>
      <w:tr>
        <w:trPr>
          <w:trHeight w:val="216"/>
        </w:trPr>
        <w:tc>
          <w:tcPr>
            <w:tcW w:w="3920" w:type="dxa"/>
            <w:vAlign w:val="bottom"/>
          </w:tcPr>
          <w:p>
            <w:pPr>
              <w:jc w:val="center"/>
              <w:spacing w:after="0"/>
              <w:rPr>
                <w:sz w:val="20"/>
                <w:szCs w:val="20"/>
                <w:color w:val="auto"/>
              </w:rPr>
            </w:pPr>
            <w:r>
              <w:rPr>
                <w:rFonts w:ascii="Arial" w:cs="Arial" w:eastAsia="Arial" w:hAnsi="Arial"/>
                <w:sz w:val="18"/>
                <w:szCs w:val="18"/>
                <w:color w:val="auto"/>
                <w:w w:val="93"/>
              </w:rPr>
              <w:t>$3.95</w:t>
            </w:r>
          </w:p>
        </w:tc>
        <w:tc>
          <w:tcPr>
            <w:tcW w:w="2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310,000</w:t>
            </w: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2.75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310,000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$4.08 - $5.72</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123,225</w:t>
            </w:r>
          </w:p>
        </w:tc>
        <w:tc>
          <w:tcPr>
            <w:tcW w:w="1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4.92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113,541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8"/>
                <w:szCs w:val="18"/>
                <w:color w:val="auto"/>
              </w:rPr>
            </w:pPr>
          </w:p>
        </w:tc>
      </w:tr>
      <w:tr>
        <w:trPr>
          <w:trHeight w:val="216"/>
        </w:trPr>
        <w:tc>
          <w:tcPr>
            <w:tcW w:w="3920" w:type="dxa"/>
            <w:vAlign w:val="bottom"/>
          </w:tcPr>
          <w:p>
            <w:pPr>
              <w:jc w:val="center"/>
              <w:spacing w:after="0"/>
              <w:rPr>
                <w:sz w:val="20"/>
                <w:szCs w:val="20"/>
                <w:color w:val="auto"/>
              </w:rPr>
            </w:pPr>
            <w:r>
              <w:rPr>
                <w:rFonts w:ascii="Arial" w:cs="Arial" w:eastAsia="Arial" w:hAnsi="Arial"/>
                <w:sz w:val="18"/>
                <w:szCs w:val="18"/>
                <w:color w:val="auto"/>
                <w:w w:val="93"/>
              </w:rPr>
              <w:t>$6.30</w:t>
            </w:r>
          </w:p>
        </w:tc>
        <w:tc>
          <w:tcPr>
            <w:tcW w:w="2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285,000</w:t>
            </w: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5.64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285,000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$6.75 - $7.26</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106,625</w:t>
            </w:r>
          </w:p>
        </w:tc>
        <w:tc>
          <w:tcPr>
            <w:tcW w:w="1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20,875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8"/>
                <w:szCs w:val="18"/>
                <w:color w:val="auto"/>
              </w:rPr>
            </w:pPr>
          </w:p>
        </w:tc>
      </w:tr>
      <w:tr>
        <w:trPr>
          <w:trHeight w:val="216"/>
        </w:trPr>
        <w:tc>
          <w:tcPr>
            <w:tcW w:w="3920" w:type="dxa"/>
            <w:vAlign w:val="bottom"/>
          </w:tcPr>
          <w:p>
            <w:pPr>
              <w:jc w:val="center"/>
              <w:spacing w:after="0"/>
              <w:rPr>
                <w:sz w:val="20"/>
                <w:szCs w:val="20"/>
                <w:color w:val="auto"/>
              </w:rPr>
            </w:pPr>
            <w:r>
              <w:rPr>
                <w:rFonts w:ascii="Arial" w:cs="Arial" w:eastAsia="Arial" w:hAnsi="Arial"/>
                <w:sz w:val="18"/>
                <w:szCs w:val="18"/>
                <w:color w:val="auto"/>
                <w:w w:val="93"/>
              </w:rPr>
              <w:t>$7.30</w:t>
            </w:r>
          </w:p>
        </w:tc>
        <w:tc>
          <w:tcPr>
            <w:tcW w:w="2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274,500</w:t>
            </w: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6.51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7.30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274,500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$7.37 - $7.79</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246,455</w:t>
            </w:r>
          </w:p>
        </w:tc>
        <w:tc>
          <w:tcPr>
            <w:tcW w:w="1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167,185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r>
      <w:tr>
        <w:trPr>
          <w:trHeight w:val="237"/>
        </w:trPr>
        <w:tc>
          <w:tcPr>
            <w:tcW w:w="3920" w:type="dxa"/>
            <w:vAlign w:val="bottom"/>
          </w:tcPr>
          <w:p>
            <w:pPr>
              <w:jc w:val="center"/>
              <w:spacing w:after="0"/>
              <w:rPr>
                <w:sz w:val="20"/>
                <w:szCs w:val="20"/>
                <w:color w:val="auto"/>
              </w:rPr>
            </w:pPr>
            <w:r>
              <w:rPr>
                <w:rFonts w:ascii="Arial" w:cs="Arial" w:eastAsia="Arial" w:hAnsi="Arial"/>
                <w:sz w:val="18"/>
                <w:szCs w:val="18"/>
                <w:color w:val="auto"/>
                <w:w w:val="91"/>
              </w:rPr>
              <w:t>$7.87 - $25.86</w:t>
            </w:r>
          </w:p>
        </w:tc>
        <w:tc>
          <w:tcPr>
            <w:tcW w:w="24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728,173</w:t>
            </w:r>
          </w:p>
        </w:tc>
        <w:tc>
          <w:tcPr>
            <w:tcW w:w="1740" w:type="dxa"/>
            <w:vAlign w:val="bottom"/>
            <w:gridSpan w:val="3"/>
          </w:tcPr>
          <w:p>
            <w:pPr>
              <w:jc w:val="right"/>
              <w:ind w:right="320"/>
              <w:spacing w:after="0"/>
              <w:rPr>
                <w:sz w:val="20"/>
                <w:szCs w:val="20"/>
                <w:color w:val="auto"/>
              </w:rPr>
            </w:pPr>
            <w:r>
              <w:rPr>
                <w:rFonts w:ascii="Arial" w:cs="Arial" w:eastAsia="Arial" w:hAnsi="Arial"/>
                <w:sz w:val="18"/>
                <w:szCs w:val="18"/>
                <w:color w:val="auto"/>
              </w:rPr>
              <w:t>3.12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8.80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640,362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0"/>
                <w:szCs w:val="20"/>
                <w:color w:val="auto"/>
              </w:rPr>
            </w:pPr>
          </w:p>
        </w:tc>
      </w:tr>
      <w:tr>
        <w:trPr>
          <w:trHeight w:val="229"/>
        </w:trPr>
        <w:tc>
          <w:tcPr>
            <w:tcW w:w="39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$1.47 - $25.86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2,678,898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740" w:type="dxa"/>
            <w:vAlign w:val="bottom"/>
            <w:tcBorders>
              <w:top w:val="single" w:sz="8" w:color="CCEEFF"/>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2,416,383</w:t>
            </w:r>
          </w:p>
        </w:tc>
        <w:tc>
          <w:tcPr>
            <w:tcW w:w="4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2023, there was approximately $1,464,000 of total unrecognized compensation expense related to unvested stock options granted under the Plans. That expense is expected to be recognized over the weighted-average remaining vesting period of 2.85 years. The stock-based compensation for all stock options was $122,000 and $463,000 during the three and six months ended June 30, 2023, respectively, and $258,000 and $530,000 during the same periods in 2022,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options exercised during the six months ended June 30, 2023 was $4,377,000.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RSU awards are granted subject to certain vesting requirements and other restrictions, including time-based performance and market-based vesting criteria. The grant date fair value of the RSUs, which has been determined based upon the market value of the Company’s common stock on the grant date, is expensed over the vesting period of the RSUs.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2023, the Company’s board of directors were granted 41,301 time-vesting RSUs with a fair market value of $800,000, which vest in equal quarterly installments over one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2023, the Company granted an aggregate of 1,567,913 PSUs to members of its senior management including Mark Baum, Chief Executive Officer, Andrew Boll, Chief Financial Officer, and John Saharek, Chief Commercial Officer, which are subject to the satisfaction of certain market-based and continued service conditions (the “2023 PSUs”). The vesting of the 2023 PSUs require (i) a minimum of a two-year service period, and (ii) during a five-year term, the achievement and maintenance of Company common stock price targets ranging between $25 to $50, broken out into four separate tranches as described further in the table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00" w:type="dxa"/>
            <w:vAlign w:val="bottom"/>
          </w:tcPr>
          <w:p>
            <w:pPr>
              <w:spacing w:after="0"/>
              <w:rPr>
                <w:sz w:val="20"/>
                <w:szCs w:val="20"/>
                <w:color w:val="auto"/>
              </w:rPr>
            </w:pPr>
            <w:r>
              <w:rPr>
                <w:rFonts w:ascii="Arial" w:cs="Arial" w:eastAsia="Arial" w:hAnsi="Arial"/>
                <w:sz w:val="18"/>
                <w:szCs w:val="18"/>
                <w:color w:val="auto"/>
              </w:rPr>
              <w:t>Tranche</w:t>
            </w:r>
          </w:p>
        </w:tc>
        <w:tc>
          <w:tcPr>
            <w:tcW w:w="1940" w:type="dxa"/>
            <w:vAlign w:val="bottom"/>
            <w:gridSpan w:val="2"/>
          </w:tcPr>
          <w:p>
            <w:pPr>
              <w:jc w:val="right"/>
              <w:ind w:right="410"/>
              <w:spacing w:after="0"/>
              <w:rPr>
                <w:sz w:val="20"/>
                <w:szCs w:val="20"/>
                <w:color w:val="auto"/>
              </w:rPr>
            </w:pPr>
            <w:r>
              <w:rPr>
                <w:rFonts w:ascii="Arial" w:cs="Arial" w:eastAsia="Arial" w:hAnsi="Arial"/>
                <w:sz w:val="18"/>
                <w:szCs w:val="18"/>
                <w:color w:val="auto"/>
                <w:w w:val="97"/>
              </w:rPr>
              <w:t>Number of Shares</w:t>
            </w:r>
          </w:p>
        </w:tc>
        <w:tc>
          <w:tcPr>
            <w:tcW w:w="1740" w:type="dxa"/>
            <w:vAlign w:val="bottom"/>
            <w:gridSpan w:val="2"/>
          </w:tcPr>
          <w:p>
            <w:pPr>
              <w:ind w:left="200"/>
              <w:spacing w:after="0"/>
              <w:rPr>
                <w:sz w:val="20"/>
                <w:szCs w:val="20"/>
                <w:color w:val="auto"/>
              </w:rPr>
            </w:pPr>
            <w:r>
              <w:rPr>
                <w:rFonts w:ascii="Arial" w:cs="Arial" w:eastAsia="Arial" w:hAnsi="Arial"/>
                <w:sz w:val="18"/>
                <w:szCs w:val="18"/>
                <w:color w:val="auto"/>
                <w:w w:val="96"/>
              </w:rPr>
              <w:t>Target Share Price*</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Tranche 1</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223,988</w:t>
            </w:r>
          </w:p>
        </w:tc>
        <w:tc>
          <w:tcPr>
            <w:tcW w:w="2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Tranche 2</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335,981</w:t>
            </w:r>
          </w:p>
        </w:tc>
        <w:tc>
          <w:tcPr>
            <w:tcW w:w="1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447,975</w:t>
            </w:r>
          </w:p>
        </w:tc>
        <w:tc>
          <w:tcPr>
            <w:tcW w:w="1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Tranche 4</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559,969</w:t>
            </w:r>
          </w:p>
        </w:tc>
        <w:tc>
          <w:tcPr>
            <w:tcW w:w="1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bl>
    <w:p>
      <w:pPr>
        <w:spacing w:after="0" w:line="187" w:lineRule="exact"/>
        <w:rPr>
          <w:sz w:val="20"/>
          <w:szCs w:val="20"/>
          <w:color w:val="auto"/>
        </w:rPr>
      </w:pPr>
    </w:p>
    <w:p>
      <w:pPr>
        <w:ind w:left="280" w:hanging="89"/>
        <w:spacing w:after="0" w:line="342" w:lineRule="auto"/>
        <w:rPr>
          <w:sz w:val="20"/>
          <w:szCs w:val="20"/>
          <w:color w:val="auto"/>
        </w:rPr>
      </w:pPr>
      <w:r>
        <w:rPr>
          <w:rFonts w:ascii="Arial" w:cs="Arial" w:eastAsia="Arial" w:hAnsi="Arial"/>
          <w:sz w:val="16"/>
          <w:szCs w:val="16"/>
          <w:color w:val="auto"/>
        </w:rPr>
        <w:t>*Target Share Price assumes that no dividends or like distributions are made to stockholders of the Company. If such distributions are made, the Target Share Price would decrease accordingly, to the benefit of the employee, to account for the dividend/distribution as a part of the Target Share Price.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The aggregate fair value of the 2023 PSUs was $29,106,000 using a Monte Carlo Simulation with a five-year life, 65% volatility and a risk free interest rate of 10.34%. This amount is being amortized over a two-year derived service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and PSU activity and related information for the six months ended June 30, 2023 is as follows: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5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Grant Date Fair</w:t>
            </w:r>
          </w:p>
        </w:tc>
      </w:tr>
      <w:tr>
        <w:trPr>
          <w:trHeight w:val="241"/>
        </w:trPr>
        <w:tc>
          <w:tcPr>
            <w:tcW w:w="5580" w:type="dxa"/>
            <w:vAlign w:val="bottom"/>
          </w:tcPr>
          <w:p>
            <w:pPr>
              <w:spacing w:after="0"/>
              <w:rPr>
                <w:sz w:val="20"/>
                <w:szCs w:val="20"/>
                <w:color w:val="auto"/>
              </w:rPr>
            </w:pPr>
          </w:p>
        </w:tc>
        <w:tc>
          <w:tcPr>
            <w:tcW w:w="17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2"/>
              </w:rPr>
              <w:t>Number of Shares</w:t>
            </w:r>
          </w:p>
        </w:tc>
        <w:tc>
          <w:tcPr>
            <w:tcW w:w="120" w:type="dxa"/>
            <w:vAlign w:val="bottom"/>
          </w:tcPr>
          <w:p>
            <w:pPr>
              <w:spacing w:after="0"/>
              <w:rPr>
                <w:sz w:val="20"/>
                <w:szCs w:val="20"/>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RSUs and PSUs unvested - January 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2,061,719</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RSUs granted</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54,424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16.54</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PSUs granted</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1,567,913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w:t>
            </w: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RSUs vested</w:t>
            </w:r>
          </w:p>
        </w:tc>
        <w:tc>
          <w:tcPr>
            <w:tcW w:w="1780" w:type="dxa"/>
            <w:vAlign w:val="bottom"/>
            <w:gridSpan w:val="3"/>
          </w:tcPr>
          <w:p>
            <w:pPr>
              <w:jc w:val="right"/>
              <w:ind w:right="200"/>
              <w:spacing w:after="0"/>
              <w:rPr>
                <w:sz w:val="20"/>
                <w:szCs w:val="20"/>
                <w:color w:val="auto"/>
              </w:rPr>
            </w:pPr>
            <w:r>
              <w:rPr>
                <w:rFonts w:ascii="Arial" w:cs="Arial" w:eastAsia="Arial" w:hAnsi="Arial"/>
                <w:sz w:val="18"/>
                <w:szCs w:val="18"/>
                <w:color w:val="auto"/>
              </w:rPr>
              <w:t>(156,928)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7.39</w:t>
            </w:r>
          </w:p>
        </w:tc>
      </w:tr>
      <w:tr>
        <w:trPr>
          <w:trHeight w:val="24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cancelled/forfeited</w:t>
            </w:r>
          </w:p>
        </w:tc>
        <w:tc>
          <w:tcPr>
            <w:tcW w:w="1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r>
      <w:tr>
        <w:trPr>
          <w:trHeight w:val="217"/>
        </w:trPr>
        <w:tc>
          <w:tcPr>
            <w:tcW w:w="55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RSUs and PSUs unvested - June 30, 2023</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3,452,128</w:t>
            </w: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12.28</w:t>
            </w:r>
          </w:p>
        </w:tc>
      </w:tr>
      <w:tr>
        <w:trPr>
          <w:trHeight w:val="20"/>
        </w:trPr>
        <w:tc>
          <w:tcPr>
            <w:tcW w:w="55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2023, the total unrecognized compensation expense related to unvested RSUs and unvested PSUs was approximately $27,192,000, which is expected to be recognized over a weighted-average period of 0.89 years, based on estimated and actual vesting schedules of the applicable RSUs and PSUs. The stock-based compensation for RSUs and PSUs during the three and six months ended June 30, 2023 was $5,290,000 and $6,582,000, respectively, and $1,735,000 and $3,479,000 during the same periods in 2022,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related to equity instruments granted to employees, directors and consultants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4"/>
          </w:tcPr>
          <w:p>
            <w:pPr>
              <w:jc w:val="right"/>
              <w:ind w:right="270"/>
              <w:spacing w:after="0"/>
              <w:rPr>
                <w:sz w:val="20"/>
                <w:szCs w:val="20"/>
                <w:color w:val="auto"/>
              </w:rPr>
            </w:pPr>
            <w:r>
              <w:rPr>
                <w:rFonts w:ascii="Arial" w:cs="Arial" w:eastAsia="Arial" w:hAnsi="Arial"/>
                <w:sz w:val="18"/>
                <w:szCs w:val="18"/>
                <w:color w:val="auto"/>
              </w:rPr>
              <w:t>For the Three Months Ended</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5"/>
          </w:tcPr>
          <w:p>
            <w:pPr>
              <w:ind w:left="360"/>
              <w:spacing w:after="0"/>
              <w:rPr>
                <w:sz w:val="20"/>
                <w:szCs w:val="20"/>
                <w:color w:val="auto"/>
              </w:rPr>
            </w:pPr>
            <w:r>
              <w:rPr>
                <w:rFonts w:ascii="Arial" w:cs="Arial" w:eastAsia="Arial" w:hAnsi="Arial"/>
                <w:sz w:val="18"/>
                <w:szCs w:val="18"/>
                <w:color w:val="auto"/>
              </w:rPr>
              <w:t>For the Six Months Ended</w:t>
            </w:r>
          </w:p>
        </w:tc>
      </w:tr>
      <w:tr>
        <w:trPr>
          <w:trHeight w:val="237"/>
        </w:trPr>
        <w:tc>
          <w:tcPr>
            <w:tcW w:w="5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87"/>
              </w:rPr>
              <w:t>June 30, 2023</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5"/>
              </w:rPr>
              <w:t>June 30, 2022</w:t>
            </w:r>
          </w:p>
        </w:tc>
        <w:tc>
          <w:tcPr>
            <w:tcW w:w="3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June 30, 2023</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June 30, 2022</w:t>
            </w:r>
          </w:p>
        </w:tc>
        <w:tc>
          <w:tcPr>
            <w:tcW w:w="100" w:type="dxa"/>
            <w:vAlign w:val="bottom"/>
          </w:tcPr>
          <w:p>
            <w:pPr>
              <w:spacing w:after="0"/>
              <w:rPr>
                <w:sz w:val="20"/>
                <w:szCs w:val="20"/>
                <w:color w:val="auto"/>
              </w:rPr>
            </w:pPr>
          </w:p>
        </w:tc>
      </w:tr>
      <w:tr>
        <w:trPr>
          <w:trHeight w:val="216"/>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general and administrative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4,607,000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1,655,000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5,935,000</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Employees – research and development</w:t>
            </w: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586,000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749,000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362,000</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Directors - selling, general and administrative</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203,000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328,000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212,000</w:t>
            </w:r>
          </w:p>
        </w:tc>
        <w:tc>
          <w:tcPr>
            <w:tcW w:w="100" w:type="dxa"/>
            <w:vAlign w:val="bottom"/>
            <w:shd w:val="clear" w:color="auto" w:fill="CCEEFF"/>
          </w:tcPr>
          <w:p>
            <w:pPr>
              <w:spacing w:after="0"/>
              <w:rPr>
                <w:sz w:val="18"/>
                <w:szCs w:val="18"/>
                <w:color w:val="auto"/>
              </w:rPr>
            </w:pP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Consultants - selling, general and administrative</w:t>
            </w:r>
          </w:p>
        </w:tc>
        <w:tc>
          <w:tcPr>
            <w:tcW w:w="1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16,000</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33,000</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104,000</w:t>
            </w:r>
          </w:p>
        </w:tc>
        <w:tc>
          <w:tcPr>
            <w:tcW w:w="100" w:type="dxa"/>
            <w:vAlign w:val="bottom"/>
          </w:tcPr>
          <w:p>
            <w:pPr>
              <w:spacing w:after="0"/>
              <w:rPr>
                <w:sz w:val="20"/>
                <w:szCs w:val="20"/>
                <w:color w:val="auto"/>
              </w:rPr>
            </w:pPr>
          </w:p>
        </w:tc>
      </w:tr>
      <w:tr>
        <w:trPr>
          <w:trHeight w:val="230"/>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5,412,000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7,045,000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the Company is involved in various legal proceedings, government investigations and other matters that are complex in nature and have outcomes that are difficult to predict. The Company describes legal proceedings and other matters that are/were significant or that it believes could become significant in this footnote.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records accruals for loss contingencies to the extent that it concludes it is probable that a liability has been incurred and the amount of the related loss can be reasonably estimated. The Company evaluates, on a quarterly basis, developments in legal proceedings and other matters that could cause an increase or decrease in the amount of a liability that has been accrued previously.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both"/>
        <w:spacing w:after="0" w:line="296" w:lineRule="auto"/>
        <w:rPr>
          <w:sz w:val="20"/>
          <w:szCs w:val="20"/>
          <w:color w:val="auto"/>
        </w:rPr>
      </w:pPr>
      <w:r>
        <w:rPr>
          <w:rFonts w:ascii="Arial" w:cs="Arial" w:eastAsia="Arial" w:hAnsi="Arial"/>
          <w:sz w:val="16"/>
          <w:szCs w:val="16"/>
          <w:color w:val="auto"/>
        </w:rPr>
        <w:t>The Company’s legal proceedings involve various aspects of its business and a variety of claims, some of which present novel factual allegations and/or unique legal theories. Typically, a number of the matters pending against the Company are at early stages of the legal process, which in complex proceedings of the sort the Company face often extend for several years. While it is not possible to accurately predict or determine the eventual outcomes of matters that have not concluded, an adverse determination in one or more of the matters (whether discussed in this footnote or not) currently pending may have a material adverse effect on the Company’s condensed consolidated results of operations, financial position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Ocular Science, Inc. et. al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2021, ImprimisRx, LLC, a subsidiary of the Company, filed a lawsuit against Ocular Science, Inc. and OSRX, Inc. (together, “OSRX”) in the U.S. District Court for the Southern District of California, asserting claims for copyright infringement, trademark infringement, unfair competition and false advertising (Lanham Act). ImprimisRx is seeking damages from OSRX. Since July 2021, the complaint has been amended and OSRX added counterclaims alleging ImprimisRx, LLC is violating the Lanham Act with false advertising. Both parties are seeking damages from the other. Trial is set to take place in the fourth quarter of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Professional Liability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to the indemnification provisions contained in the Company’s governing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indemnifies Oaktree for certain claims and losses associated with the Oaktree Loan.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Klarity License Agreement –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 license agreement in April 2017, as amended in April 2018 (the “Klarity License Agreement”), with Richard L. Lindstrom, M.D., a former member of its Board of Directors. Pursuant to the terms of the Klarity License Agreement, the Company licensed certain intellectual property and related rights from Dr. Lindstrom to develop, formulate, make, sell, and sub-license the topical ophthalmic solution Klarity designed to protect and rehabilitate the ocular surface (the “Klarity Product”).</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the terms of the Klarity License Agreement, the Company is required to make royalty payments to Dr. Lindstrom ranging from 3% to 6% of net sales, dependent upon the final formulation of the Klarity Product sold. In addition, the Company is required to make certain milestone payments to Dr. Lindstrom including: (i) an initial payment of $50,000 upon execution of the Klarity License Agreement, (ii) a second payment of $50,000 following the first $50,000 in net sales of the Klarity Product; and (iii) a final payment of $50,000 following the first $100,000 in net sales of the Klarity Product. All of the above referenced milestone payments were payable at the Company’s election in cash or shares of the Company’s restricted common stock. Payments totaling $75,000 and $146,000 were made during the three and six months ended June 30, 2023, respectively, compared to $92,000 and $122,000 during the same periods in 2022, respectively. Royalty expenses were $74,000 and $149,000 during the three and six months ended June 30, 2023, respectively, compared to $106,000 and $177,000 during the same periods in 2022, respectively, and were included in accounts payable to Dr. Lindstrom.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Injectable Asset Purchase Agreement – Related Party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2019, the Company entered into an asset purchase agreement (the “Lindstrom APA”) with Dr. Lindstrom, a former member of its Board of Directors. Pursuant to the terms of the Lindstrom APA, the Company acquired certain intellectual property and related rights from Dr. Lindstrom to develop, formulate, make, sell, and sub-license an ophthalmic injectable product (the “Lindstrom Product”).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Lindstrom APA, the Company is required to make royalty payments to Dr. Lindstrom ranging from 2% to 3% of net sales, dependent upon the final formulation and patent protection of the Lindstrom Product sold. In addition, the Company is required to make certain milestone payments to Dr. Lindstrom including an initial payment of $33,000 upon execution of the Lindstrom APA. Dr. Lindstrom was paid $8,000 and $17,000 in cash during the three and six months ended June 30, 2023, respectively, and $7,000 and $15,000 during the same periods in 2022, respectively. The Company incurred $9,000 and $17,000 for royalty expenses related to the Lindstrom APA during the three and six months ended June 30, 2023, respectively, and $8,000 and $15,000 during the same periods in 2022,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 Purchase, License and Related Agreements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acquired and sourced intellectual property rights related to certain proprietary innovations from certain inventors and related parties (the “Inventors”) through multiple asset purchase agreements, license agreements, strategic agreements and commission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U.S. Food and Drug Administration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During the three and six months ended June 30, 2023, $192,000 and $485,000 were incurred under these agreements as royalty expenses, respectively, and $297,000 and $510,000 during the same periods in 2022,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Sintetica Agreement</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July 2021, the Company entered into a License and Supply Agreement (the “Sintetica Agreement”) with Sintetica S.A. (“Sintetica”), pursuant to which Sintetica granted the Company the exclusive license and marketing rights to its patented ophthalmic drug candidate (“IHEEZO”) in the U.S. and Canada.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spacing w:after="0" w:line="255" w:lineRule="auto"/>
        <w:rPr>
          <w:sz w:val="20"/>
          <w:szCs w:val="20"/>
          <w:color w:val="auto"/>
        </w:rPr>
      </w:pPr>
      <w:r>
        <w:rPr>
          <w:rFonts w:ascii="Arial" w:cs="Arial" w:eastAsia="Arial" w:hAnsi="Arial"/>
          <w:sz w:val="18"/>
          <w:szCs w:val="18"/>
          <w:color w:val="auto"/>
        </w:rPr>
        <w:t>Pursuant to the Sintetica Agreement, the Company agreed to pay Sintetica a per unit transfer price to supply IHEEZO, along with a per unit royalty for units sold. The Company is required to pay Sintetica up to $18,000,000 in one-time milestone payments including a $5,000,000 payment (the “Upfront Payment”) due within 30 days of signing the Sintetica Agreement and the balance of payments due upon achievement of certain regulatory and commercial milestones. Under the terms of the Sintetica Agreement, Sintetica was responsible for regulatory filings for IHEEZO in the U.S. As of June 30, 2023 and December 31, 2022, the Company had accrued $5,000,000 under the Sintetica Agreement related to a milestone payment, which was capitalized as an intangible asset.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Subject to certain limitations, the Sintetica Agreement has a ten-year term, and allows for a ten-year extension if certain sales thresholds are met.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Wakamoto Agreement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2021, the Company entered into a License Agreement and a Basic Sale and Purchase Agreement (together, the “Wakamoto Agreements”) with Wakamoto Pharmaceutical Co., Ltd. (“Wakamoto”), pursuant to which Wakamoto granted the Company the exclusive license and marketing rights to its ophthalmic drug candidate (“MAQ-100”) in the U.S. and Canada.</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Wakamoto Agreements, Wakamoto will supply MAQ-100 to the Company, and the Company will pay Wakamoto a per unit transfer price to supply MAQ-100. In addition, the Company is required to pay Wakamoto various one-time milestone payments totaling up to $2,000,000 upon the achievement of certain regulatory milestones and up to $6,200,000 upon the achievement of certain commercial milestones. Under the terms of the Agreements, the Company will be responsible for regulatory filings and fees for MAQ-100 in the U.S. and Canada. Through June 30, 2023, no amounts have been paid or accrued under the Wakamoto Agreements.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certain limitations, the term of the Wakamoto Agreements is for five years from the date of the FDA’s market approval of MAQ-100 and allows for a five-year extension if certain unit sales thresholds are met.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Eyepoint Commercial Alliance Agreement - Terminated</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August 2020, the Company, through its wholly owned subsidiary ImprimisRx, LLC, entered into a Commercial Alliance Agreement (the “Dexycu Agreement”) with Eyepoint Pharmaceuticals, Inc. (“Eyepoint”), pursuant to which Eyepoint granted the Company the non-exclusive right to co-promote</w:t>
      </w:r>
    </w:p>
    <w:p>
      <w:pPr>
        <w:jc w:val="both"/>
        <w:spacing w:after="0" w:line="228" w:lineRule="auto"/>
        <w:rPr>
          <w:sz w:val="20"/>
          <w:szCs w:val="20"/>
          <w:color w:val="auto"/>
        </w:rPr>
      </w:pPr>
      <w:r>
        <w:rPr>
          <w:rFonts w:ascii="Arial" w:cs="Arial" w:eastAsia="Arial" w:hAnsi="Arial"/>
          <w:sz w:val="18"/>
          <w:szCs w:val="18"/>
          <w:color w:val="auto"/>
        </w:rPr>
        <w:t>DEXYCU</w:t>
      </w:r>
      <w:r>
        <w:rPr>
          <w:rFonts w:ascii="Arial" w:cs="Arial" w:eastAsia="Arial" w:hAnsi="Arial"/>
          <w:sz w:val="29"/>
          <w:szCs w:val="29"/>
          <w:color w:val="auto"/>
          <w:vertAlign w:val="superscript"/>
        </w:rPr>
        <w:t>®</w:t>
      </w:r>
      <w:r>
        <w:rPr>
          <w:rFonts w:ascii="Arial" w:cs="Arial" w:eastAsia="Arial" w:hAnsi="Arial"/>
          <w:sz w:val="18"/>
          <w:szCs w:val="18"/>
          <w:color w:val="auto"/>
        </w:rPr>
        <w:t xml:space="preserve"> (dexamethasone intraocular suspension) 9% for the treatment of post-operative inflammation following ocular surgery in the United States. Pursuant to the Dexycu Agreement, Eyepoint pays the Company a fee calculated based on the quarterly sales of DEXYCU in excess of predefined volumes to specific customers of the Company in the U.S. Under the terms of the Dexycu Agreement, the Company agreed to use commercially reasonable efforts to promote and market DEXYCU in the U.S.</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a mutual termination agreement entered into on October 7, 2022, the Dexycu Agreement terminated on January 1, 2023. Following the preliminary Hospital Outpatient Prospective Payment System (HOPPS) rule proposed by the Centers for Medicare &amp; Medicaid Services (CMS) in July of 2022, which did not contain an extension of the pass-through payment period for Dexycu beyond December 31, 2022, the Company entered into a Mutual Termination Agreement (the “Termination Agreement”) with Eyepoint on October 7, 2022, pursuant to which Eyepoint and the Company agreed (a) that the Company will continue to support the sale of Dexycu through the fourth quarter of 2022, consistent with the Company’s level of effort during the January through June 2022 period, (b) to decrease the required minimum quarterly sales levels based on Dexycu unit demand for the fourth quarter of 2022, and (c) to terminate the Dexycu Agreement, along with ancillary letter agreements, effective January 1, 2023.</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six months ended June 30, 2022, the Company recorded $1,212,000 and $2,532,000, respectively, in commission revenues related to the Dexycu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Agreements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entered various sales and marketing agreements with certain organizations to provide exclusive and non-exclusive sales and marketing representation services to Harrow in select geographies in the U.S. in connection with the Company’s ophthalmic pharmaceutical compounded formulations or related products.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jc w:val="both"/>
        <w:spacing w:after="0" w:line="275" w:lineRule="auto"/>
        <w:rPr>
          <w:sz w:val="20"/>
          <w:szCs w:val="20"/>
          <w:color w:val="auto"/>
        </w:rPr>
      </w:pPr>
      <w:r>
        <w:rPr>
          <w:rFonts w:ascii="Arial" w:cs="Arial" w:eastAsia="Arial" w:hAnsi="Arial"/>
          <w:sz w:val="17"/>
          <w:szCs w:val="17"/>
          <w:color w:val="auto"/>
        </w:rPr>
        <w:t>Under the terms of the sales and marketing agreements, the Company is generally required to make commission payments equal to 10% to 14% of net sales for products above and beyond the initial existing sales amounts. In addition, the Company is required to make periodic milestone payments to certain organizations in shares of the Company’s restricted common stock if net sales in the assigned territory reach certain future levels by the end of their terms. Commission expenses of $0 and $130,000 were incurred under these agreements for commission expenses during the three and six months ended June 30, 2023, respectively, and $1,100,000 and $2,147,000 during the same periods in 2022,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SEGMENTS AND CONCENTRATIONS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operates its business on the basis of a single reportable segment, which is the business of discovery, development, and commercialization of innovative ophthalmic therapies. The Company’s chief operating decision-maker is the Chief Executive Officer, who evaluates the Company as a single operating segment.</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has four products that each accounted for more than 10% of total revenues during the three months ended June 30, 2023 and three products that each accounted for more that 10% of total revenues during the six months ended June 30, 2023. The Company had two products that each accounted for more than 10% of total revenues during the three and six months ended June 30, 2022. These products collectively accounted for 48% and 38% of revenues during the three and six months ended June 30, 2023, respectively, and 32% and 32% during the same periods in 2022, respectively.</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and December 31, 2022, accounts receivable from a single customer accounted for 49% and 0% of total accounts receivable, respectively. For the three and six months ended June 30, 2023, revenues from a single customer accounted for 27% and 16% of total revenues, respectively. For the three and six months ended June 30, 2022 no customer exceeded 10% of total revenues.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collectively accounted for 80% and 85% of active pharmaceutical ingredient purchases during the three and six months ended June 30, 2023, respectively, and 72% and 73% during the same periods in 2022,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June 30, 2023 through the filing date of this Quarterly Report. Based on its evaluation, no events other than those described below need to be disclosed.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2023, the Company issued 63 shares of common stock and received proceeds of $1,000 upon the exercise of options to purchase 63 shares of common stock with exercise price of $6.85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of Performance Stock Units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as of July 18, 2023, the Company settled 1,567,913 outstanding PSUs as a result of the achievement of the total stockholder returns (“TSR”) targets set forth in equity incentive awards previously issued to members of the Company’s management team in 2021 (the “2021 Awards”). The 2021 Awards were separated into four tranches and required that the Company achieve and maintain certain levels of TSR ranging from 50% to 175% per share during the five-year period following the grant date. TSR was based on the aggregate of: (i) the percent increase of the closing price of the Company’s common stock from July 22, 2021; and (ii) any dividends or like stockholder distributions as specified in the PSU agreements. In connection with the settlement of the 2021 Awards, an aggregate of 616,984 shares of the Company’s common stock were withheld by Harrow for payroll tax obligations totaling $11,272,000.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VEVYE</w:t>
      </w:r>
      <w:r>
        <w:rPr>
          <w:rFonts w:ascii="Arial" w:cs="Arial" w:eastAsia="Arial" w:hAnsi="Arial"/>
          <w:sz w:val="29"/>
          <w:szCs w:val="29"/>
          <w:i w:val="1"/>
          <w:iCs w:val="1"/>
          <w:color w:val="auto"/>
          <w:vertAlign w:val="superscript"/>
        </w:rPr>
        <w:t>TM</w:t>
      </w:r>
      <w:r>
        <w:rPr>
          <w:rFonts w:ascii="Arial" w:cs="Arial" w:eastAsia="Arial" w:hAnsi="Arial"/>
          <w:sz w:val="18"/>
          <w:szCs w:val="18"/>
          <w:i w:val="1"/>
          <w:iCs w:val="1"/>
          <w:color w:val="auto"/>
        </w:rPr>
        <w:t xml:space="preserve"> U.S. and Canadian Commercial Rights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2023, the Company acquired commercial rights of VEVYE (cyclosporine ophthalmic solution) 0.1%, an ophthalmic drug product, for the U.S. and Canadian markets (the “VEVYE Acquisition”). The Company acquired the commercial rights to VEVYE by entering into a license agreement with Novaliq GmbH (“Novaliq”). As consideration, the Company has made initial payments to Novaliq totaling $8,000,000 and will pay low double-digit royalties on net sales of VEVYE along with potential commercial milestone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Certain U.S. and Canadian Commercial Rights to Santen and Eyevance Products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July 2023, the Company entered into an Asset Purchase Agreement with Eyevance Pharmaceuticals, LLC and a License Agreement with Santen S.A.S. (collectively, the “Santen Agreements”), each a subsidiary of Santen Pharmaceuticals Co., Ltd. (collectively, “Santen”). Pursuant to the Santen Agreements, the Company acquired the exclusive commercial rights to assets associated with the following ophthalmic products (collectively, the “Santen Products”):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In the U.S.:</w:t>
      </w:r>
    </w:p>
    <w:p>
      <w:pPr>
        <w:spacing w:after="0" w:line="225" w:lineRule="exact"/>
        <w:rPr>
          <w:sz w:val="20"/>
          <w:szCs w:val="20"/>
          <w:color w:val="auto"/>
        </w:rPr>
      </w:pPr>
    </w:p>
    <w:p>
      <w:pPr>
        <w:ind w:left="340" w:hanging="332"/>
        <w:spacing w:after="0" w:line="34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FLAREX® (fluorometholone acetate ophthalmic suspension) 0.1%, a corticosteroid prepared as a sterile topical ophthalmic suspension indicated for use in the treatment of steroid-responsive inflammatory conditions of the palpebral and bulbar conjunctiva, cornea, and anterior segment of the eye.</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NATACYN® (natamycin ophthalmic suspension) 5%, a sterile, antifungal drug for the treatment of fungal blepharitis, conjunctivitis, and keratitis caused by susceptible organisms, including Fusarium solani keratitis.</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TOBRADEX® ST (tobramycin and dexamethasone ophthalmic suspension) 0.3%/0.05%, a topical antibiotic and corticosteroid combination for steroid-responsive inflammatory ocular conditions for which a corticosteroid is indicated and where superficial bacterial ocular infection or a risk of bacterial ocular infection exists.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ZERVIATE® (cetirizine ophthalmic solution) 0.24%, a histamine-1 (H1) receptor antagonist indicated for treatment of ocular itching associated with allergic conjunctivitis.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FRESHKOTE®, a preservative-free formulation for temporary relief of symptoms of dry eye.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the U.S. and Canada:</w:t>
      </w:r>
    </w:p>
    <w:p>
      <w:pPr>
        <w:spacing w:after="0" w:line="225" w:lineRule="exact"/>
        <w:rPr>
          <w:sz w:val="20"/>
          <w:szCs w:val="20"/>
          <w:color w:val="auto"/>
        </w:rPr>
      </w:pPr>
    </w:p>
    <w:p>
      <w:pPr>
        <w:ind w:lef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VERKAZIA® (cyclosporine ophthalmic emulsion) 0.1%, an orphan designated drug that is a calcineurin inhibitor immunosuppressant indicated for the treatment of vernal keratoconjunctivitis.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Canada:</w:t>
      </w:r>
    </w:p>
    <w:p>
      <w:pPr>
        <w:spacing w:after="0" w:line="2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CATIONORM® PLUS, a preservative-free formulation for dry eye or allergy relief.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transactions pursuant to the Santen Agreements are referred to in these footnotes as the “Santen Products Acquisition.”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terms of the Santen Agreements, the Company made an initial one-time payment of $8,000,000. In addition, the agreements provide for various one-time milestone payments associated with certain manufacturing-related events as well as low-double digit royalty payments on net sales of Verkazia and high-single digit royalty payments on net sales of Cationorm Plus. Under the Santen Agreements, the Company also assumed certain obligations associated with other third parties that require mid-single digit royalties on sales of Freshkote and Zerviate. Immediately following the closing and subject to certain conditions, for a period that the Company expects to last approximately four months, and prior to the transfer of the Santen Product NDAs and other marketing authorizations to the Company, Santen will continue to sell the Santen Products on the Company’s behalf and transfer the net profit from the sale of the Santen Products to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Oaktree Credit Agreement Amendment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July 2023, the Company entered into the First Amendment to Credit Agreement and Guaranty and Consent (the “Oaktree Amendment”) to the Oaktree Loan (see Note 13). Under the Oaktree Amendment, the overall credit facility size was increased from $100,000,000 to $112,500,000, and the Company made other changes related to the Santen Products Acquisition. Upon satisfaction of certain conditions to funding, the Company drew down a principal amount of $12,500,000 (the “Loan Increase”) to fund the initial one-time payment associated with the Santen Products Acquisition and for other working capital and general corporate purposes. No other material changes to the Oaktree Loan were provided in the Oaktree Amendment. Following entry into the Oaktree Amendment and the funding of the Loan Increase upon closing of the Santen Products Acquisition, the Company has drawn down a total principal loan amount of $77,500,000 under the Oaktree Loan and an additional principal loan amount of up to $35,000,000 remains available to the Company upon the commercialization of TRIESENCE.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Offering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2023, the Company closed a public offering of shares of its common stock at an offering price of $17.75 per share (the “Offering”). The Company sold 3,887,324 shares of its common stock in the Offering, resulting in the Company receiving aggregate gross proceeds of $69,000,000, before commissions and other offering expenses.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2022 and subsequent reports, which discuss our business in greater detail. As used in this discussion and analysis, unless the context indicates otherwise, the terms the “Company,” “Harrow,” “we,” “us” and “our” refer to Harrow Health, Inc. and its consolidated subsidiaries, consisting of ImprimisRx, LLC, ImprimisRx NJ, LLC dba ImprimisRx, Imprimis NJOF, LLC, and Harrow Eye, LLC. In this discussion and analysis, we refer to our consolidated subsidiaries ImprimisRx, LLC, ImprimisRx NJ, LLC and Imprimis NJOF, LLC collectively as “ImprimisRx.”</w:t>
      </w:r>
    </w:p>
    <w:p>
      <w:pPr>
        <w:spacing w:after="0" w:line="1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physician interest in and market acceptance of our current and any future formulations and compounding pharmacies generally; and the other risks and uncertainties described under the heading “Risk Factors” in Part II, Item 1A of this Quarterly Report and in our other filings with the SEC.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a leading eyecare pharmaceutical company engaged in the discovery, development, and commercialization of innovative ophthalmic pharmaceutical products for the U.S. market. Harrow helps U.S. eyecare professionals preserve the gift of sight by making its comprehensive portfolio of prescription and non-prescription pharmaceutical products accessible and affordable to millions of Americans each year We own commercial rights to one of the largest portfolios of branded ophthalmic pharmaceutical products in the U.S. that are marketed under our Harrow name. We also own and operate ImprimisRx, one of the nation’s leading ophthalmology-focused pharmaceutical-compounding businesses In addition, we have non-controlling equity positions in Surface Ophthalmics, Inc. (“Surface”) and Melt Pharmaceuticals, Inc. (“Melt”), both companies that began as subsidiaries of Harrow and were subsequently carved-out of our corporate structure and deconsolidated from our financial statements. We also own royalty rights in certain drug candidates being developed by Surface and Melt.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believe the primary factors affecting our performance are our ability to increase revenues of our branded pharmaceutical products, proprietary compounded formulations and certain non-proprietary products, grow and gain operating efficiencies in our operations, potential regulatory-related restrictions, optimize pricing and obtain reimbursement options for our drug products, and continue to pursue development and commercialization opportunities for certain of our ophthalmology and other assets that we have not yet made commercially available. We believe we have built a tangible and intangible infrastructure that will allow us to scale revenues efficiently in the near and long-term. All of these activities will require significant costs and other resources, which we may not have or be able to obtain from operations or other sources. See “Liquidity and Capital Resources” below.</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describes certain developments in 2023 to date that are important to understand our financial condition and results of operations. See the notes to our unaudited condensed consolidated financial statements included in this Quarterly Report for additional information about each of these developments.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IHEEZO Reimbursement and Launch</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February 2023, we announced that the Centers for Medicare &amp; Medicaid Services (“CMS”) had issued a permanent, product specific J-code for IHEEZO (J2403) which became effective under the Healthcare Procedure Coding System (HCPCS) on April 1, 2023, which physicians can use for reimbursement purposes of that product. New drugs approved by the FDA that are used in surgeries performed in a hospital outpatient departments or ambulatory surgical centers may receive a transitional pass-through reimbursement under Medicare, provided they meet certain criteria, including a “not insignificant” cost criterion. Pass-through status allows for separate payment (i.e., outside the packaged payment rate for the surgical procedure) under Medicare Part B, which consists of Medicare reimbursement for a drug based on a defined formula for calculating the minimum fee that a manufacturer may charge for the drug. Under current regulations of CMS, pass-through status applies for a period of three years; which is measured from the date Medicare makes its first pass-through payment for the product. Following the three-year period, the product would be incorporated into the cataract bundled payment system, which could significantly reduce the pricing for that product. Temporary pass-through reimbursement for IHEEZO was awarded by CMS and made effective in April 2023.</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beginning of April 2023, we initiated a regional and targeted launch of IHEEZO (chloroprocaine HCL ophthalmic gel) 3%. In early May 2023, our full commercial launch of IHEEZO occurred, with the product being highlighted by our commercial team at the ASCRS (American Society of Cataract and Refractive Surgery) Annual Meeting held May 5 – 8,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Ilevro, Nevanac, Vigamox, Maxidex and Triesence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December 2022, we entered into an Asset Purchase Agreement (the “Purchase Agreement”) with Novartis Technology, LLC and Novartis Innovative Therapies AG (together, “Novartis”), pursuant to which the Company agreed to purchase from Novartis the exclusive commercial rights to assets associated with the following ophthalmic products (collectively the “Fab 5 Products”) in the U.S. (the “Fab 5 Acquisition”):</w:t>
      </w:r>
    </w:p>
    <w:p>
      <w:pPr>
        <w:spacing w:after="0" w:line="165" w:lineRule="exact"/>
        <w:rPr>
          <w:sz w:val="20"/>
          <w:szCs w:val="20"/>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ILEVRO (nepafenac ophthalmic suspension) 0.3%, a non-steroidal, anti-inflammatory eye drop indicated for pain and inflammation associated with cataract surgery.</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NEVANAC (nepafenac ophthalmic suspension) 0.1%, a non-steroidal, anti-inflammatory eye drop indicated for pain and inflammation associated with cataract surgery.</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VIGAMOX (moxifloxacin hydrochloride ophthalmic solution) 0.5%, a fluoroquinolone antibiotic eye drop for the treatment of bacterial conjunctivitis caused by susceptible strains of organisms.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MAXIDEX (dexamethasone ophthalmic suspension) 0.1%, a steroid eye drop for steroid-responsive inflammatory conditions of the palpebral and bulbar conjunctiva, cornea, and anterior segment of the globe.</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TRIESENCE (triamcinolone acetonide injectable suspension) 40 mg/ml, a steroid injection for the treatment of certain ophthalmic diseases and for visualization during vitrectomy.</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closed the Fab 5 Acquisition on January 20, 2023. Under the terms of the Purchase Agreement, we made a one-time payment of $130,000,000 at closing, with up to another $45,000,000 due in a milestone payment related to the timing of the commercial availability of Triesence. Pursuant to the Purchase Agreement and various ancillary agreements, immediately following the closing and subject to certain conditions, for a period that lasted approximately six months, and prior to the transfer of the Fab 5 Products new drug applications (the “NDAs”) to us, Novartis continued to sell the Products on our behalf and transferred the net profit from the sale of the Products to us. Novartis has agreed to supply certain Products to the Company for a period of time after the NDAs are transferred to us and to assist with technology transfer of the Products manufacturing to other third-party manufacturers, if needed.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both"/>
        <w:ind w:firstLine="648"/>
        <w:spacing w:after="0" w:line="277" w:lineRule="auto"/>
        <w:rPr>
          <w:sz w:val="20"/>
          <w:szCs w:val="20"/>
          <w:color w:val="auto"/>
        </w:rPr>
      </w:pPr>
      <w:r>
        <w:rPr>
          <w:rFonts w:ascii="Arial" w:cs="Arial" w:eastAsia="Arial" w:hAnsi="Arial"/>
          <w:sz w:val="18"/>
          <w:szCs w:val="18"/>
          <w:color w:val="auto"/>
        </w:rPr>
        <w:t>On April 28, 2023, we transferred the NDAs for ILEVRO, NEVANAC and MAXIDEX. In July 2023, we transferred the NDA for VIGAMOX, and the NDA for TRIESENCE is expected to transfer upon around the timing of its commercial availability.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Oaktree Credit and Guaranty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27, 2023, we entered into a Credit and Guaranty Agreement (the “Oaktree Loan”) with Oaktree Fund Administration, LLC, as administrative agent for the lenders (together, “Oaktree”), providing for a loan to us with a principal amount of up to $100,000,000. Upon entering into the Oaktree Loan, we drew a principal amount of $65,000,000 from the Oaktree Loan and used the net proceeds to repay all amounts owed by us pursuant to the BR Loan. No remaining amounts are due under the BR Loan, and no exit or prepayment fees were paid as a result of the payoff of the B. Riley Loan. The additional principal loan amount of up to $35,000,000 available under the Oaktree Loan (the “Tranche B”) will be made available to the Company upon the commercialization of TRIESENCE.</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July 18, 2023, we entered into the First Amendment to Credit Agreement and Guaranty and Consent (the “Oaktree Amendment”) to the Oaktree Loan. Under the Oaktree Amendment, the overall credit facility size was increased from $100,000,000 to $112,500,000, and we made other changes related to the Santen Products Acquisition. Upon satisfaction of certain conditions to funding, we drew down a principal amount of $12,500,000 (the “Loan Increase”) on August 1, 2023 to fund the initial one-time payment associated with the Santen Products Acquisition and for other working capital and general corporate purposes. No other material changes to the Oaktree Loan were provided in the Oaktree Amendment. Following entry into the Oaktree Amendment and the funding of the Loan Increase upon closing of the Santen Products Acquisition, we have drawn down a total principal loan amount of $77,500,000 under the Oaktree Loan and an additional Tranche B loan amount of up to $35,000,000 remains available to us upon the commercialization of TRIESENCE, provided, that if Tranche B is not drawn by the Company on or before March 27, 2024, the amount available under Tranche B decreased to $30,000,000.</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Oaktree Loan is secured by nearly all of the assets, including intellectual property, of the Company and its material subsidiaries. The Oaktree Loan has a maturity date of January 19, 2026 and carries an interest rate equal to the Secured Overnight Financing Rate (SOFR) plus 6.5% per annum. The Oaktree Loan requires interest-only payments through its term (there is no amortization of the principal amount or excess cash flow sweeps during the term of the Oaktree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HROWM – Senior Notes Offering</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December 2022, the Company entered into an underwriting agreement with B. Riley Securities, Inc., as representative of the several underwriters named therein, pursuant to which we agreed to sell $35,000,000 aggregate principal amount of 11.875% Senior Notes due 2027 (the “2027 Notes”) plus up to an additional $5,250,000 aggregate principal amount of 11.875% Senior Notes due 2027 pursuant to the option to purchase additional 2027 Notes. In January 2023, the underwriters exercised their option to purchase the additional $5,250,000 aggregate principal amount of 2027 Notes.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VEVYE</w:t>
      </w:r>
      <w:r>
        <w:rPr>
          <w:rFonts w:ascii="Arial" w:cs="Arial" w:eastAsia="Arial" w:hAnsi="Arial"/>
          <w:sz w:val="29"/>
          <w:szCs w:val="29"/>
          <w:i w:val="1"/>
          <w:iCs w:val="1"/>
          <w:color w:val="auto"/>
          <w:vertAlign w:val="superscript"/>
        </w:rPr>
        <w:t>TM</w:t>
      </w:r>
      <w:r>
        <w:rPr>
          <w:rFonts w:ascii="Arial" w:cs="Arial" w:eastAsia="Arial" w:hAnsi="Arial"/>
          <w:sz w:val="18"/>
          <w:szCs w:val="18"/>
          <w:i w:val="1"/>
          <w:iCs w:val="1"/>
          <w:color w:val="auto"/>
        </w:rPr>
        <w:t xml:space="preserve"> U.S. and Canadian Commercial Rights</w:t>
      </w:r>
    </w:p>
    <w:p>
      <w:pPr>
        <w:spacing w:after="0" w:line="1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July 2023, we acquired commercial rights of VEVYE (cyclosporine ophthalmic solution) 0.1%, an ophthalmic drug product, for the U.S. and Canadian markets (the “VEVYE Acquisition”). VEVYE, which is dispensed topically in a unique ten microliter per one drop and is labeled for twice-daily (BID) dosing, is the first and only cyclosporine-based product indicated for the treatment of both signs and symptoms of dry eye disease (DED). VEVYE was approved on May 30, 2023 by the FDA. We acquired the commercial rights to VEVYE by entering into a license agreement with Novaliq GmbH (“Novaliq”). As consideration, we made initial payments to Novaliq totaling $8,000,000 and will pay low double-digit royalties on net sales of VEVYE along with potential commercial milestone payments.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Certain U.S. and Canadian Commercial Rights to Santen and Eyevance Products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July 2023, we entered into an Asset Purchase Agreement with Eyevance Pharmaceuticals, LLC and a License Agreement with Santen S.A.S. (collectively, the “Santen Agreements”), each a subsidiary of Santen Pharmaceuticals Co., Ltd. (collectively, “Santen”). Pursuant to the Santen Agreements, we acquired the exclusive commercial rights to assets associated with the following ophthalmic products (collectively, the “Santen Products”):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color w:val="auto"/>
        </w:rPr>
        <w:t>In the U.S.:</w:t>
      </w:r>
    </w:p>
    <w:p>
      <w:pPr>
        <w:spacing w:after="0" w:line="225" w:lineRule="exact"/>
        <w:rPr>
          <w:sz w:val="20"/>
          <w:szCs w:val="20"/>
          <w:color w:val="auto"/>
        </w:rPr>
      </w:pPr>
    </w:p>
    <w:p>
      <w:pPr>
        <w:ind w:left="340" w:hanging="332"/>
        <w:spacing w:after="0" w:line="342"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FLAREX® (fluorometholone acetate ophthalmic suspension) 0.1%, a corticosteroid prepared as a sterile topical ophthalmic suspension indicated for use in the treatment of steroid-responsive inflammatory conditions of the palpebral and bulbar conjunctiva, cornea, and anterior segment of the eye.</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NATACYN® (natamycin ophthalmic suspension) 5%, a sterile, antifungal drug for the treatment of fungal blepharitis, conjunctivitis, and keratitis caused by susceptible organisms, including Fusarium solani keratitis.</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TOBRADEX® ST (tobramycin and dexamethasone ophthalmic suspension) 0.3%/0.05%, a topical antibiotic and corticosteroid combination for steroid-responsive inflammatory ocular conditions for which a corticosteroid is indicated and where superficial bacterial ocular infection or a risk of bacterial ocular infection exists.</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ZERVIATE® (cetirizine ophthalmic solution) 0.24%, a histamine-1 (H1) receptor antagonist indicated for treatment of ocular itching associated with allergic conjunctivitis.</w:t>
      </w:r>
    </w:p>
    <w:p>
      <w:pPr>
        <w:spacing w:after="0" w:line="170" w:lineRule="exact"/>
        <w:rPr>
          <w:rFonts w:ascii="Arial" w:cs="Arial" w:eastAsia="Arial" w:hAnsi="Arial"/>
          <w:sz w:val="18"/>
          <w:szCs w:val="18"/>
          <w:color w:val="auto"/>
        </w:rPr>
      </w:pPr>
    </w:p>
    <w:p>
      <w:pPr>
        <w:ind w:left="340" w:right="4140" w:hanging="332"/>
        <w:spacing w:after="0" w:line="50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FRESHKOTE®, a preservative-free formulation for temporary relief of symptoms of dry eye. In the U.S. and Canada:</w:t>
      </w:r>
    </w:p>
    <w:p>
      <w:pPr>
        <w:spacing w:after="0" w:line="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VERKAZIA® (cyclosporine ophthalmic emulsion) 0.1%, an orphan designated drug that is a calcineurin inhibitor immunosuppressant indicated for the treatment of vernal keratoconjunctivitis.</w:t>
      </w:r>
    </w:p>
    <w:p>
      <w:pPr>
        <w:spacing w:after="0" w:line="17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In Canada:</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CATIONORM® PLUS, a preservative-free formulation for dry eye or allergy relief.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transactions pursuant to the Santen Agreements are referred to in this Quarterly Report as the “Santen Products Acquisition.”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terms of the Santen Agreements, we made an initial one-time payment of $8,000,000. In addition, the Santen Agreements provide for various one-time milestone payments associated with certain manufacturing-related events as well as low-double digit royalty payments on net sales of Verkazia and high-single digit royalty payments on net sales of Cationorm Plus. Under the Santen Agreements, we also assumed certain obligations associated with other third parties that require mid-single digit royalties on sales of Freshkote and Zerviate. Immediately following the closing and subject to certain conditions, for a period that we expect to last approximately four months, and prior to the transfer of the Santen Product NDAs and other marketing authorizations to us, Santen will continue to sell the Santen Products on our behalf and transfer the net profit from the sale of the Santen Products to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Offering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July 2023, we closed a public offering of shares of our common stock at an offering price of $17.75 per share (the “Offering”). We sold 3,887,324 shares of our common stock in the Offering, resulting in us receiving aggregate gross proceeds of $69,000,000, before commissions and other offering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Riley Loan and Security Agreement – Paid</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December 14, 2022, we entered into a Loan and Security Agreement (the “BR Loan”) with B. Riley Commercial Capital, LLC, as Administrative Agent for the Lenders from time to time party thereto. The proceeds of the Loan Agreement were used to finance the Fab 5 Acquisition.</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BR Loan provided for a loan facility of up to $100,000,000 to the Company with a maturity date of December 14, 2025, at an interest rate of 10.875% per annum. The BR Loan was secured by an intellectual property security agreement and by all assets of the Company and its material subsidiaries. The Company drew $59,750,000 of the BR Loan in January 2023, and subsequently paid back the BR Loan in March 2023 at the time of closing the Oaktree Loan. No remaining amounts are due under the BR Loan, and no exit or prepayment fees were paid as a result of the payoff of the BR Loan.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period-to-period comparisons of our financial results for the three and six months ended June 30, 2023 and 2022 are not necessarily indicative of results for any future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revenues include amounts recorded from sales of proprietary compounded formulations, sales of branded products to wholesalers through a third-party logistics facility, commissions from third parties and revenues received from royalty payments owed to us pursuant to out-license arrangements.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revenues for the three and six months ended June 30,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2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4"/>
              </w:rPr>
              <w:t>For the Three Months Ended</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4"/>
          </w:tcPr>
          <w:p>
            <w:pPr>
              <w:jc w:val="right"/>
              <w:spacing w:after="0"/>
              <w:rPr>
                <w:sz w:val="20"/>
                <w:szCs w:val="20"/>
                <w:color w:val="auto"/>
              </w:rPr>
            </w:pPr>
            <w:r>
              <w:rPr>
                <w:rFonts w:ascii="Arial" w:cs="Arial" w:eastAsia="Arial" w:hAnsi="Arial"/>
                <w:sz w:val="18"/>
                <w:szCs w:val="18"/>
                <w:b w:val="1"/>
                <w:bCs w:val="1"/>
                <w:color w:val="auto"/>
                <w:w w:val="93"/>
              </w:rPr>
              <w:t>For the Six Months Ended</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3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3"/>
          </w:tcPr>
          <w:p>
            <w:pPr>
              <w:jc w:val="right"/>
              <w:ind w:right="47"/>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June 30,</w:t>
            </w:r>
          </w:p>
        </w:tc>
        <w:tc>
          <w:tcPr>
            <w:tcW w:w="12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37"/>
        </w:trPr>
        <w:tc>
          <w:tcPr>
            <w:tcW w:w="34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Variance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0"/>
                <w:szCs w:val="20"/>
                <w:color w:val="auto"/>
              </w:rPr>
            </w:pP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Variance</w:t>
            </w:r>
          </w:p>
        </w:tc>
        <w:tc>
          <w:tcPr>
            <w:tcW w:w="100" w:type="dxa"/>
            <w:vAlign w:val="bottom"/>
          </w:tcPr>
          <w:p>
            <w:pPr>
              <w:spacing w:after="0"/>
              <w:rPr>
                <w:sz w:val="20"/>
                <w:szCs w:val="20"/>
                <w:color w:val="auto"/>
              </w:rPr>
            </w:pPr>
          </w:p>
        </w:tc>
      </w:tr>
      <w:tr>
        <w:trPr>
          <w:trHeight w:val="216"/>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Product sales,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29,542,000</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21,518,000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$ 8,024,000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$ 49,995,000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$ 41,858,000</w:t>
            </w:r>
          </w:p>
        </w:tc>
        <w:tc>
          <w:tcPr>
            <w:tcW w:w="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$ 8,137,000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b w:val="1"/>
                <w:bCs w:val="1"/>
                <w:color w:val="auto"/>
              </w:rPr>
              <w:t>Commission revenues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1,212,000</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(1,212,000)</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2,532,000</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(2,532,000)</w:t>
            </w:r>
          </w:p>
        </w:tc>
      </w:tr>
      <w:tr>
        <w:trPr>
          <w:trHeight w:val="250"/>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Transfer of acquired product profit</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3,928,000</w:t>
            </w: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593,000</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3,335,000</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9,578,000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8,525,000</w:t>
            </w:r>
          </w:p>
        </w:tc>
        <w:tc>
          <w:tcPr>
            <w:tcW w:w="100" w:type="dxa"/>
            <w:vAlign w:val="bottom"/>
            <w:shd w:val="clear" w:color="auto" w:fill="CCEEFF"/>
          </w:tcPr>
          <w:p>
            <w:pPr>
              <w:spacing w:after="0"/>
              <w:rPr>
                <w:sz w:val="21"/>
                <w:szCs w:val="21"/>
                <w:color w:val="auto"/>
              </w:rPr>
            </w:pPr>
          </w:p>
        </w:tc>
      </w:tr>
      <w:tr>
        <w:trPr>
          <w:trHeight w:val="217"/>
        </w:trPr>
        <w:tc>
          <w:tcPr>
            <w:tcW w:w="342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33,470,000</w:t>
            </w: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23,323,000</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10,147,000</w:t>
            </w: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59,573,000</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45,443,000</w:t>
            </w: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14,130,000</w:t>
            </w:r>
          </w:p>
        </w:tc>
        <w:tc>
          <w:tcPr>
            <w:tcW w:w="100" w:type="dxa"/>
            <w:vAlign w:val="bottom"/>
            <w:tcBorders>
              <w:top w:val="single" w:sz="8" w:color="CCEEFF"/>
            </w:tcBorders>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revenues between periods was related to an increase in sales of our branded ophthalmology products, as well as an increase in the transfer of profits related to the Fab 5 Acquisition. This increase in 2023 was offset slightly by a decrease in commissions attributable to sales of Dexycu® (which agreement terminated January 1, 2023) and a decrease in sales from our non-ophthalmology compounded products as a result of our sale of those assets in the fourth quarter of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three and six months ended June 30,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For the Three Months Ended</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For the Six Months Ended</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3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2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1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36"/>
        </w:trPr>
        <w:tc>
          <w:tcPr>
            <w:tcW w:w="35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98"/>
              </w:rPr>
              <w:t>Variance</w:t>
            </w:r>
          </w:p>
        </w:tc>
        <w:tc>
          <w:tcPr>
            <w:tcW w:w="340" w:type="dxa"/>
            <w:vAlign w:val="bottom"/>
          </w:tcPr>
          <w:p>
            <w:pPr>
              <w:spacing w:after="0"/>
              <w:rPr>
                <w:sz w:val="20"/>
                <w:szCs w:val="20"/>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26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8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w w:val="98"/>
              </w:rPr>
              <w:t>Variance</w:t>
            </w:r>
          </w:p>
        </w:tc>
        <w:tc>
          <w:tcPr>
            <w:tcW w:w="100" w:type="dxa"/>
            <w:vAlign w:val="bottom"/>
          </w:tcPr>
          <w:p>
            <w:pPr>
              <w:spacing w:after="0"/>
              <w:rPr>
                <w:sz w:val="20"/>
                <w:szCs w:val="20"/>
                <w:color w:val="auto"/>
              </w:rPr>
            </w:pPr>
          </w:p>
        </w:tc>
      </w:tr>
      <w:tr>
        <w:trPr>
          <w:trHeight w:val="230"/>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6"/>
              </w:rPr>
              <w:t>10,000,000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6,534,000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3,466,000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18,271,000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12,497,000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5,774,000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increase in our cost of sales was largely attributable to the amortization of acquired product NDAs which totaled $2,649,000 and $4,694,000 for the three and six months ended June 30, 2023, respectively, compared to $341,000 and $682,000 during the prior year periods, respectively, coupled with lesser increases in expenses associated with unit volumes sold and increased direct and indirect costs associated with production of our products.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i w:val="1"/>
                <w:iCs w:val="1"/>
                <w:color w:val="auto"/>
              </w:rPr>
              <w:t>Gross Profit and Margin</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27"/>
        </w:trPr>
        <w:tc>
          <w:tcPr>
            <w:tcW w:w="2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gridSpan w:val="6"/>
          </w:tcPr>
          <w:p>
            <w:pPr>
              <w:jc w:val="center"/>
              <w:ind w:right="430"/>
              <w:spacing w:after="0"/>
              <w:rPr>
                <w:sz w:val="20"/>
                <w:szCs w:val="20"/>
                <w:color w:val="auto"/>
              </w:rPr>
            </w:pPr>
            <w:r>
              <w:rPr>
                <w:rFonts w:ascii="Arial" w:cs="Arial" w:eastAsia="Arial" w:hAnsi="Arial"/>
                <w:sz w:val="18"/>
                <w:szCs w:val="18"/>
                <w:b w:val="1"/>
                <w:bCs w:val="1"/>
                <w:color w:val="auto"/>
                <w:w w:val="91"/>
              </w:rPr>
              <w:t>For the Three Months Ended</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1"/>
              </w:rPr>
              <w:t>For the Six Months Ended</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1"/>
        </w:trPr>
        <w:tc>
          <w:tcPr>
            <w:tcW w:w="2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4"/>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6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7"/>
        </w:trPr>
        <w:tc>
          <w:tcPr>
            <w:tcW w:w="2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0"/>
                <w:szCs w:val="20"/>
                <w:color w:val="auto"/>
              </w:rPr>
            </w:pPr>
          </w:p>
        </w:tc>
        <w:tc>
          <w:tcPr>
            <w:tcW w:w="12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8"/>
              </w:rPr>
              <w:t>Variance</w:t>
            </w: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360" w:type="dxa"/>
            <w:vAlign w:val="bottom"/>
          </w:tcPr>
          <w:p>
            <w:pPr>
              <w:spacing w:after="0"/>
              <w:rPr>
                <w:sz w:val="20"/>
                <w:szCs w:val="20"/>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8"/>
              </w:rPr>
              <w:t>Variance</w:t>
            </w:r>
          </w:p>
        </w:tc>
      </w:tr>
      <w:tr>
        <w:trPr>
          <w:trHeight w:val="256"/>
        </w:trPr>
        <w:tc>
          <w:tcPr>
            <w:tcW w:w="2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7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23,470,000</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16,789,000</w:t>
            </w: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6,681,000</w:t>
            </w:r>
          </w:p>
        </w:tc>
        <w:tc>
          <w:tcPr>
            <w:tcW w:w="36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41,302,000</w:t>
            </w:r>
          </w:p>
        </w:tc>
        <w:tc>
          <w:tcPr>
            <w:tcW w:w="36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32,946,000</w:t>
            </w:r>
          </w:p>
        </w:tc>
        <w:tc>
          <w:tcPr>
            <w:tcW w:w="36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8,356,000</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10"/>
        </w:trPr>
        <w:tc>
          <w:tcPr>
            <w:tcW w:w="258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70.1</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w w:val="74"/>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74"/>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69.3</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74"/>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72.5</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74"/>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decrease in gross margin between the three and six months ended June 30, 2023 and 2022 is primarily attributable to amortization of acquired NDAs from the Fab 5 Acquisition, beginning in January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selling, general and administrative expenses for the three and six months ended June 30,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2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1"/>
              </w:rPr>
              <w:t>For the Three Months Ended</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For the Six Months Ended</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960" w:type="dxa"/>
            <w:vAlign w:val="bottom"/>
          </w:tcPr>
          <w:p>
            <w:pPr>
              <w:spacing w:after="0"/>
              <w:rPr>
                <w:sz w:val="20"/>
                <w:szCs w:val="20"/>
                <w:color w:val="auto"/>
              </w:rPr>
            </w:pPr>
          </w:p>
        </w:tc>
        <w:tc>
          <w:tcPr>
            <w:tcW w:w="11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2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1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37"/>
        </w:trPr>
        <w:tc>
          <w:tcPr>
            <w:tcW w:w="35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8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w w:val="98"/>
              </w:rPr>
              <w:t>Variance</w:t>
            </w:r>
          </w:p>
        </w:tc>
        <w:tc>
          <w:tcPr>
            <w:tcW w:w="320" w:type="dxa"/>
            <w:vAlign w:val="bottom"/>
          </w:tcPr>
          <w:p>
            <w:pPr>
              <w:spacing w:after="0"/>
              <w:rPr>
                <w:sz w:val="20"/>
                <w:szCs w:val="20"/>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26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8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w w:val="98"/>
              </w:rPr>
              <w:t>Variance</w:t>
            </w:r>
          </w:p>
        </w:tc>
        <w:tc>
          <w:tcPr>
            <w:tcW w:w="100" w:type="dxa"/>
            <w:vAlign w:val="bottom"/>
          </w:tcPr>
          <w:p>
            <w:pPr>
              <w:spacing w:after="0"/>
              <w:rPr>
                <w:sz w:val="20"/>
                <w:szCs w:val="20"/>
                <w:color w:val="auto"/>
              </w:rPr>
            </w:pPr>
          </w:p>
        </w:tc>
      </w:tr>
      <w:tr>
        <w:trPr>
          <w:trHeight w:val="230"/>
        </w:trPr>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Selling, general and administrative</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8"/>
              </w:rPr>
              <w:t>19,957,000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14,185,000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5,772,000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35,845,000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27,583,000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8,262,000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increase in selling, general and administrative expenses between periods was primarily attributable to an increase in stock-based compensation expense of $3,010,000 and $2,650,000 for the three and six months ended June 30, 2023, respectively, compared to the prior year periods, including new expenses associated with performance stock units granted in April of 2023. Other areas of increased expenses included regulatory enhancements, costs to support the transition of recent product acquisitions, and an increase in expenses related to the addition of new employees in sales, marketing and other departments to support current and expected growth, including the commercial launch of IHEEZO in April 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research and development (“R&amp;D”) expenses primarily include personnel costs, including wages and stock-based compensation, expenses related to the development of intellectual property, investigator-initiated research and evaluations, formulation development, acquired in-process R&amp;D and other costs related to the clinical development of our assets.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research and development expenses for the three and six months ended June 30,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2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1"/>
              </w:rPr>
              <w:t>For the Three Months Ended</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4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0"/>
              </w:rPr>
              <w:t>For the Six Months Ended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3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Pr>
          <w:p>
            <w:pPr>
              <w:spacing w:after="0"/>
              <w:rPr>
                <w:sz w:val="20"/>
                <w:szCs w:val="20"/>
                <w:color w:val="auto"/>
              </w:rPr>
            </w:pPr>
          </w:p>
        </w:tc>
        <w:tc>
          <w:tcPr>
            <w:tcW w:w="11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37"/>
        </w:trPr>
        <w:tc>
          <w:tcPr>
            <w:tcW w:w="31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7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95"/>
              </w:rPr>
              <w:t>Variance</w:t>
            </w:r>
          </w:p>
        </w:tc>
        <w:tc>
          <w:tcPr>
            <w:tcW w:w="3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95"/>
              </w:rPr>
              <w:t>Variance</w:t>
            </w:r>
          </w:p>
        </w:tc>
        <w:tc>
          <w:tcPr>
            <w:tcW w:w="100" w:type="dxa"/>
            <w:vAlign w:val="bottom"/>
            <w:tcBorders>
              <w:bottom w:val="single" w:sz="8" w:color="CCEEFF"/>
            </w:tcBorders>
          </w:tcPr>
          <w:p>
            <w:pPr>
              <w:spacing w:after="0"/>
              <w:rPr>
                <w:sz w:val="20"/>
                <w:szCs w:val="20"/>
                <w:color w:val="auto"/>
              </w:rPr>
            </w:pPr>
          </w:p>
        </w:tc>
      </w:tr>
      <w:tr>
        <w:trPr>
          <w:trHeight w:val="230"/>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1,161,000</w:t>
            </w:r>
          </w:p>
        </w:tc>
        <w:tc>
          <w:tcPr>
            <w:tcW w:w="3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914,000</w:t>
            </w:r>
          </w:p>
        </w:tc>
        <w:tc>
          <w:tcPr>
            <w:tcW w:w="3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$ 247,000</w:t>
            </w:r>
          </w:p>
        </w:tc>
        <w:tc>
          <w:tcPr>
            <w:tcW w:w="3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7"/>
              </w:rPr>
              <w:t>1,895,000</w:t>
            </w:r>
          </w:p>
        </w:tc>
        <w:tc>
          <w:tcPr>
            <w:tcW w:w="3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7"/>
              </w:rPr>
              <w:t>1,572,000</w:t>
            </w:r>
          </w:p>
        </w:tc>
        <w:tc>
          <w:tcPr>
            <w:tcW w:w="3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$ 323,000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R&amp;D expenses between periods was primarily attributable to increased activity related to product acquisitions, launches and clinical and medical support.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net was $5,704,000 and $10,451,000 for the three and six months ended June 30, 2023, respectively, compared to $1,794,000 and $3,586,000 for the same periods in 2022, respectively. The increase during the periods ended June 30, 2023 compared to the same periods in 2022 was primarily due to an increase in the outstanding principal amount of our debt obligations.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Equity in Losses of Unconsolidated Entities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and six months ended June 30, 2023, we recorded a loss of $0, related to our share of losses in Melt, compared to $2,646,000 and $5,532,000 for the same periods in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Gain (Loss) from Eton</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three and six months ended June 30, 2023, we recorded a (loss)/gain of $(714,000) and $1,328,000, respectively, related to the change in fair market value of Eton’s common stock compared to losses of $3,449,000 and $3,310,000 for the same periods in 2022,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six months ended June 30, 2023, we recorded a loss on extinguishment of debt of $5,465,000, related to the payoff of the B. Riley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and six months ended June 30, 2023, we recorded other expense, net of $178,000 and $149,000, respectively, related primarily to transition services and write-off of inventories associated with the divestment of our non-ophthalmology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on hand at June 30, 2023 was $22,754,000, compared to $96,270,000 at December 31, 2022.</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the date of this Quarterly Report, we believe that cash and cash equivalents of $22,754,000 at June 30, 2023, along with proceeds received subsequent to June 30, 2023 from the Offering and Oaktree Amendment, will be sufficient to sustain our planned level of operations and capital expenditures for at least the next 12 months. In addition, we may consider the sale of certain assets including, but not limited to, part of, or all of, our investments in Eton, Surface, Melt, and/or any of our consolidated subsidiaries. However, we may pursue acquisitions of revenue generating products, drug candidates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to support our operations.</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use our current cash position and funds generated from our operations and any financing to pursue our business plan, which includes developing and commercializing drug candidates, compounded formulations and technologies, integrating and developing our operations, pursuing potential future strategic transactions as opportunities arise, including potential acquisitions of additional drug products, drug candidates, and/or assets or technologies, pharmacies, outsourcing facilities, drug company and manufacturers,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provides detailed information about our net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For the Six Months Ended</w:t>
            </w:r>
          </w:p>
        </w:tc>
        <w:tc>
          <w:tcPr>
            <w:tcW w:w="2240" w:type="dxa"/>
            <w:vAlign w:val="bottom"/>
          </w:tcPr>
          <w:p>
            <w:pPr>
              <w:spacing w:after="0"/>
              <w:rPr>
                <w:sz w:val="20"/>
                <w:szCs w:val="20"/>
                <w:color w:val="auto"/>
              </w:rPr>
            </w:pPr>
          </w:p>
        </w:tc>
      </w:tr>
      <w:tr>
        <w:trPr>
          <w:trHeight w:val="236"/>
        </w:trPr>
        <w:tc>
          <w:tcPr>
            <w:tcW w:w="4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2"/>
              </w:rPr>
              <w:t>June 30, 2023</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June 30, 2022</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16"/>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(3,648,000)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5,827,000</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(132,219,000)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(669,000)</w:t>
            </w:r>
          </w:p>
        </w:tc>
        <w:tc>
          <w:tcPr>
            <w:tcW w:w="2240" w:type="dxa"/>
            <w:vAlign w:val="bottom"/>
          </w:tcPr>
          <w:p>
            <w:pPr>
              <w:spacing w:after="0"/>
              <w:rPr>
                <w:sz w:val="18"/>
                <w:szCs w:val="18"/>
                <w:color w:val="auto"/>
              </w:rPr>
            </w:pPr>
          </w:p>
        </w:tc>
      </w:tr>
      <w:tr>
        <w:trPr>
          <w:trHeight w:val="25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9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62,351,000</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(887,000)</w:t>
            </w:r>
          </w:p>
        </w:tc>
        <w:tc>
          <w:tcPr>
            <w:tcW w:w="2240" w:type="dxa"/>
            <w:vAlign w:val="bottom"/>
          </w:tcPr>
          <w:p>
            <w:pPr>
              <w:spacing w:after="0"/>
              <w:rPr>
                <w:sz w:val="21"/>
                <w:szCs w:val="21"/>
                <w:color w:val="auto"/>
              </w:rPr>
            </w:pPr>
          </w:p>
        </w:tc>
      </w:tr>
      <w:tr>
        <w:trPr>
          <w:trHeight w:val="203"/>
        </w:trPr>
        <w:tc>
          <w:tcPr>
            <w:tcW w:w="46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9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(73,516,000)</w:t>
            </w: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4,271,000</w:t>
            </w:r>
          </w:p>
        </w:tc>
        <w:tc>
          <w:tcPr>
            <w:tcW w:w="100" w:type="dxa"/>
            <w:vAlign w:val="bottom"/>
            <w:tcBorders>
              <w:top w:val="single" w:sz="8" w:color="CCEEFF"/>
            </w:tcBorders>
          </w:tcPr>
          <w:p>
            <w:pPr>
              <w:spacing w:after="0"/>
              <w:rPr>
                <w:sz w:val="17"/>
                <w:szCs w:val="17"/>
                <w:color w:val="auto"/>
              </w:rPr>
            </w:pPr>
          </w:p>
        </w:tc>
        <w:tc>
          <w:tcPr>
            <w:tcW w:w="2240" w:type="dxa"/>
            <w:vAlign w:val="bottom"/>
          </w:tcPr>
          <w:p>
            <w:pPr>
              <w:spacing w:after="0"/>
              <w:rPr>
                <w:sz w:val="17"/>
                <w:szCs w:val="17"/>
                <w:color w:val="auto"/>
              </w:rPr>
            </w:pPr>
          </w:p>
        </w:tc>
      </w:tr>
      <w:tr>
        <w:trPr>
          <w:trHeight w:val="250"/>
        </w:trPr>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96,270,000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42,167,000</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Pr>
          <w:p>
            <w:pPr>
              <w:spacing w:after="0"/>
              <w:rPr>
                <w:sz w:val="21"/>
                <w:szCs w:val="2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Cash and cash equivalents at end of the period</w:t>
            </w:r>
          </w:p>
        </w:tc>
        <w:tc>
          <w:tcPr>
            <w:tcW w:w="9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center"/>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22,754,000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46,438,000</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419"/>
        </w:trPr>
        <w:tc>
          <w:tcPr>
            <w:tcW w:w="46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color w:val="auto"/>
                <w:w w:val="89"/>
              </w:rPr>
              <w:t>38</w:t>
            </w:r>
          </w:p>
        </w:tc>
        <w:tc>
          <w:tcPr>
            <w:tcW w:w="1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Net cash used in operating activities during the six months ended June 30, 2023 was $(3,648,000) compared to cash provided by operating activities of $5,827,000 during the same period in the prior year. The increase in net cash used in operating activities between the periods was mainly attributed to an increase in accounts receivable related to payment terms for the profit transfer associated with the Fab 5 Acquisition and branded product sales, which was an increase in our receivables of $12,038,000 during the six months ended June 30, 2023 compared to an increase of $2,314,000 during the six months ended June 30, 2022. The increase in net cash used in operating activities was also attributed to an increase in inventory levels, coupled with operating expenses associated with the commercial launch of IHEEZO and increased costs of goods sold.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investing activities during the six months ended June 30, 2023 was $(132,219,000) compared to $(669,000) during the same period in the prior year. Cash used in investing activities in 2023 was primarily associated with the Fab 5 Acquisition. Cash used in investing activities in 2022 was primarily associated with equipment and software purchases.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cash provided by (used in) financing activities during the six months ended June 30, 2023 and 2022 was $62,351,000 and $(887,000), respectively. Cash provided by financing activities during the six months ended June 30, 2023 was primarily related to proceeds received from the sale of the 2027 Notes, and proceeds from the Oaktree Loan. Cash used in financing activities during the six months ended June 30, 2022 was primarily related to payment of payroll taxes upon vesting of RSUs in exchange for shares withheld from the employee.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Capital</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principal sources of cash consist of cash provided by operating activities from our ImprimisRx and branded pharmaceutical businesses, and in 2022 and 2023, proceeds from the sale of senior notes, the Offering and the Oaktree Loan and Oaktree Amendment. We may also sell some or all of our ownership interests in Surface, Melt or our other subsidiaries, along with some or all of the remaining portion of our Eton common stock.</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may acquire new products, product candidates and/or businesses and, as a result, we may need significant additional capital to support our business plan and fund our proposed business operations. We may receive additional proceeds from the exercise of stock purchase warrants that are currently outstanding.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7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unaudited condensed consolidated financial statements included in this Quarterly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for timely decisions regarding required disclosure.</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June 30, 2023. Based on this evaluation, our principal executive officer and principal financial officer have concluded that our disclosure controls and procedures were effective to achieve their stated purpose as of June 30, 2023, the end of the period covered by this Quarterly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the quarter ended June 30, 2023, that has materially affected, or is reasonably likely to materially affect, our internal control over financial reporting.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16 to our unaudited condensed consolidated financial statements included in this Quarterly Report for information on various legal proceedings, which is incorporated into this Item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In addition to the other information contained in this Quarterly Report you should consider the risk factors and the other information in our Annual Report on Form 10-K for the year ended December 31, 2022, including our audited financial statements and the related notes and “Management’s Discussion and Analysis of Financial Condition and Results of Operations.” If any such risks actually occur, our business, financial condition, results of operations and future growth prospects would likely be materially and adversely affected. In these circumstances, the market price of our common stock would likely decline and you may lose all or part of your investments. Additional risks and uncertainties not presently known to us or that we currently deem immaterial also may impair our business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88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August 4, 2023, the Company amended its License and Supply Agreement originally entered into on July 25, 2021 with Sintetica, S.A. to allow for early payment of commercial related milestones associated with sales of IHEEZO in exchange for an 11% reduction in the milestone amounts.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u w:val="single" w:color="auto"/>
          <w:color w:val="0000EE"/>
        </w:rPr>
        <w:t>First Amendment to Credit Agreement and Guaranty and Consent, date July 18, 2023, to the Credit Agreement and Guaranty, dated March 27,</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0000EE"/>
        </w:rPr>
        <w:t>2023, between the Company and Oaktree Fund Administration, LLC.</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7"/>
          <w:szCs w:val="17"/>
          <w:u w:val="single" w:color="auto"/>
          <w:color w:val="0000EE"/>
        </w:rPr>
        <w:t>Certification of Mark L. Baum, principal executive officer, pursuant to Rule 13a-14(a) or 15d-14(a) of the Securities and Exchange Act of</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0000EE"/>
        </w:rPr>
        <w:t>1934, as adopted pursuant to Section 302 of the Sarbanes- Oxley Act of 2002.</w:t>
      </w:r>
    </w:p>
    <w:p>
      <w:pPr>
        <w:spacing w:after="0" w:line="207" w:lineRule="exact"/>
        <w:rPr>
          <w:sz w:val="20"/>
          <w:szCs w:val="20"/>
          <w:color w:val="auto"/>
        </w:rPr>
      </w:pPr>
    </w:p>
    <w:p>
      <w:pPr>
        <w:jc w:val="both"/>
        <w:ind w:left="920" w:hanging="913"/>
        <w:spacing w:after="0" w:line="277" w:lineRule="auto"/>
        <w:tabs>
          <w:tab w:leader="none" w:pos="90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8"/>
          <w:szCs w:val="18"/>
          <w:u w:val="single" w:color="auto"/>
          <w:color w:val="0000EE"/>
        </w:rPr>
        <w:t>Certification of Andrew R. Boll, principal financial and accounting officer, pursuant to Rule 13a-14(a) or 15d-14(a) of the Securities and Exchange Act of 1934, as adopted pursuant to Section 302 of the Sarbanes- Oxley Act of 2002.</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6"/>
          <w:szCs w:val="16"/>
          <w:u w:val="single" w:color="auto"/>
          <w:color w:val="0000EE"/>
        </w:rPr>
        <w:t>Certification pursuant to 18 U.S.C. Section 1350, as adopted pursuant to Section 906 of the Sarbanes-Oxley Act of 2002, executed by Mark L.</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0000EE"/>
        </w:rPr>
        <w:t>Baum, principal executive officer, and Andrew R. Boll, principal financial and accounting officer.</w:t>
      </w:r>
    </w:p>
    <w:p>
      <w:pPr>
        <w:spacing w:after="0" w:line="207" w:lineRule="exact"/>
        <w:rPr>
          <w:sz w:val="20"/>
          <w:szCs w:val="20"/>
          <w:color w:val="auto"/>
        </w:rPr>
      </w:pPr>
    </w:p>
    <w:p>
      <w:pPr>
        <w:jc w:val="both"/>
        <w:ind w:left="920" w:hanging="913"/>
        <w:spacing w:after="0" w:line="277" w:lineRule="auto"/>
        <w:tabs>
          <w:tab w:leader="none" w:pos="900" w:val="left"/>
        </w:tabs>
        <w:rPr>
          <w:sz w:val="20"/>
          <w:szCs w:val="20"/>
          <w:color w:val="auto"/>
        </w:rPr>
      </w:pPr>
      <w:r>
        <w:rPr>
          <w:rFonts w:ascii="Arial" w:cs="Arial" w:eastAsia="Arial" w:hAnsi="Arial"/>
          <w:sz w:val="18"/>
          <w:szCs w:val="18"/>
          <w:b w:val="1"/>
          <w:bCs w:val="1"/>
          <w:color w:val="auto"/>
        </w:rPr>
        <w:t>101.INS*</w:t>
      </w:r>
      <w:r>
        <w:rPr>
          <w:sz w:val="20"/>
          <w:szCs w:val="20"/>
          <w:color w:val="auto"/>
        </w:rPr>
        <w:tab/>
      </w: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101.SCH*  </w:t>
      </w:r>
      <w:r>
        <w:rPr>
          <w:rFonts w:ascii="Arial" w:cs="Arial" w:eastAsia="Arial" w:hAnsi="Arial"/>
          <w:sz w:val="18"/>
          <w:szCs w:val="18"/>
          <w:color w:val="auto"/>
        </w:rPr>
        <w:t>Inline XBRL Taxonomy Extension Schema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101.CAL*  </w:t>
      </w:r>
      <w:r>
        <w:rPr>
          <w:rFonts w:ascii="Arial" w:cs="Arial" w:eastAsia="Arial" w:hAnsi="Arial"/>
          <w:sz w:val="18"/>
          <w:szCs w:val="18"/>
          <w:color w:val="auto"/>
        </w:rPr>
        <w:t>Inline XBRL Taxonomy Extension Calculation Linkbase Document</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101.DEF*</w:t>
      </w:r>
      <w:r>
        <w:rPr>
          <w:sz w:val="20"/>
          <w:szCs w:val="20"/>
          <w:color w:val="auto"/>
        </w:rPr>
        <w:tab/>
      </w:r>
      <w:r>
        <w:rPr>
          <w:rFonts w:ascii="Arial" w:cs="Arial" w:eastAsia="Arial" w:hAnsi="Arial"/>
          <w:sz w:val="16"/>
          <w:szCs w:val="16"/>
          <w:color w:val="auto"/>
        </w:rPr>
        <w:t>Inline XBRL Taxonomy Extension Definition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101.LAB*  </w:t>
      </w:r>
      <w:r>
        <w:rPr>
          <w:rFonts w:ascii="Arial" w:cs="Arial" w:eastAsia="Arial" w:hAnsi="Arial"/>
          <w:sz w:val="18"/>
          <w:szCs w:val="18"/>
          <w:color w:val="auto"/>
        </w:rPr>
        <w:t>Inline XBRL Taxonomy Extension Label Linkbase Document</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101.PRE*</w:t>
      </w:r>
      <w:r>
        <w:rPr>
          <w:sz w:val="20"/>
          <w:szCs w:val="20"/>
          <w:color w:val="auto"/>
        </w:rPr>
        <w:tab/>
      </w:r>
      <w:r>
        <w:rPr>
          <w:rFonts w:ascii="Arial" w:cs="Arial" w:eastAsia="Arial" w:hAnsi="Arial"/>
          <w:sz w:val="16"/>
          <w:szCs w:val="16"/>
          <w:color w:val="auto"/>
        </w:rPr>
        <w:t>Inline XBRL Taxonomy Extension Presentation Linkbase Document</w:t>
      </w:r>
    </w:p>
    <w:p>
      <w:pPr>
        <w:spacing w:after="0" w:line="229" w:lineRule="exact"/>
        <w:rPr>
          <w:sz w:val="20"/>
          <w:szCs w:val="20"/>
          <w:color w:val="auto"/>
        </w:rPr>
      </w:pPr>
    </w:p>
    <w:p>
      <w:pPr>
        <w:ind w:left="920" w:hanging="912"/>
        <w:spacing w:after="0"/>
        <w:tabs>
          <w:tab w:leader="none" w:pos="920"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The cover page from the Company’s Quarterly Report on Form 10-Q for the quarter ended June 30, 2023, has been formatted in Inline XBRL.</w:t>
      </w:r>
    </w:p>
    <w:p>
      <w:pPr>
        <w:spacing w:after="0" w:line="248"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443"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August 9, 2023</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21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21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CREDIT AGREEMENT AND GUARANTY AND CONSENT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FIRST AMENDMENT TO CREDIT AGREEMENT AND GUARANTY AND CONSENT</w:t>
      </w:r>
      <w:r>
        <w:rPr>
          <w:rFonts w:ascii="Arial" w:cs="Arial" w:eastAsia="Arial" w:hAnsi="Arial"/>
          <w:sz w:val="17"/>
          <w:szCs w:val="17"/>
          <w:color w:val="auto"/>
        </w:rPr>
        <w:t xml:space="preserve"> (this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dated as of July 18, 2023 (the “</w:t>
      </w:r>
      <w:r>
        <w:rPr>
          <w:rFonts w:ascii="Arial" w:cs="Arial" w:eastAsia="Arial" w:hAnsi="Arial"/>
          <w:sz w:val="17"/>
          <w:szCs w:val="17"/>
          <w:b w:val="1"/>
          <w:bCs w:val="1"/>
          <w:i w:val="1"/>
          <w:iCs w:val="1"/>
          <w:color w:val="auto"/>
        </w:rPr>
        <w:t>First Amendment Effective Date</w:t>
      </w:r>
      <w:r>
        <w:rPr>
          <w:rFonts w:ascii="Arial" w:cs="Arial" w:eastAsia="Arial" w:hAnsi="Arial"/>
          <w:sz w:val="17"/>
          <w:szCs w:val="17"/>
          <w:color w:val="auto"/>
        </w:rPr>
        <w:t>”), is entered into by and among HARROW HEALTH, INC., a Delaware corporation, (the “</w:t>
      </w:r>
      <w:r>
        <w:rPr>
          <w:rFonts w:ascii="Arial" w:cs="Arial" w:eastAsia="Arial" w:hAnsi="Arial"/>
          <w:sz w:val="17"/>
          <w:szCs w:val="17"/>
          <w:b w:val="1"/>
          <w:bCs w:val="1"/>
          <w:i w:val="1"/>
          <w:iCs w:val="1"/>
          <w:color w:val="auto"/>
        </w:rPr>
        <w:t>Borrower</w:t>
      </w:r>
      <w:r>
        <w:rPr>
          <w:rFonts w:ascii="Arial" w:cs="Arial" w:eastAsia="Arial" w:hAnsi="Arial"/>
          <w:sz w:val="17"/>
          <w:szCs w:val="17"/>
          <w:color w:val="auto"/>
        </w:rPr>
        <w:t>”), the Guarantors (as defined in the Credit Agreement referred to below) identified on the signature pages hereof, the Lenders (as defined in the Credit Agreement referred to below) identified on the signature pages hereof (each individually, a “</w:t>
      </w:r>
      <w:r>
        <w:rPr>
          <w:rFonts w:ascii="Arial" w:cs="Arial" w:eastAsia="Arial" w:hAnsi="Arial"/>
          <w:sz w:val="17"/>
          <w:szCs w:val="17"/>
          <w:b w:val="1"/>
          <w:bCs w:val="1"/>
          <w:i w:val="1"/>
          <w:iCs w:val="1"/>
          <w:color w:val="auto"/>
        </w:rPr>
        <w:t>Lender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Lenders</w:t>
      </w:r>
      <w:r>
        <w:rPr>
          <w:rFonts w:ascii="Arial" w:cs="Arial" w:eastAsia="Arial" w:hAnsi="Arial"/>
          <w:sz w:val="17"/>
          <w:szCs w:val="17"/>
          <w:color w:val="auto"/>
        </w:rPr>
        <w:t>”), and OAKTREE FUND ADMINISTRATION, LLC as administrative agent for the Lenders (in such capacity, the “</w:t>
      </w:r>
      <w:r>
        <w:rPr>
          <w:rFonts w:ascii="Arial" w:cs="Arial" w:eastAsia="Arial" w:hAnsi="Arial"/>
          <w:sz w:val="17"/>
          <w:szCs w:val="17"/>
          <w:b w:val="1"/>
          <w:bCs w:val="1"/>
          <w:i w:val="1"/>
          <w:iCs w:val="1"/>
          <w:color w:val="auto"/>
        </w:rPr>
        <w:t>Administrative Agent</w:t>
      </w:r>
      <w:r>
        <w:rPr>
          <w:rFonts w:ascii="Arial" w:cs="Arial" w:eastAsia="Arial" w:hAnsi="Arial"/>
          <w:sz w:val="17"/>
          <w:szCs w:val="17"/>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the Guarantors from time to time party thereto, the Lenders from time to time party thereto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are parties to that certain Credit Agreement and Guaranty, dated as of March 27, 2023 (the “</w:t>
      </w:r>
      <w:r>
        <w:rPr>
          <w:rFonts w:ascii="Arial" w:cs="Arial" w:eastAsia="Arial" w:hAnsi="Arial"/>
          <w:sz w:val="18"/>
          <w:szCs w:val="18"/>
          <w:b w:val="1"/>
          <w:bCs w:val="1"/>
          <w:i w:val="1"/>
          <w:iCs w:val="1"/>
          <w:color w:val="auto"/>
        </w:rPr>
        <w:t>Existing Credit Agreement</w:t>
      </w:r>
      <w:r>
        <w:rPr>
          <w:rFonts w:ascii="Arial" w:cs="Arial" w:eastAsia="Arial" w:hAnsi="Arial"/>
          <w:sz w:val="18"/>
          <w:szCs w:val="18"/>
          <w:color w:val="auto"/>
        </w:rPr>
        <w:t>,” and the Existing Credit Agreement as amended hereby, the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w:t>
      </w:r>
    </w:p>
    <w:p>
      <w:pPr>
        <w:spacing w:after="0" w:line="17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(i) desires to enter into an Acquisition (the “</w:t>
      </w:r>
      <w:r>
        <w:rPr>
          <w:rFonts w:ascii="Arial" w:cs="Arial" w:eastAsia="Arial" w:hAnsi="Arial"/>
          <w:sz w:val="18"/>
          <w:szCs w:val="18"/>
          <w:b w:val="1"/>
          <w:bCs w:val="1"/>
          <w:i w:val="1"/>
          <w:iCs w:val="1"/>
          <w:color w:val="auto"/>
        </w:rPr>
        <w:t>Eyevance Acquisition</w:t>
      </w:r>
      <w:r>
        <w:rPr>
          <w:rFonts w:ascii="Arial" w:cs="Arial" w:eastAsia="Arial" w:hAnsi="Arial"/>
          <w:sz w:val="18"/>
          <w:szCs w:val="18"/>
          <w:color w:val="auto"/>
        </w:rPr>
        <w:t>”) of certain assets pursuant to (A) an Asset</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Agreement dated as of the date hereof (the “</w:t>
      </w:r>
      <w:r>
        <w:rPr>
          <w:rFonts w:ascii="Arial" w:cs="Arial" w:eastAsia="Arial" w:hAnsi="Arial"/>
          <w:sz w:val="18"/>
          <w:szCs w:val="18"/>
          <w:b w:val="1"/>
          <w:bCs w:val="1"/>
          <w:i w:val="1"/>
          <w:iCs w:val="1"/>
          <w:color w:val="auto"/>
        </w:rPr>
        <w:t>Eyevance APA</w:t>
      </w:r>
      <w:r>
        <w:rPr>
          <w:rFonts w:ascii="Arial" w:cs="Arial" w:eastAsia="Arial" w:hAnsi="Arial"/>
          <w:sz w:val="18"/>
          <w:szCs w:val="18"/>
          <w:color w:val="auto"/>
        </w:rPr>
        <w:t>”), by and between the Borrower, Harrow Eye, LLC, a Delaware limited liability company (“</w:t>
      </w:r>
      <w:r>
        <w:rPr>
          <w:rFonts w:ascii="Arial" w:cs="Arial" w:eastAsia="Arial" w:hAnsi="Arial"/>
          <w:sz w:val="18"/>
          <w:szCs w:val="18"/>
          <w:b w:val="1"/>
          <w:bCs w:val="1"/>
          <w:i w:val="1"/>
          <w:iCs w:val="1"/>
          <w:color w:val="auto"/>
        </w:rPr>
        <w:t>Harrow Eye</w:t>
      </w:r>
      <w:r>
        <w:rPr>
          <w:rFonts w:ascii="Arial" w:cs="Arial" w:eastAsia="Arial" w:hAnsi="Arial"/>
          <w:sz w:val="18"/>
          <w:szCs w:val="18"/>
          <w:color w:val="auto"/>
        </w:rPr>
        <w:t>”), Harrow IP, LLC, a Delaware limited liability company (“</w:t>
      </w:r>
      <w:r>
        <w:rPr>
          <w:rFonts w:ascii="Arial" w:cs="Arial" w:eastAsia="Arial" w:hAnsi="Arial"/>
          <w:sz w:val="18"/>
          <w:szCs w:val="18"/>
          <w:b w:val="1"/>
          <w:bCs w:val="1"/>
          <w:i w:val="1"/>
          <w:iCs w:val="1"/>
          <w:color w:val="auto"/>
        </w:rPr>
        <w:t>Harrow IP</w:t>
      </w:r>
      <w:r>
        <w:rPr>
          <w:rFonts w:ascii="Arial" w:cs="Arial" w:eastAsia="Arial" w:hAnsi="Arial"/>
          <w:sz w:val="18"/>
          <w:szCs w:val="18"/>
          <w:color w:val="auto"/>
        </w:rPr>
        <w:t>”), and Eyevance Pharmaceuticals LLC, a Delaware limited liability company, and (B) a License Agreement dated as of the date hereof (the “</w:t>
      </w:r>
      <w:r>
        <w:rPr>
          <w:rFonts w:ascii="Arial" w:cs="Arial" w:eastAsia="Arial" w:hAnsi="Arial"/>
          <w:sz w:val="18"/>
          <w:szCs w:val="18"/>
          <w:b w:val="1"/>
          <w:bCs w:val="1"/>
          <w:i w:val="1"/>
          <w:iCs w:val="1"/>
          <w:color w:val="auto"/>
        </w:rPr>
        <w:t>Eyevance Licensing Agreement</w:t>
      </w:r>
      <w:r>
        <w:rPr>
          <w:rFonts w:ascii="Arial" w:cs="Arial" w:eastAsia="Arial" w:hAnsi="Arial"/>
          <w:sz w:val="18"/>
          <w:szCs w:val="18"/>
          <w:color w:val="auto"/>
        </w:rPr>
        <w:t>” and together with the Eyevance APA, the “</w:t>
      </w:r>
      <w:r>
        <w:rPr>
          <w:rFonts w:ascii="Arial" w:cs="Arial" w:eastAsia="Arial" w:hAnsi="Arial"/>
          <w:sz w:val="18"/>
          <w:szCs w:val="18"/>
          <w:b w:val="1"/>
          <w:bCs w:val="1"/>
          <w:i w:val="1"/>
          <w:iCs w:val="1"/>
          <w:color w:val="auto"/>
        </w:rPr>
        <w:t>Eyevance Acquisition Agreements</w:t>
      </w:r>
      <w:r>
        <w:rPr>
          <w:rFonts w:ascii="Arial" w:cs="Arial" w:eastAsia="Arial" w:hAnsi="Arial"/>
          <w:sz w:val="18"/>
          <w:szCs w:val="18"/>
          <w:color w:val="auto"/>
        </w:rPr>
        <w:t>”), by and among the Borrower, Harrow Eye and Harrow IP, and Santen S.A.S., a corporation organized and existing under the laws of France and (ii) has entered into a Licensing Agreement dated as of June 6, 2023 (the “</w:t>
      </w:r>
      <w:r>
        <w:rPr>
          <w:rFonts w:ascii="Arial" w:cs="Arial" w:eastAsia="Arial" w:hAnsi="Arial"/>
          <w:sz w:val="18"/>
          <w:szCs w:val="18"/>
          <w:b w:val="1"/>
          <w:bCs w:val="1"/>
          <w:i w:val="1"/>
          <w:iCs w:val="1"/>
          <w:color w:val="auto"/>
        </w:rPr>
        <w:t>Novaliq Licensing Agreement</w:t>
      </w:r>
      <w:r>
        <w:rPr>
          <w:rFonts w:ascii="Arial" w:cs="Arial" w:eastAsia="Arial" w:hAnsi="Arial"/>
          <w:sz w:val="18"/>
          <w:szCs w:val="18"/>
          <w:color w:val="auto"/>
        </w:rPr>
        <w:t>”, and the transactions contemplated therein are collectively referred to as the “</w:t>
      </w:r>
      <w:r>
        <w:rPr>
          <w:rFonts w:ascii="Arial" w:cs="Arial" w:eastAsia="Arial" w:hAnsi="Arial"/>
          <w:sz w:val="18"/>
          <w:szCs w:val="18"/>
          <w:b w:val="1"/>
          <w:bCs w:val="1"/>
          <w:i w:val="1"/>
          <w:iCs w:val="1"/>
          <w:color w:val="auto"/>
        </w:rPr>
        <w:t>Novaliq Transaction</w:t>
      </w:r>
      <w:r>
        <w:rPr>
          <w:rFonts w:ascii="Arial" w:cs="Arial" w:eastAsia="Arial" w:hAnsi="Arial"/>
          <w:sz w:val="18"/>
          <w:szCs w:val="18"/>
          <w:color w:val="auto"/>
        </w:rPr>
        <w:t>”), by and between Harrow and Novaliq GMBH, whereby Harrow will acquire an exclusive license to develop, manufacture and commercialize the Licensed Product (as defined in the Novaliq Licensing Agreement);</w:t>
      </w:r>
    </w:p>
    <w:p>
      <w:pPr>
        <w:spacing w:after="0" w:line="188"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Eyevance Acquisition, the Borrower has requested that (i) the Lenders make available Incremental</w:t>
      </w:r>
      <w:r>
        <w:rPr>
          <w:rFonts w:ascii="Arial" w:cs="Arial" w:eastAsia="Arial" w:hAnsi="Arial"/>
          <w:sz w:val="18"/>
          <w:szCs w:val="18"/>
          <w:b w:val="1"/>
          <w:bCs w:val="1"/>
          <w:color w:val="auto"/>
        </w:rPr>
        <w:t xml:space="preserve"> </w:t>
      </w:r>
      <w:r>
        <w:rPr>
          <w:rFonts w:ascii="Arial" w:cs="Arial" w:eastAsia="Arial" w:hAnsi="Arial"/>
          <w:sz w:val="18"/>
          <w:szCs w:val="18"/>
          <w:color w:val="auto"/>
        </w:rPr>
        <w:t>Tranche A Commitments (as defined in the Credit Agreement) and (ii) the Administrative Agent and the Lenders agree to certain other amendments to the Existing Credit Agreement, as more fully set forth in this Amendment;</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has also requested that the Administrative Agent and the Majority Lenders consent to the Novaliq</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Transaction; and</w:t>
      </w:r>
    </w:p>
    <w:p>
      <w:pPr>
        <w:spacing w:after="0" w:line="207"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upon the terms and conditions set forth herein, (i) the Administrative Agent and the Lenders are willing to amend the</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Credit Agreement and (ii) the Administrative Agent and the Majority Lenders are willing to consent to the Novaliq Transaction on the terms and subject to the conditions set forth in this Amendment.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ind w:firstLine="1296"/>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mutual covenants herein contained,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hereby agree as follows:</w:t>
      </w:r>
    </w:p>
    <w:p>
      <w:pPr>
        <w:spacing w:after="0" w:line="166" w:lineRule="exact"/>
        <w:rPr>
          <w:sz w:val="20"/>
          <w:szCs w:val="20"/>
          <w:color w:val="auto"/>
        </w:rPr>
      </w:pPr>
    </w:p>
    <w:p>
      <w:pPr>
        <w:ind w:firstLine="656"/>
        <w:spacing w:after="0" w:line="277" w:lineRule="auto"/>
        <w:tabs>
          <w:tab w:leader="none" w:pos="865"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All initially capitalized terms used herein (including the preamble and recitals hereof) without definition shall have the meanings ascribed thereto in the Credit Agreement.</w:t>
      </w:r>
    </w:p>
    <w:p>
      <w:pPr>
        <w:spacing w:after="0" w:line="170" w:lineRule="exact"/>
        <w:rPr>
          <w:rFonts w:ascii="Arial" w:cs="Arial" w:eastAsia="Arial" w:hAnsi="Arial"/>
          <w:sz w:val="18"/>
          <w:szCs w:val="18"/>
          <w:color w:val="auto"/>
        </w:rPr>
      </w:pPr>
    </w:p>
    <w:p>
      <w:pPr>
        <w:ind w:firstLine="656"/>
        <w:spacing w:after="0" w:line="277" w:lineRule="auto"/>
        <w:tabs>
          <w:tab w:leader="none" w:pos="819"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Amendments to Existing Credit Agreement</w:t>
      </w:r>
      <w:r>
        <w:rPr>
          <w:rFonts w:ascii="Arial" w:cs="Arial" w:eastAsia="Arial" w:hAnsi="Arial"/>
          <w:sz w:val="18"/>
          <w:szCs w:val="18"/>
          <w:color w:val="auto"/>
        </w:rPr>
        <w:t xml:space="preserve">. Subject to the satisfaction (or waiver in writing by the Administrative Agent and the Lenders) of the conditions precedent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w:t>
      </w:r>
    </w:p>
    <w:p>
      <w:pPr>
        <w:spacing w:after="0" w:line="170" w:lineRule="exact"/>
        <w:rPr>
          <w:rFonts w:ascii="Arial" w:cs="Arial" w:eastAsia="Arial" w:hAnsi="Arial"/>
          <w:sz w:val="18"/>
          <w:szCs w:val="18"/>
          <w:color w:val="auto"/>
        </w:rPr>
      </w:pPr>
    </w:p>
    <w:p>
      <w:pPr>
        <w:jc w:val="both"/>
        <w:ind w:firstLine="980"/>
        <w:spacing w:after="0" w:line="259" w:lineRule="auto"/>
        <w:tabs>
          <w:tab w:leader="none" w:pos="1225" w:val="left"/>
        </w:tabs>
        <w:numPr>
          <w:ilvl w:val="2"/>
          <w:numId w:val="16"/>
        </w:numPr>
        <w:rPr>
          <w:rFonts w:ascii="Arial" w:cs="Arial" w:eastAsia="Arial" w:hAnsi="Arial"/>
          <w:sz w:val="18"/>
          <w:szCs w:val="18"/>
          <w:color w:val="auto"/>
        </w:rPr>
      </w:pPr>
      <w:r>
        <w:rPr>
          <w:rFonts w:ascii="Arial" w:cs="Arial" w:eastAsia="Arial" w:hAnsi="Arial"/>
          <w:sz w:val="18"/>
          <w:szCs w:val="18"/>
          <w:color w:val="auto"/>
        </w:rPr>
        <w:t xml:space="preserve">the Existing Credit Agreement (including Schedule 1 thereto, but not the other schedules and exhibits attached thereto) shall be amended to delete the stricken text (indicated textually in the same manner as the following example: </w:t>
      </w:r>
      <w:r>
        <w:rPr>
          <w:rFonts w:ascii="Arial" w:cs="Arial" w:eastAsia="Arial" w:hAnsi="Arial"/>
          <w:sz w:val="18"/>
          <w:szCs w:val="18"/>
          <w:color w:val="auto"/>
          <w:strike w:val="1"/>
        </w:rPr>
        <w:t>stricken text</w:t>
      </w:r>
      <w:r>
        <w:rPr>
          <w:rFonts w:ascii="Arial" w:cs="Arial" w:eastAsia="Arial" w:hAnsi="Arial"/>
          <w:sz w:val="18"/>
          <w:szCs w:val="18"/>
          <w:color w:val="auto"/>
        </w:rPr>
        <w:t xml:space="preserve">) and to add the bold and double-underlined text (indicated textually in the same manner as the following example: </w:t>
      </w:r>
      <w:r>
        <w:rPr>
          <w:rFonts w:ascii="Arial" w:cs="Arial" w:eastAsia="Arial" w:hAnsi="Arial"/>
          <w:sz w:val="18"/>
          <w:szCs w:val="18"/>
          <w:b w:val="1"/>
          <w:bCs w:val="1"/>
          <w:u w:val="single" w:color="auto"/>
          <w:color w:val="auto"/>
        </w:rPr>
        <w:t>bold and double-underlined text</w:t>
      </w:r>
      <w:r>
        <w:rPr>
          <w:rFonts w:ascii="Arial" w:cs="Arial" w:eastAsia="Arial" w:hAnsi="Arial"/>
          <w:sz w:val="18"/>
          <w:szCs w:val="18"/>
          <w:color w:val="auto"/>
        </w:rPr>
        <w:t xml:space="preserve">) as set forth on the pages of the Credit Agreement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and</w:t>
      </w:r>
    </w:p>
    <w:p>
      <w:pPr>
        <w:spacing w:after="0" w:line="186" w:lineRule="exact"/>
        <w:rPr>
          <w:rFonts w:ascii="Arial" w:cs="Arial" w:eastAsia="Arial" w:hAnsi="Arial"/>
          <w:sz w:val="18"/>
          <w:szCs w:val="18"/>
          <w:color w:val="auto"/>
        </w:rPr>
      </w:pPr>
    </w:p>
    <w:p>
      <w:pPr>
        <w:ind w:firstLine="980"/>
        <w:spacing w:after="0" w:line="277" w:lineRule="auto"/>
        <w:tabs>
          <w:tab w:leader="none" w:pos="1228" w:val="left"/>
        </w:tabs>
        <w:numPr>
          <w:ilvl w:val="2"/>
          <w:numId w:val="16"/>
        </w:numPr>
        <w:rPr>
          <w:rFonts w:ascii="Arial" w:cs="Arial" w:eastAsia="Arial" w:hAnsi="Arial"/>
          <w:sz w:val="18"/>
          <w:szCs w:val="18"/>
          <w:color w:val="auto"/>
        </w:rPr>
      </w:pPr>
      <w:r>
        <w:rPr>
          <w:rFonts w:ascii="Arial" w:cs="Arial" w:eastAsia="Arial" w:hAnsi="Arial"/>
          <w:sz w:val="18"/>
          <w:szCs w:val="18"/>
          <w:color w:val="auto"/>
        </w:rPr>
        <w:t xml:space="preserve">Exhibit B, Exhibit C, Exhibit H and Exhibit K of the Existing Credit Agreement shall be amended and restated in their entirety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K</w:t>
      </w:r>
      <w:r>
        <w:rPr>
          <w:rFonts w:ascii="Arial" w:cs="Arial" w:eastAsia="Arial" w:hAnsi="Arial"/>
          <w:sz w:val="18"/>
          <w:szCs w:val="18"/>
          <w:color w:val="auto"/>
        </w:rPr>
        <w:t>, as applicable.</w:t>
      </w:r>
    </w:p>
    <w:p>
      <w:pPr>
        <w:spacing w:after="0" w:line="170" w:lineRule="exact"/>
        <w:rPr>
          <w:rFonts w:ascii="Arial" w:cs="Arial" w:eastAsia="Arial" w:hAnsi="Arial"/>
          <w:sz w:val="18"/>
          <w:szCs w:val="18"/>
          <w:color w:val="auto"/>
        </w:rPr>
      </w:pPr>
    </w:p>
    <w:p>
      <w:pPr>
        <w:jc w:val="both"/>
        <w:ind w:firstLine="656"/>
        <w:spacing w:after="0" w:line="296" w:lineRule="auto"/>
        <w:tabs>
          <w:tab w:leader="none" w:pos="833"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Consent</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14.04</w:t>
      </w:r>
      <w:r>
        <w:rPr>
          <w:rFonts w:ascii="Arial" w:cs="Arial" w:eastAsia="Arial" w:hAnsi="Arial"/>
          <w:sz w:val="16"/>
          <w:szCs w:val="16"/>
          <w:color w:val="auto"/>
        </w:rPr>
        <w:t xml:space="preserve"> of the Credit Agreement, the Majority Lenders and the Administrative Agent hereby consent to the Novaliq Transaction, which such transaction shall constitute a Permitted Acquisition for all purposes of the Credit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the Borrower and the Guarantors hereby agree that no payments shall be made by the Borrower (or any Affiliate thereof) under the Novaliq License Agreement other than the First Upfront Payment (as defined in the Novaliq License Agreement) until the Borrower has received no less than $20,000,000 of gross proceeds from an offering of the Borrower’s common stock, and provided the Administrative Agent of written notice of the same.</w:t>
      </w:r>
    </w:p>
    <w:p>
      <w:pPr>
        <w:spacing w:after="0" w:line="161" w:lineRule="exact"/>
        <w:rPr>
          <w:rFonts w:ascii="Arial" w:cs="Arial" w:eastAsia="Arial" w:hAnsi="Arial"/>
          <w:sz w:val="16"/>
          <w:szCs w:val="16"/>
          <w:color w:val="auto"/>
        </w:rPr>
      </w:pPr>
    </w:p>
    <w:p>
      <w:pPr>
        <w:ind w:firstLine="656"/>
        <w:spacing w:after="0" w:line="277" w:lineRule="auto"/>
        <w:tabs>
          <w:tab w:leader="none" w:pos="839"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Conditions Precedent to Amendment</w:t>
      </w:r>
      <w:r>
        <w:rPr>
          <w:rFonts w:ascii="Arial" w:cs="Arial" w:eastAsia="Arial" w:hAnsi="Arial"/>
          <w:sz w:val="18"/>
          <w:szCs w:val="18"/>
          <w:color w:val="auto"/>
        </w:rPr>
        <w:t>. The effectiveness of this Amendment is conditioned on the satisfaction in full, or waiver, of each of the following conditions precedent:</w:t>
      </w:r>
    </w:p>
    <w:p>
      <w:pPr>
        <w:spacing w:after="0" w:line="170" w:lineRule="exact"/>
        <w:rPr>
          <w:rFonts w:ascii="Arial" w:cs="Arial" w:eastAsia="Arial" w:hAnsi="Arial"/>
          <w:sz w:val="18"/>
          <w:szCs w:val="18"/>
          <w:color w:val="auto"/>
        </w:rPr>
      </w:pPr>
    </w:p>
    <w:p>
      <w:pPr>
        <w:jc w:val="both"/>
        <w:ind w:firstLine="980"/>
        <w:spacing w:after="0" w:line="259" w:lineRule="auto"/>
        <w:tabs>
          <w:tab w:leader="none" w:pos="1222"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the Administrative Agent shall have received executed counterparts of this Amendment and the Fee Letter, dated the date hereof, between the Borrower and the Administrative Agent (the “</w:t>
      </w:r>
      <w:r>
        <w:rPr>
          <w:rFonts w:ascii="Arial" w:cs="Arial" w:eastAsia="Arial" w:hAnsi="Arial"/>
          <w:sz w:val="18"/>
          <w:szCs w:val="18"/>
          <w:b w:val="1"/>
          <w:bCs w:val="1"/>
          <w:i w:val="1"/>
          <w:iCs w:val="1"/>
          <w:color w:val="auto"/>
        </w:rPr>
        <w:t>Fee Letter</w:t>
      </w:r>
      <w:r>
        <w:rPr>
          <w:rFonts w:ascii="Arial" w:cs="Arial" w:eastAsia="Arial" w:hAnsi="Arial"/>
          <w:sz w:val="18"/>
          <w:szCs w:val="18"/>
          <w:color w:val="auto"/>
        </w:rPr>
        <w:t>”), duly executed by the appropriate Obligor on the First Amendment Effective Date, and delivered by each applicable Obligor in such number as reasonably requested by the Administrative Agent (which may be delivered by electronic means for the purposes of satisfying this clause (a) on the First Amendment Effective Date);</w:t>
      </w:r>
    </w:p>
    <w:p>
      <w:pPr>
        <w:spacing w:after="0" w:line="186" w:lineRule="exact"/>
        <w:rPr>
          <w:rFonts w:ascii="Arial" w:cs="Arial" w:eastAsia="Arial" w:hAnsi="Arial"/>
          <w:sz w:val="18"/>
          <w:szCs w:val="18"/>
          <w:color w:val="auto"/>
        </w:rPr>
      </w:pPr>
    </w:p>
    <w:p>
      <w:pPr>
        <w:jc w:val="both"/>
        <w:ind w:firstLine="980"/>
        <w:spacing w:after="0" w:line="283" w:lineRule="auto"/>
        <w:tabs>
          <w:tab w:leader="none" w:pos="1228" w:val="left"/>
        </w:tabs>
        <w:numPr>
          <w:ilvl w:val="2"/>
          <w:numId w:val="16"/>
        </w:numPr>
        <w:rPr>
          <w:rFonts w:ascii="Arial" w:cs="Arial" w:eastAsia="Arial" w:hAnsi="Arial"/>
          <w:sz w:val="16"/>
          <w:szCs w:val="16"/>
          <w:color w:val="auto"/>
        </w:rPr>
      </w:pPr>
      <w:r>
        <w:rPr>
          <w:rFonts w:ascii="Arial" w:cs="Arial" w:eastAsia="Arial" w:hAnsi="Arial"/>
          <w:sz w:val="16"/>
          <w:szCs w:val="16"/>
          <w:color w:val="auto"/>
        </w:rPr>
        <w:t>the Administrative Agent shall have received a certificate, dated as of the First Amendment Effective Date, duly executed and delivered by a Responsible Officer of each Obligor (i) attaching (A) a true, correct and complete copy of the Eyevance Acquisition Agreements (including all schedules, annexes, exhibits and other attachments thereto), and all other material related documents, (B) resolutions of each Obligor’s Board then in full force and effect authorizing the execution, delivery and performance of this Amendment, the Fee Letter (if applicable), and the transactions contemplated hereby and thereby (including, in the case of the Borrower, the borrowing of the Incremental Tranche A Loans), (C) each Organic Document of such Obligor (or a certification that there have been no modifications thereof since the delivery thereof to Administrative Agent on the Closing Date), and certifying as to the full force and validity thereof, (D) the incumbency and signatures of Responsible Officers authorized to execute and deliver each Loan Document to be executed by such Obligor (or a certification that there have been no changes thereto since the delivery to Administrative Agent of the incumbency on the Closing Date) and (E) a copy of a good standing certificate, dated a date reasonably close to the First Amendment Effective Date, for each such Obligor and</w:t>
      </w:r>
    </w:p>
    <w:p>
      <w:pPr>
        <w:spacing w:after="0" w:line="5" w:lineRule="exact"/>
        <w:rPr>
          <w:rFonts w:ascii="Arial" w:cs="Arial" w:eastAsia="Arial" w:hAnsi="Arial"/>
          <w:sz w:val="16"/>
          <w:szCs w:val="16"/>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certifying as to clauses (d) and (e) of this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ind w:firstLine="980"/>
        <w:spacing w:after="0" w:line="308" w:lineRule="auto"/>
        <w:tabs>
          <w:tab w:leader="none" w:pos="1239"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Administrative Agent shall have received duly executed legal opinions of counsel to the Obligors (including, as appropriate, local counsel to the Obligors) dated as of the First Amendment Effective Date, in form and substance reasonably acceptable to the Administrative Agent;</w:t>
      </w:r>
    </w:p>
    <w:p>
      <w:pPr>
        <w:spacing w:after="0" w:line="146" w:lineRule="exact"/>
        <w:rPr>
          <w:rFonts w:ascii="Arial" w:cs="Arial" w:eastAsia="Arial" w:hAnsi="Arial"/>
          <w:sz w:val="17"/>
          <w:szCs w:val="17"/>
          <w:color w:val="auto"/>
        </w:rPr>
      </w:pPr>
    </w:p>
    <w:p>
      <w:pPr>
        <w:ind w:left="1240" w:hanging="260"/>
        <w:spacing w:after="0"/>
        <w:tabs>
          <w:tab w:leader="none" w:pos="12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 xml:space="preserve">each of the representations and warranties contained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of this Amendment shall be true and correct as of the date hereof;</w:t>
      </w:r>
    </w:p>
    <w:p>
      <w:pPr>
        <w:spacing w:after="0" w:line="236" w:lineRule="exact"/>
        <w:rPr>
          <w:rFonts w:ascii="Arial" w:cs="Arial" w:eastAsia="Arial" w:hAnsi="Arial"/>
          <w:sz w:val="17"/>
          <w:szCs w:val="17"/>
          <w:color w:val="auto"/>
        </w:rPr>
      </w:pPr>
    </w:p>
    <w:p>
      <w:pPr>
        <w:ind w:firstLine="980"/>
        <w:spacing w:after="0" w:line="277" w:lineRule="auto"/>
        <w:tabs>
          <w:tab w:leader="none" w:pos="1225" w:val="left"/>
        </w:tabs>
        <w:numPr>
          <w:ilvl w:val="1"/>
          <w:numId w:val="18"/>
        </w:numPr>
        <w:rPr>
          <w:rFonts w:ascii="Arial" w:cs="Arial" w:eastAsia="Arial" w:hAnsi="Arial"/>
          <w:sz w:val="18"/>
          <w:szCs w:val="18"/>
          <w:color w:val="auto"/>
        </w:rPr>
      </w:pPr>
      <w:r>
        <w:rPr>
          <w:rFonts w:ascii="Arial" w:cs="Arial" w:eastAsia="Arial" w:hAnsi="Arial"/>
          <w:sz w:val="18"/>
          <w:szCs w:val="18"/>
          <w:color w:val="auto"/>
        </w:rPr>
        <w:t>both before and after giving effect to this Amendment, no event shall have occurred and be continuing that would constitute a Default or Event of Default; and</w:t>
      </w:r>
    </w:p>
    <w:p>
      <w:pPr>
        <w:spacing w:after="0" w:line="170" w:lineRule="exact"/>
        <w:rPr>
          <w:rFonts w:ascii="Arial" w:cs="Arial" w:eastAsia="Arial" w:hAnsi="Arial"/>
          <w:sz w:val="18"/>
          <w:szCs w:val="18"/>
          <w:color w:val="auto"/>
        </w:rPr>
      </w:pPr>
    </w:p>
    <w:p>
      <w:pPr>
        <w:jc w:val="both"/>
        <w:ind w:firstLine="980"/>
        <w:spacing w:after="0" w:line="293" w:lineRule="auto"/>
        <w:tabs>
          <w:tab w:leader="none" w:pos="1203"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each of the Administrative Agent and each Lender shall have received for its own account (i) the upfront fee in respect of the Incremental Tranche A Commitment, as set forth in the Fee Letter and (ii) all fees, costs and expenses due and payable to it pursuant to the Fee Letter and </w:t>
      </w:r>
      <w:r>
        <w:rPr>
          <w:rFonts w:ascii="Arial" w:cs="Arial" w:eastAsia="Arial" w:hAnsi="Arial"/>
          <w:sz w:val="16"/>
          <w:szCs w:val="16"/>
          <w:u w:val="single" w:color="auto"/>
          <w:color w:val="auto"/>
        </w:rPr>
        <w:t>Section 14.03</w:t>
      </w:r>
      <w:r>
        <w:rPr>
          <w:rFonts w:ascii="Arial" w:cs="Arial" w:eastAsia="Arial" w:hAnsi="Arial"/>
          <w:sz w:val="16"/>
          <w:szCs w:val="16"/>
          <w:color w:val="auto"/>
        </w:rPr>
        <w:t xml:space="preserve"> of the Credit Agreement, including all reasonable closing costs and fees and all unpaid reasonable and documented expenses of the Administrative Agent incurred in connection with this Amendment (including the Administrative Agent’s reasonable and documented legal fees and expenses), plus fees and expenses of any local counsel, plus all collateral filing fees and security fees, in each case, to the extent invoiced (or as to which a good faith estimate has been provided to the Borrower) at least two (2) Business Days prior to the First Amendment Effective Date.</w:t>
      </w:r>
    </w:p>
    <w:p>
      <w:pPr>
        <w:spacing w:after="0" w:line="164" w:lineRule="exact"/>
        <w:rPr>
          <w:rFonts w:ascii="Arial" w:cs="Arial" w:eastAsia="Arial" w:hAnsi="Arial"/>
          <w:sz w:val="16"/>
          <w:szCs w:val="16"/>
          <w:color w:val="auto"/>
        </w:rPr>
      </w:pPr>
    </w:p>
    <w:p>
      <w:pPr>
        <w:ind w:firstLine="656"/>
        <w:spacing w:after="0" w:line="277" w:lineRule="auto"/>
        <w:tabs>
          <w:tab w:leader="none" w:pos="83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the Borrower and each Guarantor hereby represents and warrants to the Administrative Agent and the Lenders as follows:</w:t>
      </w:r>
    </w:p>
    <w:p>
      <w:pPr>
        <w:spacing w:after="0" w:line="170" w:lineRule="exact"/>
        <w:rPr>
          <w:rFonts w:ascii="Arial" w:cs="Arial" w:eastAsia="Arial" w:hAnsi="Arial"/>
          <w:sz w:val="18"/>
          <w:szCs w:val="18"/>
          <w:color w:val="auto"/>
        </w:rPr>
      </w:pPr>
    </w:p>
    <w:p>
      <w:pPr>
        <w:jc w:val="both"/>
        <w:ind w:firstLine="980"/>
        <w:spacing w:after="0" w:line="254" w:lineRule="auto"/>
        <w:tabs>
          <w:tab w:leader="none" w:pos="1221"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execution, delivery and performance of this Amendment and the Fee Letter and such Obligor’s obligations hereunder and thereunder are within such Obligor’s corporate or other organizational powers and have been duly authorized by all necessary corporate or other organizational action including, if required, approval by all necessary holders of its Equity Interests. Each of this Amendment and the Fee Letter has been duly executed and delivered by each Obligor that is a party thereto and constitutes, a legal, valid and binding obligation of such Obligor, enforceable against such Obligor in accordance with its terms, except as such enforceability may be limited by (i) bankruptcy, insolvency, reorganization, moratorium or similar laws of general applicability affecting the enforcement of creditors’ rights and (ii) the application of general principles of equity (regardless of whether such enforceability is considered in a proceeding in equity or at law).</w:t>
      </w:r>
    </w:p>
    <w:p>
      <w:pPr>
        <w:spacing w:after="0" w:line="194" w:lineRule="exact"/>
        <w:rPr>
          <w:rFonts w:ascii="Arial" w:cs="Arial" w:eastAsia="Arial" w:hAnsi="Arial"/>
          <w:sz w:val="18"/>
          <w:szCs w:val="18"/>
          <w:color w:val="auto"/>
        </w:rPr>
      </w:pPr>
    </w:p>
    <w:p>
      <w:pPr>
        <w:jc w:val="both"/>
        <w:ind w:firstLine="980"/>
        <w:spacing w:after="0" w:line="257" w:lineRule="auto"/>
        <w:tabs>
          <w:tab w:leader="none" w:pos="1225"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representations and warranties contained in the Credit Agreement and in the other Loan Documents are true and correct in all material respects (unless such representations are already qualified by reference to materiality, Material Adverse Effect or similar language, in which case such representations and warranties are be true and correct in all respects) on and as of the First Amendment Effective Date, except to the extent such representations and warranties specifically relate to an earlier date, in which case such representations and warranties were been true and correct in all material respects on and as of such earlier date.</w:t>
      </w:r>
    </w:p>
    <w:p>
      <w:pPr>
        <w:spacing w:after="0" w:line="183" w:lineRule="exact"/>
        <w:rPr>
          <w:rFonts w:ascii="Arial" w:cs="Arial" w:eastAsia="Arial" w:hAnsi="Arial"/>
          <w:sz w:val="18"/>
          <w:szCs w:val="18"/>
          <w:color w:val="auto"/>
        </w:rPr>
      </w:pPr>
    </w:p>
    <w:p>
      <w:pPr>
        <w:jc w:val="both"/>
        <w:ind w:firstLine="656"/>
        <w:spacing w:after="0" w:line="261" w:lineRule="auto"/>
        <w:tabs>
          <w:tab w:leader="none" w:pos="848"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JURISDICTION; ETC.; WAIVER OF RIGHT TO TRIAL BY JURY; AND JUDGMENT CURRENCY</w:t>
      </w:r>
      <w:r>
        <w:rPr>
          <w:rFonts w:ascii="Arial" w:cs="Arial" w:eastAsia="Arial" w:hAnsi="Arial"/>
          <w:sz w:val="18"/>
          <w:szCs w:val="18"/>
          <w:b w:val="1"/>
          <w:bCs w:val="1"/>
          <w:color w:val="auto"/>
        </w:rPr>
        <w:t xml:space="preserve">. THIS AMENDMENT SHALL BE SUBJECT TO THE PROVISIONS REGARDING GOVERNING LAW; JURISDICTION; ETC.; WAIVER OF RIGHT TO TRIAL BY JURY; AND JUDGMENT CURRENCY SET FORTH IN </w:t>
      </w:r>
      <w:r>
        <w:rPr>
          <w:rFonts w:ascii="Arial" w:cs="Arial" w:eastAsia="Arial" w:hAnsi="Arial"/>
          <w:sz w:val="18"/>
          <w:szCs w:val="18"/>
          <w:b w:val="1"/>
          <w:bCs w:val="1"/>
          <w:u w:val="single" w:color="auto"/>
          <w:color w:val="auto"/>
        </w:rPr>
        <w:t>SECTIONS 14.09</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14.10</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14.11</w:t>
      </w:r>
      <w:r>
        <w:rPr>
          <w:rFonts w:ascii="Arial" w:cs="Arial" w:eastAsia="Arial" w:hAnsi="Arial"/>
          <w:sz w:val="18"/>
          <w:szCs w:val="18"/>
          <w:b w:val="1"/>
          <w:bCs w:val="1"/>
          <w:color w:val="auto"/>
        </w:rPr>
        <w:t xml:space="preserve"> AND </w:t>
      </w:r>
      <w:r>
        <w:rPr>
          <w:rFonts w:ascii="Arial" w:cs="Arial" w:eastAsia="Arial" w:hAnsi="Arial"/>
          <w:sz w:val="18"/>
          <w:szCs w:val="18"/>
          <w:b w:val="1"/>
          <w:bCs w:val="1"/>
          <w:u w:val="single" w:color="auto"/>
          <w:color w:val="auto"/>
        </w:rPr>
        <w:t>14.18</w:t>
      </w:r>
      <w:r>
        <w:rPr>
          <w:rFonts w:ascii="Arial" w:cs="Arial" w:eastAsia="Arial" w:hAnsi="Arial"/>
          <w:sz w:val="18"/>
          <w:szCs w:val="18"/>
          <w:b w:val="1"/>
          <w:bCs w:val="1"/>
          <w:color w:val="auto"/>
        </w:rPr>
        <w:t xml:space="preserve"> OF THE CREDIT AGREEMENT, AND SUCH PROVISIONS ARE INCORPORATED HEREIN BY THIS REFERENCE, </w:t>
      </w:r>
      <w:r>
        <w:rPr>
          <w:rFonts w:ascii="Arial" w:cs="Arial" w:eastAsia="Arial" w:hAnsi="Arial"/>
          <w:sz w:val="18"/>
          <w:szCs w:val="18"/>
          <w:b w:val="1"/>
          <w:bCs w:val="1"/>
          <w:i w:val="1"/>
          <w:iCs w:val="1"/>
          <w:color w:val="auto"/>
        </w:rPr>
        <w:t>MUTATIS MUTANDIS</w:t>
      </w:r>
      <w:r>
        <w:rPr>
          <w:rFonts w:ascii="Arial" w:cs="Arial" w:eastAsia="Arial" w:hAnsi="Arial"/>
          <w:sz w:val="18"/>
          <w:szCs w:val="18"/>
          <w:b w:val="1"/>
          <w:bCs w:val="1"/>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jc w:val="both"/>
        <w:ind w:firstLine="656"/>
        <w:spacing w:after="0" w:line="253" w:lineRule="auto"/>
        <w:tabs>
          <w:tab w:leader="none" w:pos="843"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Counterpart Execution</w:t>
      </w:r>
      <w:r>
        <w:rPr>
          <w:rFonts w:ascii="Arial" w:cs="Arial" w:eastAsia="Arial" w:hAnsi="Arial"/>
          <w:sz w:val="18"/>
          <w:szCs w:val="18"/>
          <w:color w:val="auto"/>
        </w:rPr>
        <w:t>. This Amendment may be executed in any number of counterparts (including electronic imaging means), all of which taken together shall constitute one and the same instrument and any of the parties hereto may execute this Agreement by signing any such counterpart. Delivery of an executed signature page of this Amendment by electronic transmission (e.g. “pdf” or “tif” format) shall be effective as delivery of a manually executed counterpart hereof.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Administrative Agent, which shall be of the same legal effect, validity or enforceability as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6" w:lineRule="exact"/>
        <w:rPr>
          <w:rFonts w:ascii="Arial" w:cs="Arial" w:eastAsia="Arial" w:hAnsi="Arial"/>
          <w:sz w:val="18"/>
          <w:szCs w:val="18"/>
          <w:color w:val="auto"/>
        </w:rPr>
      </w:pPr>
    </w:p>
    <w:p>
      <w:pPr>
        <w:jc w:val="both"/>
        <w:ind w:firstLine="656"/>
        <w:spacing w:after="0" w:line="287" w:lineRule="auto"/>
        <w:tabs>
          <w:tab w:leader="none" w:pos="829"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Limited Effect</w:t>
      </w:r>
      <w:r>
        <w:rPr>
          <w:rFonts w:ascii="Arial" w:cs="Arial" w:eastAsia="Arial" w:hAnsi="Arial"/>
          <w:sz w:val="16"/>
          <w:szCs w:val="16"/>
          <w:color w:val="auto"/>
        </w:rPr>
        <w:t>. Except as expressly provided herein, the Existing Credit Agreement and the other Loan Documents shall remain unmodified and in full force and effect. This Amendment shall not be deemed (a) to be a waiver of, consent to, or a modification or amendment of any other term or condition of the Existing Credit Agreement or any other Loan Document, (b) to prejudice any right or rights which the Administrative Agent or the Lenders may now have or may have in the future under or in connection with the Credit Agreement or the other Loan Documents or any of the instruments or agreements referred to therein, as the same may be amended, restated, supplemented or modified from time to time, (c) to be a commitment or any other undertaking or expression of any willingness to engage in any further discussion with the Borrower or any of its Subsidiaries or any other Person with respect to any other waiver, amendment, modification or any other change to the Credit Agreement or the other Loan Documents or any rights or remedies arising in favor of the Lenders or the Administrative Agent, or any of them, under or with respect to any such documents or (d) to be a waiver of, or consent to, or a modification or amendment of, any other term or condition of any other agreement by and among the Loan Parties, on the one hand, and the Administrative Agent or any Lender, on the other hand. Without limiting the generality of the foregoing, the execution and delivery of this Amendment shall not constitute a novation of any indebtedness or other obligations owing to the Lenders or the Administrative Agent under the Credit Agreement based on facts or events occurring or existing prior to the execution and delivery of this Amendment.</w:t>
      </w:r>
    </w:p>
    <w:p>
      <w:pPr>
        <w:spacing w:after="0" w:line="167" w:lineRule="exact"/>
        <w:rPr>
          <w:rFonts w:ascii="Arial" w:cs="Arial" w:eastAsia="Arial" w:hAnsi="Arial"/>
          <w:sz w:val="16"/>
          <w:szCs w:val="16"/>
          <w:color w:val="auto"/>
        </w:rPr>
      </w:pPr>
    </w:p>
    <w:p>
      <w:pPr>
        <w:jc w:val="both"/>
        <w:ind w:firstLine="656"/>
        <w:spacing w:after="0" w:line="291" w:lineRule="auto"/>
        <w:tabs>
          <w:tab w:leader="none" w:pos="874"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Each of the Loan Parties hereby releases and forever discharges the Administrative Agent, the Lenders, and their respective predecessors, successors, assigns, officers, managers, directors, employees, agents, attorneys, representatives, and affiliates (hereinafter all of the above collectively referred to as, the “</w:t>
      </w:r>
      <w:r>
        <w:rPr>
          <w:rFonts w:ascii="Arial" w:cs="Arial" w:eastAsia="Arial" w:hAnsi="Arial"/>
          <w:sz w:val="16"/>
          <w:szCs w:val="16"/>
          <w:u w:val="single" w:color="auto"/>
          <w:color w:val="auto"/>
        </w:rPr>
        <w:t>Lender Group</w:t>
      </w:r>
      <w:r>
        <w:rPr>
          <w:rFonts w:ascii="Arial" w:cs="Arial" w:eastAsia="Arial" w:hAnsi="Arial"/>
          <w:sz w:val="16"/>
          <w:szCs w:val="16"/>
          <w:color w:val="auto"/>
        </w:rPr>
        <w:t>”), from any and all claims, counterclaims, demands, damages, debts, suits, liabilities, actions and causes of action of any nature whatsoever, in each case to the extent arising in connection with the Loan Documents or any of the negotiations, activities, events or circumstances arising out of or related to the Loan Documents on or prior to the effectiveness of this Amendment, whether arising at law or in equity, whether known or unknown, whether liability be direct or indirect, liquidated or unliquidated, whether absolute or contingent, foreseen or unforeseen, and whether or not heretofore asserted, which any of the Loan Parties may have or claim to have against any entity within the Lender Group.</w:t>
      </w:r>
    </w:p>
    <w:p>
      <w:pPr>
        <w:spacing w:after="0" w:line="166" w:lineRule="exact"/>
        <w:rPr>
          <w:rFonts w:ascii="Arial" w:cs="Arial" w:eastAsia="Arial" w:hAnsi="Arial"/>
          <w:sz w:val="16"/>
          <w:szCs w:val="16"/>
          <w:color w:val="auto"/>
        </w:rPr>
      </w:pPr>
    </w:p>
    <w:p>
      <w:pPr>
        <w:jc w:val="both"/>
        <w:ind w:firstLine="656"/>
        <w:spacing w:after="0" w:line="255" w:lineRule="auto"/>
        <w:tabs>
          <w:tab w:leader="none" w:pos="92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Acknowledgment and Reaffirmation</w:t>
      </w:r>
      <w:r>
        <w:rPr>
          <w:rFonts w:ascii="Arial" w:cs="Arial" w:eastAsia="Arial" w:hAnsi="Arial"/>
          <w:sz w:val="18"/>
          <w:szCs w:val="18"/>
          <w:color w:val="auto"/>
        </w:rPr>
        <w:t>. By its execution hereof, each of the Loan Parties hereby expressly (a) acknowledges and agrees to the terms and conditions of this Amendment, (b) except as otherwise amended hereby, reaffirms all of its respective covenants and other obligations set forth in the Credit Agreement and the other Loan Documents to which it is a party, (c) ratifies and confirms all security interests previously granted by it to the Administrative Agent for the benefit of the Secured Parties under the Loan Documents, as amended hereby, and (d) acknowledges that its respective covenants and other obligations set forth in the Credit Agreement and the other Loan Documents to which it is a party remain in full force and effect as amended hereby.</w:t>
      </w:r>
    </w:p>
    <w:p>
      <w:pPr>
        <w:spacing w:after="0" w:line="192" w:lineRule="exact"/>
        <w:rPr>
          <w:rFonts w:ascii="Arial" w:cs="Arial" w:eastAsia="Arial" w:hAnsi="Arial"/>
          <w:sz w:val="18"/>
          <w:szCs w:val="18"/>
          <w:color w:val="auto"/>
        </w:rPr>
      </w:pPr>
    </w:p>
    <w:p>
      <w:pPr>
        <w:jc w:val="both"/>
        <w:ind w:firstLine="656"/>
        <w:spacing w:after="0" w:line="263" w:lineRule="auto"/>
        <w:tabs>
          <w:tab w:leader="none" w:pos="91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and the terms and provisions hereof, the Credit Agreement and the other Loan Documents constitute the entire agreement among the parties with respect to the subject matter hereof and thereof and supersede any and all previous agreements and understandings, oral or written, relating to the subject matter hereof, including any confidentiality (or similar) agreements.</w:t>
      </w:r>
    </w:p>
    <w:p>
      <w:pPr>
        <w:spacing w:after="0" w:line="183" w:lineRule="exact"/>
        <w:rPr>
          <w:rFonts w:ascii="Arial" w:cs="Arial" w:eastAsia="Arial" w:hAnsi="Arial"/>
          <w:sz w:val="18"/>
          <w:szCs w:val="18"/>
          <w:color w:val="auto"/>
        </w:rPr>
      </w:pPr>
    </w:p>
    <w:p>
      <w:pPr>
        <w:ind w:firstLine="656"/>
        <w:spacing w:after="0" w:line="277" w:lineRule="auto"/>
        <w:tabs>
          <w:tab w:leader="none" w:pos="927"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hereof is found by a court to be invalid or unenforceable, to the fullest extent permitted by any Law the parties agree that such invalidity or unenforceability shall not impair the validity or enforceability of any other provision hereof.</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2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Loan Document</w:t>
      </w:r>
      <w:r>
        <w:rPr>
          <w:rFonts w:ascii="Arial" w:cs="Arial" w:eastAsia="Arial" w:hAnsi="Arial"/>
          <w:sz w:val="18"/>
          <w:szCs w:val="18"/>
          <w:color w:val="auto"/>
        </w:rPr>
        <w:t>. This Amendment shall constitute a Loan Document for all purposes of the Credit Agreement and the other Loan Documents. Each reference in the Credit Agreement to “this Agreement”, “hereunder”, “hereof”, “herein”, or words of like import, and each reference to the Credit Agreement in any other Loan Document shall be deemed a reference to the Credit Agreement as amended hereby.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color w:val="auto"/>
        </w:rPr>
        <w:t>IN WITNESS WHEREOF, the parties have entered into this Amendment as of the date first above written.</w:t>
      </w:r>
    </w:p>
    <w:p>
      <w:pPr>
        <w:spacing w:after="0" w:line="23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BORROWER:</w:t>
      </w:r>
    </w:p>
    <w:p>
      <w:pPr>
        <w:spacing w:after="0" w:line="2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HARROW HEALTH, INC.</w:t>
      </w:r>
      <w:r>
        <w:rPr>
          <w:rFonts w:ascii="Arial" w:cs="Arial" w:eastAsia="Arial" w:hAnsi="Arial"/>
          <w:sz w:val="18"/>
          <w:szCs w:val="18"/>
          <w:color w:val="auto"/>
        </w:rPr>
        <w:t>,</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4880"/>
        <w:spacing w:after="0"/>
        <w:tabs>
          <w:tab w:leader="none" w:pos="5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-130175</wp:posOffset>
            </wp:positionV>
            <wp:extent cx="330898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08985" cy="17145"/>
                    </a:xfrm>
                    <a:prstGeom prst="rect">
                      <a:avLst/>
                    </a:prstGeom>
                    <a:noFill/>
                  </pic:spPr>
                </pic:pic>
              </a:graphicData>
            </a:graphic>
          </wp:anchor>
        </w:drawing>
      </w:r>
    </w:p>
    <w:p>
      <w:pPr>
        <w:spacing w:after="0" w:line="17"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Title: Chief Financial Officer and Secretary</w:t>
      </w:r>
    </w:p>
    <w:p>
      <w:pPr>
        <w:spacing w:after="0" w:line="22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GUARANTORS</w:t>
      </w:r>
    </w:p>
    <w:p>
      <w:pPr>
        <w:spacing w:after="0" w:line="22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HARROW IP, LLC</w:t>
      </w:r>
      <w:r>
        <w:rPr>
          <w:rFonts w:ascii="Arial" w:cs="Arial" w:eastAsia="Arial" w:hAnsi="Arial"/>
          <w:sz w:val="18"/>
          <w:szCs w:val="18"/>
          <w:color w:val="auto"/>
        </w:rPr>
        <w:t>,</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VISIONOLOGY EQUITY, LLC</w:t>
      </w:r>
      <w:r>
        <w:rPr>
          <w:rFonts w:ascii="Arial" w:cs="Arial" w:eastAsia="Arial" w:hAnsi="Arial"/>
          <w:sz w:val="18"/>
          <w:szCs w:val="18"/>
          <w:color w:val="auto"/>
        </w:rPr>
        <w:t>,</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VISIONOLOGY, INC.</w:t>
      </w:r>
      <w:r>
        <w:rPr>
          <w:rFonts w:ascii="Arial" w:cs="Arial" w:eastAsia="Arial" w:hAnsi="Arial"/>
          <w:sz w:val="18"/>
          <w:szCs w:val="18"/>
          <w:color w:val="auto"/>
        </w:rPr>
        <w:t>,</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 Delaware corporation</w:t>
      </w:r>
    </w:p>
    <w:p>
      <w:pPr>
        <w:spacing w:after="0" w:line="20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VISIONOLOGY MSO, INC.</w:t>
      </w:r>
      <w:r>
        <w:rPr>
          <w:rFonts w:ascii="Arial" w:cs="Arial" w:eastAsia="Arial" w:hAnsi="Arial"/>
          <w:sz w:val="18"/>
          <w:szCs w:val="18"/>
          <w:color w:val="auto"/>
        </w:rPr>
        <w:t>,</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/s/Andrew R. Boll</w:t>
      </w:r>
    </w:p>
    <w:p>
      <w:pPr>
        <w:spacing w:after="0" w:line="3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-130175</wp:posOffset>
            </wp:positionV>
            <wp:extent cx="32061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Secretary</w:t>
      </w:r>
    </w:p>
    <w:p>
      <w:pPr>
        <w:spacing w:after="0" w:line="20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HARROW EYE, LLC</w:t>
      </w:r>
      <w:r>
        <w:rPr>
          <w:rFonts w:ascii="Arial" w:cs="Arial" w:eastAsia="Arial" w:hAnsi="Arial"/>
          <w:sz w:val="18"/>
          <w:szCs w:val="18"/>
          <w:color w:val="auto"/>
        </w:rPr>
        <w:t>,</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4880"/>
        <w:spacing w:after="0"/>
        <w:tabs>
          <w:tab w:leader="none" w:pos="5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-130175</wp:posOffset>
            </wp:positionV>
            <wp:extent cx="330898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08985" cy="17145"/>
                    </a:xfrm>
                    <a:prstGeom prst="rect">
                      <a:avLst/>
                    </a:prstGeom>
                    <a:noFill/>
                  </pic:spPr>
                </pic:pic>
              </a:graphicData>
            </a:graphic>
          </wp:anchor>
        </w:drawing>
      </w:r>
    </w:p>
    <w:p>
      <w:pPr>
        <w:spacing w:after="0" w:line="1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HARROW EYE, LLC</w:t>
      </w:r>
      <w:r>
        <w:rPr>
          <w:rFonts w:ascii="Arial" w:cs="Arial" w:eastAsia="Arial" w:hAnsi="Arial"/>
          <w:sz w:val="18"/>
          <w:szCs w:val="18"/>
          <w:color w:val="auto"/>
        </w:rPr>
        <w:t>,</w:t>
      </w:r>
    </w:p>
    <w:p>
      <w:pPr>
        <w:spacing w:after="0" w:line="4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 Delaware limited liability company</w:t>
      </w:r>
    </w:p>
    <w:p>
      <w:pPr>
        <w:spacing w:after="0" w:line="22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IMPRIMISRX, LLC</w:t>
      </w:r>
      <w:r>
        <w:rPr>
          <w:rFonts w:ascii="Arial" w:cs="Arial" w:eastAsia="Arial" w:hAnsi="Arial"/>
          <w:sz w:val="18"/>
          <w:szCs w:val="18"/>
          <w:color w:val="auto"/>
        </w:rPr>
        <w:t>,</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IMPRIMIS NJOF, LLC</w:t>
      </w:r>
      <w:r>
        <w:rPr>
          <w:rFonts w:ascii="Arial" w:cs="Arial" w:eastAsia="Arial" w:hAnsi="Arial"/>
          <w:sz w:val="18"/>
          <w:szCs w:val="18"/>
          <w:color w:val="auto"/>
        </w:rPr>
        <w:t>,</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 New Jersey limited liability company</w:t>
      </w:r>
    </w:p>
    <w:p>
      <w:pPr>
        <w:spacing w:after="0" w:line="20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IMPRIMISRX NJ, LLC</w:t>
      </w:r>
      <w:r>
        <w:rPr>
          <w:rFonts w:ascii="Arial" w:cs="Arial" w:eastAsia="Arial" w:hAnsi="Arial"/>
          <w:sz w:val="18"/>
          <w:szCs w:val="18"/>
          <w:color w:val="auto"/>
        </w:rPr>
        <w:t>,</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 New Jersey limited liability company</w:t>
      </w:r>
    </w:p>
    <w:p>
      <w:pPr>
        <w:spacing w:after="0" w:line="20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IMPRIMISRX NASHVILLE, LLC</w:t>
      </w:r>
      <w:r>
        <w:rPr>
          <w:rFonts w:ascii="Arial" w:cs="Arial" w:eastAsia="Arial" w:hAnsi="Arial"/>
          <w:sz w:val="18"/>
          <w:szCs w:val="18"/>
          <w:color w:val="auto"/>
        </w:rPr>
        <w:t>,</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4880"/>
        <w:spacing w:after="0"/>
        <w:tabs>
          <w:tab w:leader="none" w:pos="5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John Saharek</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Name:John Saharek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-130175</wp:posOffset>
            </wp:positionV>
            <wp:extent cx="330898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08985" cy="17145"/>
                    </a:xfrm>
                    <a:prstGeom prst="rect">
                      <a:avLst/>
                    </a:prstGeom>
                    <a:noFill/>
                  </pic:spPr>
                </pic:pic>
              </a:graphicData>
            </a:graphic>
          </wp:anchor>
        </w:drawing>
      </w:r>
    </w:p>
    <w:p>
      <w:pPr>
        <w:spacing w:after="0" w:line="1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2340"/>
        <w:spacing w:after="0"/>
        <w:rPr>
          <w:sz w:val="20"/>
          <w:szCs w:val="20"/>
          <w:color w:val="auto"/>
        </w:rPr>
      </w:pPr>
      <w:r>
        <w:rPr>
          <w:rFonts w:ascii="Arial" w:cs="Arial" w:eastAsia="Arial" w:hAnsi="Arial"/>
          <w:sz w:val="18"/>
          <w:szCs w:val="18"/>
          <w:i w:val="1"/>
          <w:iCs w:val="1"/>
          <w:color w:val="auto"/>
        </w:rPr>
        <w:t>[Signature Page to First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665" w:right="1440" w:bottom="1440" w:gutter="0" w:footer="0" w:header="0"/>
        </w:sectPr>
      </w:pPr>
    </w:p>
    <w:bookmarkStart w:id="48" w:name="page49"/>
    <w:bookmarkEnd w:id="48"/>
    <w:p>
      <w:pPr>
        <w:ind w:left="4500"/>
        <w:spacing w:after="0"/>
        <w:rPr>
          <w:sz w:val="20"/>
          <w:szCs w:val="20"/>
          <w:color w:val="auto"/>
        </w:rPr>
      </w:pPr>
      <w:r>
        <w:rPr>
          <w:rFonts w:ascii="Arial" w:cs="Arial" w:eastAsia="Arial" w:hAnsi="Arial"/>
          <w:sz w:val="18"/>
          <w:szCs w:val="18"/>
          <w:color w:val="auto"/>
        </w:rPr>
        <w:t>ADMINISTRATIVE AGENT:</w:t>
      </w:r>
    </w:p>
    <w:p>
      <w:pPr>
        <w:spacing w:after="0" w:line="221" w:lineRule="exact"/>
        <w:rPr>
          <w:sz w:val="20"/>
          <w:szCs w:val="20"/>
          <w:color w:val="auto"/>
        </w:rPr>
      </w:pPr>
    </w:p>
    <w:p>
      <w:pPr>
        <w:jc w:val="right"/>
        <w:ind w:right="959"/>
        <w:spacing w:after="0"/>
        <w:rPr>
          <w:sz w:val="20"/>
          <w:szCs w:val="20"/>
          <w:color w:val="auto"/>
        </w:rPr>
      </w:pPr>
      <w:r>
        <w:rPr>
          <w:rFonts w:ascii="Arial" w:cs="Arial" w:eastAsia="Arial" w:hAnsi="Arial"/>
          <w:sz w:val="18"/>
          <w:szCs w:val="18"/>
          <w:b w:val="1"/>
          <w:bCs w:val="1"/>
          <w:color w:val="auto"/>
        </w:rPr>
        <w:t>OAKTREE FUND ADMINISTRATION, LLC</w:t>
      </w:r>
    </w:p>
    <w:p>
      <w:pPr>
        <w:sectPr>
          <w:pgSz w:w="11900" w:h="16838" w:orient="portrait"/>
          <w:cols w:equalWidth="0" w:num="1">
            <w:col w:w="9019"/>
          </w:cols>
          <w:pgMar w:left="1440" w:top="665" w:right="1440" w:bottom="1440" w:gutter="0" w:footer="0" w:header="0"/>
        </w:sectPr>
      </w:pP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Oaktree Capital Management,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Managing Member</w:t>
      </w:r>
    </w:p>
    <w:p>
      <w:pPr>
        <w:spacing w:after="0" w:line="200" w:lineRule="exact"/>
        <w:rPr>
          <w:sz w:val="20"/>
          <w:szCs w:val="20"/>
          <w:color w:val="auto"/>
        </w:rPr>
      </w:pPr>
    </w:p>
    <w:p>
      <w:pPr>
        <w:sectPr>
          <w:pgSz w:w="11900" w:h="16838" w:orient="portrait"/>
          <w:cols w:equalWidth="0" w:num="2">
            <w:col w:w="4760" w:space="300"/>
            <w:col w:w="3959"/>
          </w:cols>
          <w:pgMar w:left="1440" w:top="665" w:right="1440" w:bottom="1440" w:gutter="0" w:footer="0" w:header="0"/>
          <w:type w:val="continuous"/>
        </w:sectPr>
      </w:pPr>
    </w:p>
    <w:p>
      <w:pPr>
        <w:spacing w:after="0" w:line="11"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Matthew Stewart</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Mary Gallegly</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First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49" w:name="page50"/>
    <w:bookmarkEnd w:id="49"/>
    <w:p>
      <w:pPr>
        <w:ind w:left="4500"/>
        <w:spacing w:after="0"/>
        <w:rPr>
          <w:sz w:val="20"/>
          <w:szCs w:val="20"/>
          <w:color w:val="auto"/>
        </w:rPr>
      </w:pPr>
      <w:r>
        <w:rPr>
          <w:rFonts w:ascii="Arial" w:cs="Arial" w:eastAsia="Arial" w:hAnsi="Arial"/>
          <w:sz w:val="18"/>
          <w:szCs w:val="18"/>
          <w:color w:val="auto"/>
        </w:rPr>
        <w:t>LENDERS:</w:t>
      </w:r>
    </w:p>
    <w:p>
      <w:pPr>
        <w:spacing w:after="0" w:line="2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INPRS STRATEGIC CREDIT HOLDINGS, LLC</w:t>
      </w:r>
    </w:p>
    <w:p>
      <w:pPr>
        <w:sectPr>
          <w:pgSz w:w="11900" w:h="16838" w:orient="portrait"/>
          <w:cols w:equalWidth="0" w:num="1">
            <w:col w:w="9019"/>
          </w:cols>
          <w:pgMar w:left="1440" w:top="692" w:right="1440" w:bottom="1440" w:gutter="0" w:footer="0" w:header="0"/>
        </w:sectPr>
      </w:pP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Oaktree Capital Management,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Manager</w:t>
      </w:r>
    </w:p>
    <w:p>
      <w:pPr>
        <w:spacing w:after="0" w:line="200" w:lineRule="exact"/>
        <w:rPr>
          <w:sz w:val="20"/>
          <w:szCs w:val="20"/>
          <w:color w:val="auto"/>
        </w:rPr>
      </w:pPr>
    </w:p>
    <w:p>
      <w:pPr>
        <w:sectPr>
          <w:pgSz w:w="11900" w:h="16838" w:orient="portrait"/>
          <w:cols w:equalWidth="0" w:num="2">
            <w:col w:w="4760" w:space="300"/>
            <w:col w:w="3959"/>
          </w:cols>
          <w:pgMar w:left="1440" w:top="692" w:right="1440" w:bottom="1440" w:gutter="0" w:footer="0" w:header="0"/>
          <w:type w:val="continuous"/>
        </w:sectPr>
      </w:pPr>
    </w:p>
    <w:p>
      <w:pPr>
        <w:spacing w:after="0" w:line="11"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Matthew Stewart</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Mary Gallegly</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jc w:val="right"/>
        <w:ind w:right="199"/>
        <w:spacing w:after="0"/>
        <w:rPr>
          <w:sz w:val="20"/>
          <w:szCs w:val="20"/>
          <w:color w:val="auto"/>
        </w:rPr>
      </w:pPr>
      <w:r>
        <w:rPr>
          <w:rFonts w:ascii="Arial" w:cs="Arial" w:eastAsia="Arial" w:hAnsi="Arial"/>
          <w:sz w:val="18"/>
          <w:szCs w:val="18"/>
          <w:b w:val="1"/>
          <w:bCs w:val="1"/>
          <w:color w:val="auto"/>
        </w:rPr>
        <w:t>OAKTREE SPECIALITY LENDING CORPORATION</w:t>
      </w:r>
    </w:p>
    <w:p>
      <w:pPr>
        <w:sectPr>
          <w:pgSz w:w="11900" w:h="16838" w:orient="portrait"/>
          <w:cols w:equalWidth="0" w:num="1">
            <w:col w:w="9019"/>
          </w:cols>
          <w:pgMar w:left="1440" w:top="692" w:right="1440" w:bottom="1440" w:gutter="0" w:footer="0" w:header="0"/>
          <w:type w:val="continuous"/>
        </w:sectPr>
      </w:pP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Oaktree Fund Advisors,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 Advisor</w:t>
      </w:r>
    </w:p>
    <w:p>
      <w:pPr>
        <w:spacing w:after="0" w:line="200" w:lineRule="exact"/>
        <w:rPr>
          <w:sz w:val="20"/>
          <w:szCs w:val="20"/>
          <w:color w:val="auto"/>
        </w:rPr>
      </w:pPr>
    </w:p>
    <w:p>
      <w:pPr>
        <w:sectPr>
          <w:pgSz w:w="11900" w:h="16838" w:orient="portrait"/>
          <w:cols w:equalWidth="0" w:num="2">
            <w:col w:w="4760" w:space="300"/>
            <w:col w:w="3959"/>
          </w:cols>
          <w:pgMar w:left="1440" w:top="692" w:right="1440" w:bottom="1440" w:gutter="0" w:footer="0" w:header="0"/>
          <w:type w:val="continuous"/>
        </w:sectPr>
      </w:pPr>
    </w:p>
    <w:p>
      <w:pPr>
        <w:spacing w:after="0" w:line="11"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Matthew Stewart</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Mary Gallegly</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OAKTREE STRATEGIC CREDIT FUND</w:t>
      </w:r>
    </w:p>
    <w:p>
      <w:pPr>
        <w:sectPr>
          <w:pgSz w:w="11900" w:h="16838" w:orient="portrait"/>
          <w:cols w:equalWidth="0" w:num="1">
            <w:col w:w="9019"/>
          </w:cols>
          <w:pgMar w:left="1440" w:top="692" w:right="1440" w:bottom="1440" w:gutter="0" w:footer="0" w:header="0"/>
          <w:type w:val="continuous"/>
        </w:sectPr>
      </w:pP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Oaktree Fund Advisors,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 Advisor</w:t>
      </w:r>
    </w:p>
    <w:p>
      <w:pPr>
        <w:spacing w:after="0" w:line="200" w:lineRule="exact"/>
        <w:rPr>
          <w:sz w:val="20"/>
          <w:szCs w:val="20"/>
          <w:color w:val="auto"/>
        </w:rPr>
      </w:pPr>
    </w:p>
    <w:p>
      <w:pPr>
        <w:sectPr>
          <w:pgSz w:w="11900" w:h="16838" w:orient="portrait"/>
          <w:cols w:equalWidth="0" w:num="2">
            <w:col w:w="4760" w:space="300"/>
            <w:col w:w="3959"/>
          </w:cols>
          <w:pgMar w:left="1440" w:top="692" w:right="1440" w:bottom="1440" w:gutter="0" w:footer="0" w:header="0"/>
          <w:type w:val="continuous"/>
        </w:sectPr>
      </w:pPr>
    </w:p>
    <w:p>
      <w:pPr>
        <w:spacing w:after="0" w:line="11"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Matthew Stewart</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Mary Gallegly</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First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92" w:right="1440" w:bottom="1440" w:gutter="0" w:footer="0" w:header="0"/>
          <w:type w:val="continuous"/>
        </w:sectPr>
      </w:pPr>
    </w:p>
    <w:bookmarkStart w:id="50" w:name="page51"/>
    <w:bookmarkEnd w:id="50"/>
    <w:p>
      <w:pPr>
        <w:jc w:val="right"/>
        <w:ind w:right="99"/>
        <w:spacing w:after="0"/>
        <w:rPr>
          <w:sz w:val="20"/>
          <w:szCs w:val="20"/>
          <w:color w:val="auto"/>
        </w:rPr>
      </w:pPr>
      <w:r>
        <w:rPr>
          <w:rFonts w:ascii="Arial" w:cs="Arial" w:eastAsia="Arial" w:hAnsi="Arial"/>
          <w:sz w:val="17"/>
          <w:szCs w:val="17"/>
          <w:b w:val="1"/>
          <w:bCs w:val="1"/>
          <w:color w:val="auto"/>
        </w:rPr>
        <w:t>OAKTREE ROUTE 66 MULTI-STRATEGY FUND, L.P.</w:t>
      </w:r>
    </w:p>
    <w:p>
      <w:pPr>
        <w:sectPr>
          <w:pgSz w:w="11900" w:h="16838" w:orient="portrait"/>
          <w:cols w:equalWidth="0" w:num="1">
            <w:col w:w="9019"/>
          </w:cols>
          <w:pgMar w:left="1440" w:top="661" w:right="1440" w:bottom="1440" w:gutter="0" w:footer="0" w:header="0"/>
        </w:sect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539"/>
        <w:spacing w:after="0" w:line="277" w:lineRule="auto"/>
        <w:rPr>
          <w:sz w:val="20"/>
          <w:szCs w:val="20"/>
          <w:color w:val="auto"/>
        </w:rPr>
      </w:pPr>
      <w:r>
        <w:rPr>
          <w:rFonts w:ascii="Arial" w:cs="Arial" w:eastAsia="Arial" w:hAnsi="Arial"/>
          <w:sz w:val="18"/>
          <w:szCs w:val="18"/>
          <w:color w:val="auto"/>
        </w:rPr>
        <w:t>Oaktree Route 66 Multi-Strategy Fund GP, L.P. General Partner</w:t>
      </w:r>
    </w:p>
    <w:p>
      <w:pPr>
        <w:spacing w:after="0" w:line="170" w:lineRule="exact"/>
        <w:rPr>
          <w:sz w:val="20"/>
          <w:szCs w:val="20"/>
          <w:color w:val="auto"/>
        </w:rPr>
      </w:pPr>
    </w:p>
    <w:p>
      <w:pPr>
        <w:sectPr>
          <w:pgSz w:w="11900" w:h="16838" w:orient="portrait"/>
          <w:cols w:equalWidth="0" w:num="2">
            <w:col w:w="4760" w:space="300"/>
            <w:col w:w="3959"/>
          </w:cols>
          <w:pgMar w:left="1440" w:top="661" w:right="1440" w:bottom="1440" w:gutter="0" w:footer="0" w:header="0"/>
          <w:type w:val="continuous"/>
        </w:sectPr>
      </w:pPr>
    </w:p>
    <w:p>
      <w:pPr>
        <w:ind w:left="450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ind w:right="519"/>
        <w:spacing w:after="0" w:line="277" w:lineRule="auto"/>
        <w:rPr>
          <w:sz w:val="20"/>
          <w:szCs w:val="20"/>
          <w:color w:val="auto"/>
        </w:rPr>
      </w:pPr>
      <w:r>
        <w:rPr>
          <w:rFonts w:ascii="Arial" w:cs="Arial" w:eastAsia="Arial" w:hAnsi="Arial"/>
          <w:sz w:val="18"/>
          <w:szCs w:val="18"/>
          <w:color w:val="auto"/>
        </w:rPr>
        <w:t>Oaktree Route 66 Multi-Strategy Fund GP, Ltd. General Partner</w:t>
      </w:r>
    </w:p>
    <w:p>
      <w:pPr>
        <w:spacing w:after="0" w:line="170" w:lineRule="exact"/>
        <w:rPr>
          <w:sz w:val="20"/>
          <w:szCs w:val="20"/>
          <w:color w:val="auto"/>
        </w:rPr>
      </w:pPr>
    </w:p>
    <w:p>
      <w:pPr>
        <w:sectPr>
          <w:pgSz w:w="11900" w:h="16838" w:orient="portrait"/>
          <w:cols w:equalWidth="0" w:num="2">
            <w:col w:w="4760" w:space="300"/>
            <w:col w:w="3959"/>
          </w:cols>
          <w:pgMar w:left="1440" w:top="661" w:right="1440" w:bottom="1440" w:gutter="0" w:footer="0" w:header="0"/>
          <w:type w:val="continuous"/>
        </w:sectPr>
      </w:pPr>
    </w:p>
    <w:p>
      <w:pPr>
        <w:ind w:left="450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Oaktree Capital Management,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760" w:space="300"/>
            <w:col w:w="3959"/>
          </w:cols>
          <w:pgMar w:left="1440" w:top="661" w:right="1440" w:bottom="1440" w:gutter="0" w:footer="0" w:header="0"/>
          <w:type w:val="continuous"/>
        </w:sectPr>
      </w:pPr>
    </w:p>
    <w:p>
      <w:pPr>
        <w:spacing w:after="0" w:line="11"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Matthew Stewart</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Mary Gallegly</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OAKTREE AZ STRATEGIC LENDING FUND, L.P.</w:t>
      </w:r>
    </w:p>
    <w:p>
      <w:pPr>
        <w:spacing w:after="0" w:line="241"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Oaktree AZ Strategic Lending Fund GP, L.P.</w:t>
      </w:r>
    </w:p>
    <w:p>
      <w:pPr>
        <w:spacing w:after="0" w:line="35"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Fund GP IIA, LLC</w:t>
      </w:r>
    </w:p>
    <w:p>
      <w:pPr>
        <w:spacing w:after="0" w:line="23"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211"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Fund GP II, L.P.</w:t>
      </w:r>
    </w:p>
    <w:p>
      <w:pPr>
        <w:spacing w:after="0" w:line="23"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Managing Member</w:t>
      </w:r>
    </w:p>
    <w:p>
      <w:pPr>
        <w:spacing w:after="0" w:line="211"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Matthew Stewart</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Mary Gallegly</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First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51" w:name="page52"/>
    <w:bookmarkEnd w:id="51"/>
    <w:p>
      <w:pPr>
        <w:ind w:left="4500"/>
        <w:spacing w:after="0"/>
        <w:rPr>
          <w:sz w:val="20"/>
          <w:szCs w:val="20"/>
          <w:color w:val="auto"/>
        </w:rPr>
      </w:pPr>
      <w:r>
        <w:rPr>
          <w:rFonts w:ascii="Arial" w:cs="Arial" w:eastAsia="Arial" w:hAnsi="Arial"/>
          <w:sz w:val="18"/>
          <w:szCs w:val="18"/>
          <w:b w:val="1"/>
          <w:bCs w:val="1"/>
          <w:color w:val="auto"/>
        </w:rPr>
        <w:t>OAKTREE LOAN ACQUISITION FUND, L.P.</w:t>
      </w:r>
    </w:p>
    <w:p>
      <w:pPr>
        <w:sectPr>
          <w:pgSz w:w="11900" w:h="16838" w:orient="portrait"/>
          <w:cols w:equalWidth="0" w:num="1">
            <w:col w:w="9480"/>
          </w:cols>
          <w:pgMar w:left="1440" w:top="661" w:right="979" w:bottom="1440" w:gutter="0" w:footer="0" w:header="0"/>
        </w:sectPr>
      </w:pP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Oaktree Fund GP IIA,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ectPr>
          <w:pgSz w:w="11900" w:h="16838" w:orient="portrait"/>
          <w:cols w:equalWidth="0" w:num="2">
            <w:col w:w="4760" w:space="300"/>
            <w:col w:w="4420"/>
          </w:cols>
          <w:pgMar w:left="1440" w:top="661" w:right="979" w:bottom="1440" w:gutter="0" w:footer="0" w:header="0"/>
          <w:type w:val="continuous"/>
        </w:sectPr>
      </w:pPr>
    </w:p>
    <w:p>
      <w:pPr>
        <w:spacing w:after="0" w:line="1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Oaktree Fund GP II,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Managing Member</w:t>
      </w:r>
    </w:p>
    <w:p>
      <w:pPr>
        <w:spacing w:after="0" w:line="200" w:lineRule="exact"/>
        <w:rPr>
          <w:sz w:val="20"/>
          <w:szCs w:val="20"/>
          <w:color w:val="auto"/>
        </w:rPr>
      </w:pPr>
    </w:p>
    <w:p>
      <w:pPr>
        <w:sectPr>
          <w:pgSz w:w="11900" w:h="16838" w:orient="portrait"/>
          <w:cols w:equalWidth="0" w:num="2">
            <w:col w:w="4760" w:space="300"/>
            <w:col w:w="4420"/>
          </w:cols>
          <w:pgMar w:left="1440" w:top="661" w:right="979" w:bottom="1440" w:gutter="0" w:footer="0" w:header="0"/>
          <w:type w:val="continuous"/>
        </w:sectPr>
      </w:pPr>
    </w:p>
    <w:p>
      <w:pPr>
        <w:spacing w:after="0" w:line="11"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Matthew Stewart</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Mary Gallegly</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OAKTREE LSL FUND DELAWARE HOLDINGS EURRC, L.P.</w:t>
      </w:r>
    </w:p>
    <w:p>
      <w:pPr>
        <w:sectPr>
          <w:pgSz w:w="11900" w:h="16838" w:orient="portrait"/>
          <w:cols w:equalWidth="0" w:num="1">
            <w:col w:w="9480"/>
          </w:cols>
          <w:pgMar w:left="1440" w:top="661" w:right="979" w:bottom="1440" w:gutter="0" w:footer="0" w:header="0"/>
          <w:type w:val="continuous"/>
        </w:sect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Oaktree Life Sciences Lending Fund GP,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ectPr>
          <w:pgSz w:w="11900" w:h="16838" w:orient="portrait"/>
          <w:cols w:equalWidth="0" w:num="2">
            <w:col w:w="4760" w:space="300"/>
            <w:col w:w="4420"/>
          </w:cols>
          <w:pgMar w:left="1440" w:top="661" w:right="979" w:bottom="1440" w:gutter="0" w:footer="0" w:header="0"/>
          <w:type w:val="continuous"/>
        </w:sectPr>
      </w:pPr>
    </w:p>
    <w:p>
      <w:pPr>
        <w:spacing w:after="0" w:line="1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Oaktree Life Sciences Lending Fund GP Ltd.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ectPr>
          <w:pgSz w:w="11900" w:h="16838" w:orient="portrait"/>
          <w:cols w:equalWidth="0" w:num="2">
            <w:col w:w="4760" w:space="300"/>
            <w:col w:w="4420"/>
          </w:cols>
          <w:pgMar w:left="1440" w:top="661" w:right="979" w:bottom="1440" w:gutter="0" w:footer="0" w:header="0"/>
          <w:type w:val="continuous"/>
        </w:sectPr>
      </w:pPr>
    </w:p>
    <w:p>
      <w:pPr>
        <w:spacing w:after="0" w:line="1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Oaktree Capital Management,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760" w:space="300"/>
            <w:col w:w="4420"/>
          </w:cols>
          <w:pgMar w:left="1440" w:top="661" w:right="979" w:bottom="1440" w:gutter="0" w:footer="0" w:header="0"/>
          <w:type w:val="continuous"/>
        </w:sectPr>
      </w:pPr>
    </w:p>
    <w:p>
      <w:pPr>
        <w:spacing w:after="0" w:line="11"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Matthew Stewart</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Matthew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Mary Gallegly</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-130175</wp:posOffset>
            </wp:positionV>
            <wp:extent cx="32061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6"/>
          <w:szCs w:val="16"/>
          <w:i w:val="1"/>
          <w:iCs w:val="1"/>
          <w:color w:val="auto"/>
        </w:rPr>
        <w:t>[Signature Page to First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80"/>
          </w:cols>
          <w:pgMar w:left="1440" w:top="661" w:right="979" w:bottom="1440" w:gutter="0" w:footer="0" w:header="0"/>
          <w:type w:val="continuous"/>
        </w:sectPr>
      </w:pPr>
    </w:p>
    <w:bookmarkStart w:id="52" w:name="page53"/>
    <w:bookmarkEnd w:id="52"/>
    <w:p>
      <w:pPr>
        <w:ind w:left="4500"/>
        <w:spacing w:after="0"/>
        <w:rPr>
          <w:sz w:val="20"/>
          <w:szCs w:val="20"/>
          <w:color w:val="auto"/>
        </w:rPr>
      </w:pPr>
      <w:r>
        <w:rPr>
          <w:rFonts w:ascii="Arial" w:cs="Arial" w:eastAsia="Arial" w:hAnsi="Arial"/>
          <w:sz w:val="18"/>
          <w:szCs w:val="18"/>
          <w:b w:val="1"/>
          <w:bCs w:val="1"/>
          <w:color w:val="auto"/>
        </w:rPr>
        <w:t>OLAF Senior Lending SPV, LLC</w:t>
      </w:r>
    </w:p>
    <w:p>
      <w:pPr>
        <w:spacing w:after="0" w:line="229" w:lineRule="exact"/>
        <w:rPr>
          <w:sz w:val="20"/>
          <w:szCs w:val="20"/>
          <w:color w:val="auto"/>
        </w:rPr>
      </w:pPr>
    </w:p>
    <w:tbl>
      <w:tblPr>
        <w:tblLayout w:type="fixed"/>
        <w:tblInd w:w="450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Pr>
          <w:p>
            <w:pPr>
              <w:spacing w:after="0"/>
              <w:rPr>
                <w:sz w:val="20"/>
                <w:szCs w:val="20"/>
                <w:color w:val="auto"/>
              </w:rPr>
            </w:pPr>
            <w:r>
              <w:rPr>
                <w:rFonts w:ascii="Arial" w:cs="Arial" w:eastAsia="Arial" w:hAnsi="Arial"/>
                <w:sz w:val="18"/>
                <w:szCs w:val="18"/>
                <w:color w:val="auto"/>
              </w:rPr>
              <w:t>Oaktree Loan Acquisition Fund, L.P.</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506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Pr>
          <w:p>
            <w:pPr>
              <w:spacing w:after="0"/>
              <w:rPr>
                <w:sz w:val="20"/>
                <w:szCs w:val="20"/>
                <w:color w:val="auto"/>
              </w:rPr>
            </w:pPr>
            <w:r>
              <w:rPr>
                <w:rFonts w:ascii="Arial" w:cs="Arial" w:eastAsia="Arial" w:hAnsi="Arial"/>
                <w:sz w:val="18"/>
                <w:szCs w:val="18"/>
                <w:color w:val="auto"/>
              </w:rPr>
              <w:t>Oaktree Fund GP IIA, LLC</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5060" w:type="dxa"/>
            <w:vAlign w:val="bottom"/>
          </w:tcPr>
          <w:p>
            <w:pPr>
              <w:ind w:left="60"/>
              <w:spacing w:after="0"/>
              <w:rPr>
                <w:sz w:val="20"/>
                <w:szCs w:val="20"/>
                <w:color w:val="auto"/>
              </w:rPr>
            </w:pPr>
            <w:r>
              <w:rPr>
                <w:rFonts w:ascii="Arial" w:cs="Arial" w:eastAsia="Arial" w:hAnsi="Arial"/>
                <w:sz w:val="18"/>
                <w:szCs w:val="18"/>
                <w:color w:val="auto"/>
              </w:rPr>
              <w:t>General Partner</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Pr>
          <w:p>
            <w:pPr>
              <w:spacing w:after="0"/>
              <w:rPr>
                <w:sz w:val="20"/>
                <w:szCs w:val="20"/>
                <w:color w:val="auto"/>
              </w:rPr>
            </w:pPr>
            <w:r>
              <w:rPr>
                <w:rFonts w:ascii="Arial" w:cs="Arial" w:eastAsia="Arial" w:hAnsi="Arial"/>
                <w:sz w:val="18"/>
                <w:szCs w:val="18"/>
                <w:color w:val="auto"/>
              </w:rPr>
              <w:t>Oaktree Fund GP II, L.P.</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506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Matthew Stewart</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201" w:lineRule="exact"/>
              <w:rPr>
                <w:sz w:val="20"/>
                <w:szCs w:val="20"/>
                <w:color w:val="auto"/>
              </w:rPr>
            </w:pPr>
            <w:r>
              <w:rPr>
                <w:rFonts w:ascii="Arial" w:cs="Arial" w:eastAsia="Arial" w:hAnsi="Arial"/>
                <w:sz w:val="18"/>
                <w:szCs w:val="18"/>
                <w:color w:val="auto"/>
              </w:rPr>
              <w:t>Matthew Stewart</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5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Mary Gallegly</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201" w:lineRule="exact"/>
              <w:rPr>
                <w:sz w:val="20"/>
                <w:szCs w:val="20"/>
                <w:color w:val="auto"/>
              </w:rPr>
            </w:pPr>
            <w:r>
              <w:rPr>
                <w:rFonts w:ascii="Arial" w:cs="Arial" w:eastAsia="Arial" w:hAnsi="Arial"/>
                <w:sz w:val="18"/>
                <w:szCs w:val="18"/>
                <w:color w:val="auto"/>
              </w:rPr>
              <w:t>Mary Gallegly</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1880"/>
        <w:spacing w:after="0"/>
        <w:rPr>
          <w:sz w:val="20"/>
          <w:szCs w:val="20"/>
          <w:color w:val="auto"/>
        </w:rPr>
      </w:pPr>
      <w:r>
        <w:rPr>
          <w:rFonts w:ascii="Arial" w:cs="Arial" w:eastAsia="Arial" w:hAnsi="Arial"/>
          <w:sz w:val="18"/>
          <w:szCs w:val="18"/>
          <w:i w:val="1"/>
          <w:iCs w:val="1"/>
          <w:color w:val="auto"/>
        </w:rPr>
        <w:t>[Signature Page to First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6"/>
          <w:szCs w:val="16"/>
          <w:color w:val="auto"/>
        </w:rPr>
        <w:t>Conformed through First Amendment, dated as of July 18, 2023</w:t>
      </w:r>
    </w:p>
    <w:p>
      <w:pPr>
        <w:sectPr>
          <w:pgSz w:w="11900" w:h="16838" w:orient="portrait"/>
          <w:cols w:equalWidth="0" w:num="1">
            <w:col w:w="9019"/>
          </w:cols>
          <w:pgMar w:left="1440" w:top="665" w:right="1440" w:bottom="1440"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ANNEX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CREDIT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194310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CREDIT AGREEMENT AND GUARANTY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dated as of March 27, 2023,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amended by that certain First Amendment to Credit Agreement and Guaranty  dated as of July 18, 2023</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the Borrower,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SUBSIDIARY GUARANTORS FROM TIME TO TIME PARTY HERETO,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the Guarantors,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LENDERS FROM TIME TO TIME PARTY HERETO,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the Lenders,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OAKTREE FUND ADMINISTRATION,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the Administrative Agent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$112,500,000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9020" w:type="dxa"/>
            <w:vAlign w:val="bottom"/>
          </w:tcPr>
          <w:p>
            <w:pPr>
              <w:ind w:left="3480"/>
              <w:spacing w:after="0"/>
              <w:rPr>
                <w:sz w:val="20"/>
                <w:szCs w:val="20"/>
                <w:color w:val="auto"/>
              </w:rPr>
            </w:pPr>
            <w:r>
              <w:rPr>
                <w:rFonts w:ascii="Arial" w:cs="Arial" w:eastAsia="Arial" w:hAnsi="Arial"/>
                <w:sz w:val="18"/>
                <w:szCs w:val="18"/>
                <w:color w:val="auto"/>
              </w:rPr>
              <w:t>TABLE OF CONTENTS</w:t>
            </w:r>
          </w:p>
        </w:tc>
        <w:tc>
          <w:tcPr>
            <w:tcW w:w="980" w:type="dxa"/>
            <w:vAlign w:val="bottom"/>
          </w:tcPr>
          <w:p>
            <w:pPr>
              <w:spacing w:after="0"/>
              <w:rPr>
                <w:sz w:val="20"/>
                <w:szCs w:val="20"/>
                <w:color w:val="auto"/>
              </w:rPr>
            </w:pPr>
          </w:p>
        </w:tc>
      </w:tr>
      <w:tr>
        <w:trPr>
          <w:trHeight w:val="452"/>
        </w:trPr>
        <w:tc>
          <w:tcPr>
            <w:tcW w:w="124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Page</w:t>
            </w:r>
          </w:p>
        </w:tc>
      </w:tr>
      <w:tr>
        <w:trPr>
          <w:trHeight w:val="216"/>
        </w:trPr>
        <w:tc>
          <w:tcPr>
            <w:tcW w:w="124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 DEFINITIONS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1.01</w:t>
            </w:r>
          </w:p>
        </w:tc>
        <w:tc>
          <w:tcPr>
            <w:tcW w:w="9020" w:type="dxa"/>
            <w:vAlign w:val="bottom"/>
          </w:tcPr>
          <w:p>
            <w:pPr>
              <w:ind w:left="240"/>
              <w:spacing w:after="0"/>
              <w:rPr>
                <w:sz w:val="20"/>
                <w:szCs w:val="20"/>
                <w:color w:val="auto"/>
              </w:rPr>
            </w:pPr>
            <w:r>
              <w:rPr>
                <w:rFonts w:ascii="Arial" w:cs="Arial" w:eastAsia="Arial" w:hAnsi="Arial"/>
                <w:sz w:val="18"/>
                <w:szCs w:val="18"/>
                <w:color w:val="auto"/>
              </w:rPr>
              <w:t>Certain Defined Terms</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1.02</w:t>
            </w:r>
          </w:p>
        </w:tc>
        <w:tc>
          <w:tcPr>
            <w:tcW w:w="9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Accounting Terms and Principles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1.03</w:t>
            </w:r>
          </w:p>
        </w:tc>
        <w:tc>
          <w:tcPr>
            <w:tcW w:w="9020" w:type="dxa"/>
            <w:vAlign w:val="bottom"/>
          </w:tcPr>
          <w:p>
            <w:pPr>
              <w:ind w:left="240"/>
              <w:spacing w:after="0"/>
              <w:rPr>
                <w:sz w:val="20"/>
                <w:szCs w:val="20"/>
                <w:color w:val="auto"/>
              </w:rPr>
            </w:pPr>
            <w:r>
              <w:rPr>
                <w:rFonts w:ascii="Arial" w:cs="Arial" w:eastAsia="Arial" w:hAnsi="Arial"/>
                <w:sz w:val="18"/>
                <w:szCs w:val="18"/>
                <w:color w:val="auto"/>
              </w:rPr>
              <w:t>Interpretation</w:t>
            </w: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1.04</w:t>
            </w:r>
          </w:p>
        </w:tc>
        <w:tc>
          <w:tcPr>
            <w:tcW w:w="9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Division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1.05</w:t>
            </w:r>
          </w:p>
        </w:tc>
        <w:tc>
          <w:tcPr>
            <w:tcW w:w="9020" w:type="dxa"/>
            <w:vAlign w:val="bottom"/>
          </w:tcPr>
          <w:p>
            <w:pPr>
              <w:ind w:left="240"/>
              <w:spacing w:after="0"/>
              <w:rPr>
                <w:sz w:val="20"/>
                <w:szCs w:val="20"/>
                <w:color w:val="auto"/>
              </w:rPr>
            </w:pPr>
            <w:r>
              <w:rPr>
                <w:rFonts w:ascii="Arial" w:cs="Arial" w:eastAsia="Arial" w:hAnsi="Arial"/>
                <w:sz w:val="18"/>
                <w:szCs w:val="18"/>
                <w:color w:val="auto"/>
              </w:rPr>
              <w:t>Currency Generally</w:t>
            </w: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2. THE COMMITMENT AND THE LOANS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2.01</w:t>
            </w:r>
          </w:p>
        </w:tc>
        <w:tc>
          <w:tcPr>
            <w:tcW w:w="9020" w:type="dxa"/>
            <w:vAlign w:val="bottom"/>
          </w:tcPr>
          <w:p>
            <w:pPr>
              <w:ind w:left="240"/>
              <w:spacing w:after="0"/>
              <w:rPr>
                <w:sz w:val="20"/>
                <w:szCs w:val="20"/>
                <w:color w:val="auto"/>
              </w:rPr>
            </w:pPr>
            <w:r>
              <w:rPr>
                <w:rFonts w:ascii="Arial" w:cs="Arial" w:eastAsia="Arial" w:hAnsi="Arial"/>
                <w:sz w:val="18"/>
                <w:szCs w:val="18"/>
                <w:color w:val="auto"/>
              </w:rPr>
              <w:t>Loans</w:t>
            </w: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2.02</w:t>
            </w:r>
          </w:p>
        </w:tc>
        <w:tc>
          <w:tcPr>
            <w:tcW w:w="9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Borrowing Procedures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2.03</w:t>
            </w:r>
          </w:p>
        </w:tc>
        <w:tc>
          <w:tcPr>
            <w:tcW w:w="9020" w:type="dxa"/>
            <w:vAlign w:val="bottom"/>
          </w:tcPr>
          <w:p>
            <w:pPr>
              <w:ind w:left="240"/>
              <w:spacing w:after="0"/>
              <w:rPr>
                <w:sz w:val="20"/>
                <w:szCs w:val="20"/>
                <w:color w:val="auto"/>
              </w:rPr>
            </w:pPr>
            <w:r>
              <w:rPr>
                <w:rFonts w:ascii="Arial" w:cs="Arial" w:eastAsia="Arial" w:hAnsi="Arial"/>
                <w:sz w:val="18"/>
                <w:szCs w:val="18"/>
                <w:color w:val="auto"/>
              </w:rPr>
              <w:t>Funding of Borrowings</w:t>
            </w: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2.04</w:t>
            </w:r>
          </w:p>
        </w:tc>
        <w:tc>
          <w:tcPr>
            <w:tcW w:w="9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2.05</w:t>
            </w:r>
          </w:p>
        </w:tc>
        <w:tc>
          <w:tcPr>
            <w:tcW w:w="9020" w:type="dxa"/>
            <w:vAlign w:val="bottom"/>
          </w:tcPr>
          <w:p>
            <w:pPr>
              <w:ind w:left="240"/>
              <w:spacing w:after="0"/>
              <w:rPr>
                <w:sz w:val="20"/>
                <w:szCs w:val="20"/>
                <w:color w:val="auto"/>
              </w:rPr>
            </w:pPr>
            <w:r>
              <w:rPr>
                <w:rFonts w:ascii="Arial" w:cs="Arial" w:eastAsia="Arial" w:hAnsi="Arial"/>
                <w:sz w:val="18"/>
                <w:szCs w:val="18"/>
                <w:color w:val="auto"/>
              </w:rPr>
              <w:t>Use of Proceeds</w:t>
            </w: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2.06</w:t>
            </w:r>
          </w:p>
        </w:tc>
        <w:tc>
          <w:tcPr>
            <w:tcW w:w="9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Commitment Fees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2.07</w:t>
            </w:r>
          </w:p>
        </w:tc>
        <w:tc>
          <w:tcPr>
            <w:tcW w:w="9020" w:type="dxa"/>
            <w:vAlign w:val="bottom"/>
          </w:tcPr>
          <w:p>
            <w:pPr>
              <w:ind w:left="240"/>
              <w:spacing w:after="0"/>
              <w:rPr>
                <w:sz w:val="20"/>
                <w:szCs w:val="20"/>
                <w:color w:val="auto"/>
              </w:rPr>
            </w:pPr>
            <w:r>
              <w:rPr>
                <w:rFonts w:ascii="Arial" w:cs="Arial" w:eastAsia="Arial" w:hAnsi="Arial"/>
                <w:sz w:val="18"/>
                <w:szCs w:val="18"/>
                <w:color w:val="auto"/>
              </w:rPr>
              <w:t>Defaulting Lenders.</w:t>
            </w: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 PAYMENTS OF PRINCIPAL AND INTEREST, ETC.</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3.01</w:t>
            </w:r>
          </w:p>
        </w:tc>
        <w:tc>
          <w:tcPr>
            <w:tcW w:w="9020" w:type="dxa"/>
            <w:vAlign w:val="bottom"/>
          </w:tcPr>
          <w:p>
            <w:pPr>
              <w:ind w:left="240"/>
              <w:spacing w:after="0"/>
              <w:rPr>
                <w:sz w:val="20"/>
                <w:szCs w:val="20"/>
                <w:color w:val="auto"/>
              </w:rPr>
            </w:pPr>
            <w:r>
              <w:rPr>
                <w:rFonts w:ascii="Arial" w:cs="Arial" w:eastAsia="Arial" w:hAnsi="Arial"/>
                <w:sz w:val="18"/>
                <w:szCs w:val="18"/>
                <w:color w:val="auto"/>
              </w:rPr>
              <w:t>Scheduled Repayments and Prepayments Generally; Application</w:t>
            </w: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3.02</w:t>
            </w:r>
          </w:p>
        </w:tc>
        <w:tc>
          <w:tcPr>
            <w:tcW w:w="9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3.03</w:t>
            </w:r>
          </w:p>
        </w:tc>
        <w:tc>
          <w:tcPr>
            <w:tcW w:w="9020" w:type="dxa"/>
            <w:vAlign w:val="bottom"/>
          </w:tcPr>
          <w:p>
            <w:pPr>
              <w:ind w:left="240"/>
              <w:spacing w:after="0"/>
              <w:rPr>
                <w:sz w:val="20"/>
                <w:szCs w:val="20"/>
                <w:color w:val="auto"/>
              </w:rPr>
            </w:pPr>
            <w:r>
              <w:rPr>
                <w:rFonts w:ascii="Arial" w:cs="Arial" w:eastAsia="Arial" w:hAnsi="Arial"/>
                <w:sz w:val="18"/>
                <w:szCs w:val="18"/>
                <w:color w:val="auto"/>
              </w:rPr>
              <w:t>Prepayments</w:t>
            </w: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3.04</w:t>
            </w:r>
          </w:p>
        </w:tc>
        <w:tc>
          <w:tcPr>
            <w:tcW w:w="9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Commitment Termination</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3.05</w:t>
            </w:r>
          </w:p>
        </w:tc>
        <w:tc>
          <w:tcPr>
            <w:tcW w:w="9020" w:type="dxa"/>
            <w:vAlign w:val="bottom"/>
          </w:tcPr>
          <w:p>
            <w:pPr>
              <w:ind w:left="240"/>
              <w:spacing w:after="0"/>
              <w:rPr>
                <w:sz w:val="20"/>
                <w:szCs w:val="20"/>
                <w:color w:val="auto"/>
              </w:rPr>
            </w:pPr>
            <w:r>
              <w:rPr>
                <w:rFonts w:ascii="Arial" w:cs="Arial" w:eastAsia="Arial" w:hAnsi="Arial"/>
                <w:sz w:val="18"/>
                <w:szCs w:val="18"/>
                <w:color w:val="auto"/>
              </w:rPr>
              <w:t>Exit Fee</w:t>
            </w: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3.06</w:t>
            </w:r>
          </w:p>
        </w:tc>
        <w:tc>
          <w:tcPr>
            <w:tcW w:w="9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Original Issue Discount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Section 4. PAYMENTS, ETC.</w:t>
            </w: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4.01</w:t>
            </w:r>
          </w:p>
        </w:tc>
        <w:tc>
          <w:tcPr>
            <w:tcW w:w="9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4.02</w:t>
            </w:r>
          </w:p>
        </w:tc>
        <w:tc>
          <w:tcPr>
            <w:tcW w:w="9020" w:type="dxa"/>
            <w:vAlign w:val="bottom"/>
          </w:tcPr>
          <w:p>
            <w:pPr>
              <w:ind w:left="240"/>
              <w:spacing w:after="0"/>
              <w:rPr>
                <w:sz w:val="20"/>
                <w:szCs w:val="20"/>
                <w:color w:val="auto"/>
              </w:rPr>
            </w:pPr>
            <w:r>
              <w:rPr>
                <w:rFonts w:ascii="Arial" w:cs="Arial" w:eastAsia="Arial" w:hAnsi="Arial"/>
                <w:sz w:val="18"/>
                <w:szCs w:val="18"/>
                <w:color w:val="auto"/>
              </w:rPr>
              <w:t>Computations</w:t>
            </w: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4.03</w:t>
            </w:r>
          </w:p>
        </w:tc>
        <w:tc>
          <w:tcPr>
            <w:tcW w:w="9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Set-Off</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Section 5. YIELD PROTECTION, TAXES, ETC.</w:t>
            </w: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5.01</w:t>
            </w:r>
          </w:p>
        </w:tc>
        <w:tc>
          <w:tcPr>
            <w:tcW w:w="9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Costs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5.02</w:t>
            </w:r>
          </w:p>
        </w:tc>
        <w:tc>
          <w:tcPr>
            <w:tcW w:w="9020" w:type="dxa"/>
            <w:vAlign w:val="bottom"/>
          </w:tcPr>
          <w:p>
            <w:pPr>
              <w:ind w:left="240"/>
              <w:spacing w:after="0"/>
              <w:rPr>
                <w:sz w:val="20"/>
                <w:szCs w:val="20"/>
                <w:color w:val="auto"/>
              </w:rPr>
            </w:pPr>
            <w:r>
              <w:rPr>
                <w:rFonts w:ascii="Arial" w:cs="Arial" w:eastAsia="Arial" w:hAnsi="Arial"/>
                <w:sz w:val="18"/>
                <w:szCs w:val="18"/>
                <w:color w:val="auto"/>
              </w:rPr>
              <w:t>[Reserved]</w:t>
            </w: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5.03</w:t>
            </w:r>
          </w:p>
        </w:tc>
        <w:tc>
          <w:tcPr>
            <w:tcW w:w="9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5.04</w:t>
            </w:r>
          </w:p>
        </w:tc>
        <w:tc>
          <w:tcPr>
            <w:tcW w:w="9020" w:type="dxa"/>
            <w:vAlign w:val="bottom"/>
          </w:tcPr>
          <w:p>
            <w:pPr>
              <w:ind w:left="240"/>
              <w:spacing w:after="0"/>
              <w:rPr>
                <w:sz w:val="20"/>
                <w:szCs w:val="20"/>
                <w:color w:val="auto"/>
              </w:rPr>
            </w:pPr>
            <w:r>
              <w:rPr>
                <w:rFonts w:ascii="Arial" w:cs="Arial" w:eastAsia="Arial" w:hAnsi="Arial"/>
                <w:sz w:val="18"/>
                <w:szCs w:val="18"/>
                <w:color w:val="auto"/>
              </w:rPr>
              <w:t>Mitigation Obligations; Replacement of Lenders</w:t>
            </w: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5.05</w:t>
            </w:r>
          </w:p>
        </w:tc>
        <w:tc>
          <w:tcPr>
            <w:tcW w:w="9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Inability to Determine Rates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5.06</w:t>
            </w:r>
          </w:p>
        </w:tc>
        <w:tc>
          <w:tcPr>
            <w:tcW w:w="9020" w:type="dxa"/>
            <w:vAlign w:val="bottom"/>
          </w:tcPr>
          <w:p>
            <w:pPr>
              <w:ind w:left="240"/>
              <w:spacing w:after="0"/>
              <w:rPr>
                <w:sz w:val="20"/>
                <w:szCs w:val="20"/>
                <w:color w:val="auto"/>
              </w:rPr>
            </w:pPr>
            <w:r>
              <w:rPr>
                <w:rFonts w:ascii="Arial" w:cs="Arial" w:eastAsia="Arial" w:hAnsi="Arial"/>
                <w:sz w:val="18"/>
                <w:szCs w:val="18"/>
                <w:color w:val="auto"/>
              </w:rPr>
              <w:t>Survival</w:t>
            </w: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6. CONDITIONS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6.01</w:t>
            </w:r>
          </w:p>
        </w:tc>
        <w:tc>
          <w:tcPr>
            <w:tcW w:w="9020" w:type="dxa"/>
            <w:vAlign w:val="bottom"/>
          </w:tcPr>
          <w:p>
            <w:pPr>
              <w:ind w:left="240"/>
              <w:spacing w:after="0"/>
              <w:rPr>
                <w:sz w:val="20"/>
                <w:szCs w:val="20"/>
                <w:color w:val="auto"/>
              </w:rPr>
            </w:pPr>
            <w:r>
              <w:rPr>
                <w:rFonts w:ascii="Arial" w:cs="Arial" w:eastAsia="Arial" w:hAnsi="Arial"/>
                <w:sz w:val="18"/>
                <w:szCs w:val="18"/>
                <w:color w:val="auto"/>
              </w:rPr>
              <w:t>Conditions to the Closing Date</w:t>
            </w: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6.02</w:t>
            </w:r>
          </w:p>
        </w:tc>
        <w:tc>
          <w:tcPr>
            <w:tcW w:w="9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Conditions to the Borrowing of Tranche B Term Loans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6.03</w:t>
            </w:r>
          </w:p>
        </w:tc>
        <w:tc>
          <w:tcPr>
            <w:tcW w:w="9020" w:type="dxa"/>
            <w:vAlign w:val="bottom"/>
          </w:tcPr>
          <w:p>
            <w:pPr>
              <w:ind w:left="240"/>
              <w:spacing w:after="0"/>
              <w:rPr>
                <w:sz w:val="20"/>
                <w:szCs w:val="20"/>
                <w:color w:val="auto"/>
              </w:rPr>
            </w:pPr>
            <w:r>
              <w:rPr>
                <w:rFonts w:ascii="Arial" w:cs="Arial" w:eastAsia="Arial" w:hAnsi="Arial"/>
                <w:sz w:val="18"/>
                <w:szCs w:val="18"/>
                <w:color w:val="auto"/>
              </w:rPr>
              <w:t>Conditions to the Borrowing of Incremental Tranche A Term Loans</w:t>
            </w: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7. REPRESENTATIONS AND WARRANTIES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7.01</w:t>
            </w:r>
          </w:p>
        </w:tc>
        <w:tc>
          <w:tcPr>
            <w:tcW w:w="7760" w:type="dxa"/>
            <w:vAlign w:val="bottom"/>
          </w:tcPr>
          <w:p>
            <w:pPr>
              <w:ind w:left="240"/>
              <w:spacing w:after="0"/>
              <w:rPr>
                <w:sz w:val="20"/>
                <w:szCs w:val="20"/>
                <w:color w:val="auto"/>
              </w:rPr>
            </w:pPr>
            <w:r>
              <w:rPr>
                <w:rFonts w:ascii="Arial" w:cs="Arial" w:eastAsia="Arial" w:hAnsi="Arial"/>
                <w:sz w:val="18"/>
                <w:szCs w:val="18"/>
                <w:color w:val="auto"/>
              </w:rPr>
              <w:t>Power and Authority</w:t>
            </w:r>
          </w:p>
        </w:tc>
        <w:tc>
          <w:tcPr>
            <w:tcW w:w="2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7.02</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Authorization; Enforceability</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7.03</w:t>
            </w:r>
          </w:p>
        </w:tc>
        <w:tc>
          <w:tcPr>
            <w:tcW w:w="7760" w:type="dxa"/>
            <w:vAlign w:val="bottom"/>
          </w:tcPr>
          <w:p>
            <w:pPr>
              <w:ind w:left="240"/>
              <w:spacing w:after="0"/>
              <w:rPr>
                <w:sz w:val="20"/>
                <w:szCs w:val="20"/>
                <w:color w:val="auto"/>
              </w:rPr>
            </w:pPr>
            <w:r>
              <w:rPr>
                <w:rFonts w:ascii="Arial" w:cs="Arial" w:eastAsia="Arial" w:hAnsi="Arial"/>
                <w:sz w:val="18"/>
                <w:szCs w:val="18"/>
                <w:color w:val="auto"/>
              </w:rPr>
              <w:t>Governmental and Other Approvals; No Conflicts</w:t>
            </w:r>
          </w:p>
        </w:tc>
        <w:tc>
          <w:tcPr>
            <w:tcW w:w="2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7.04</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Financial Statements; Material Adverse Change</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7.05</w:t>
            </w:r>
          </w:p>
        </w:tc>
        <w:tc>
          <w:tcPr>
            <w:tcW w:w="7760" w:type="dxa"/>
            <w:vAlign w:val="bottom"/>
          </w:tcPr>
          <w:p>
            <w:pPr>
              <w:ind w:left="240"/>
              <w:spacing w:after="0"/>
              <w:rPr>
                <w:sz w:val="20"/>
                <w:szCs w:val="20"/>
                <w:color w:val="auto"/>
              </w:rPr>
            </w:pPr>
            <w:r>
              <w:rPr>
                <w:rFonts w:ascii="Arial" w:cs="Arial" w:eastAsia="Arial" w:hAnsi="Arial"/>
                <w:sz w:val="18"/>
                <w:szCs w:val="18"/>
                <w:color w:val="auto"/>
              </w:rPr>
              <w:t>Properties</w:t>
            </w:r>
          </w:p>
        </w:tc>
        <w:tc>
          <w:tcPr>
            <w:tcW w:w="2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7.06</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 Actions or Proceedings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7.07</w:t>
            </w:r>
          </w:p>
        </w:tc>
        <w:tc>
          <w:tcPr>
            <w:tcW w:w="7760" w:type="dxa"/>
            <w:vAlign w:val="bottom"/>
          </w:tcPr>
          <w:p>
            <w:pPr>
              <w:ind w:left="240"/>
              <w:spacing w:after="0"/>
              <w:rPr>
                <w:sz w:val="20"/>
                <w:szCs w:val="20"/>
                <w:color w:val="auto"/>
              </w:rPr>
            </w:pPr>
            <w:r>
              <w:rPr>
                <w:rFonts w:ascii="Arial" w:cs="Arial" w:eastAsia="Arial" w:hAnsi="Arial"/>
                <w:sz w:val="18"/>
                <w:szCs w:val="18"/>
                <w:color w:val="auto"/>
              </w:rPr>
              <w:t>Compliance with Laws and Agreements</w:t>
            </w:r>
          </w:p>
        </w:tc>
        <w:tc>
          <w:tcPr>
            <w:tcW w:w="22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7.08</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Taxes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7.09</w:t>
            </w:r>
          </w:p>
        </w:tc>
        <w:tc>
          <w:tcPr>
            <w:tcW w:w="7760" w:type="dxa"/>
            <w:vAlign w:val="bottom"/>
          </w:tcPr>
          <w:p>
            <w:pPr>
              <w:ind w:left="240"/>
              <w:spacing w:after="0"/>
              <w:rPr>
                <w:sz w:val="20"/>
                <w:szCs w:val="20"/>
                <w:color w:val="auto"/>
              </w:rPr>
            </w:pPr>
            <w:r>
              <w:rPr>
                <w:rFonts w:ascii="Arial" w:cs="Arial" w:eastAsia="Arial" w:hAnsi="Arial"/>
                <w:sz w:val="18"/>
                <w:szCs w:val="18"/>
                <w:color w:val="auto"/>
              </w:rPr>
              <w:t>Full Disclosure</w:t>
            </w:r>
          </w:p>
        </w:tc>
        <w:tc>
          <w:tcPr>
            <w:tcW w:w="22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7.10</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Investment Company Act and Margin Stock Regulation</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7.11</w:t>
            </w:r>
          </w:p>
        </w:tc>
        <w:tc>
          <w:tcPr>
            <w:tcW w:w="7760" w:type="dxa"/>
            <w:vAlign w:val="bottom"/>
          </w:tcPr>
          <w:p>
            <w:pPr>
              <w:ind w:left="240"/>
              <w:spacing w:after="0"/>
              <w:rPr>
                <w:sz w:val="20"/>
                <w:szCs w:val="20"/>
                <w:color w:val="auto"/>
              </w:rPr>
            </w:pPr>
            <w:r>
              <w:rPr>
                <w:rFonts w:ascii="Arial" w:cs="Arial" w:eastAsia="Arial" w:hAnsi="Arial"/>
                <w:sz w:val="18"/>
                <w:szCs w:val="18"/>
                <w:color w:val="auto"/>
              </w:rPr>
              <w:t>Solvency</w:t>
            </w:r>
          </w:p>
        </w:tc>
        <w:tc>
          <w:tcPr>
            <w:tcW w:w="22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7.12</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Subsidiaries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7.13</w:t>
            </w:r>
          </w:p>
        </w:tc>
        <w:tc>
          <w:tcPr>
            <w:tcW w:w="7760" w:type="dxa"/>
            <w:vAlign w:val="bottom"/>
          </w:tcPr>
          <w:p>
            <w:pPr>
              <w:ind w:left="240"/>
              <w:spacing w:after="0"/>
              <w:rPr>
                <w:sz w:val="20"/>
                <w:szCs w:val="20"/>
                <w:color w:val="auto"/>
              </w:rPr>
            </w:pPr>
            <w:r>
              <w:rPr>
                <w:rFonts w:ascii="Arial" w:cs="Arial" w:eastAsia="Arial" w:hAnsi="Arial"/>
                <w:sz w:val="18"/>
                <w:szCs w:val="18"/>
                <w:color w:val="auto"/>
              </w:rPr>
              <w:t>Excluded Subsidiaries</w:t>
            </w:r>
          </w:p>
        </w:tc>
        <w:tc>
          <w:tcPr>
            <w:tcW w:w="22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7.14</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Material Agreements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7.15</w:t>
            </w:r>
          </w:p>
        </w:tc>
        <w:tc>
          <w:tcPr>
            <w:tcW w:w="7760" w:type="dxa"/>
            <w:vAlign w:val="bottom"/>
          </w:tcPr>
          <w:p>
            <w:pPr>
              <w:ind w:left="240"/>
              <w:spacing w:after="0"/>
              <w:rPr>
                <w:sz w:val="20"/>
                <w:szCs w:val="20"/>
                <w:color w:val="auto"/>
              </w:rPr>
            </w:pPr>
            <w:r>
              <w:rPr>
                <w:rFonts w:ascii="Arial" w:cs="Arial" w:eastAsia="Arial" w:hAnsi="Arial"/>
                <w:sz w:val="18"/>
                <w:szCs w:val="18"/>
                <w:color w:val="auto"/>
              </w:rPr>
              <w:t>Restrictive Agreements</w:t>
            </w:r>
          </w:p>
        </w:tc>
        <w:tc>
          <w:tcPr>
            <w:tcW w:w="22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7.16</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Real Property</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7.17</w:t>
            </w:r>
          </w:p>
        </w:tc>
        <w:tc>
          <w:tcPr>
            <w:tcW w:w="7760" w:type="dxa"/>
            <w:vAlign w:val="bottom"/>
          </w:tcPr>
          <w:p>
            <w:pPr>
              <w:ind w:left="240"/>
              <w:spacing w:after="0"/>
              <w:rPr>
                <w:sz w:val="20"/>
                <w:szCs w:val="20"/>
                <w:color w:val="auto"/>
              </w:rPr>
            </w:pPr>
            <w:r>
              <w:rPr>
                <w:rFonts w:ascii="Arial" w:cs="Arial" w:eastAsia="Arial" w:hAnsi="Arial"/>
                <w:sz w:val="18"/>
                <w:szCs w:val="18"/>
                <w:color w:val="auto"/>
              </w:rPr>
              <w:t>Pension Matters</w:t>
            </w:r>
          </w:p>
        </w:tc>
        <w:tc>
          <w:tcPr>
            <w:tcW w:w="22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7.18</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Regulatory Approvals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7.19</w:t>
            </w:r>
          </w:p>
        </w:tc>
        <w:tc>
          <w:tcPr>
            <w:tcW w:w="7760" w:type="dxa"/>
            <w:vAlign w:val="bottom"/>
          </w:tcPr>
          <w:p>
            <w:pPr>
              <w:ind w:left="240"/>
              <w:spacing w:after="0"/>
              <w:rPr>
                <w:sz w:val="20"/>
                <w:szCs w:val="20"/>
                <w:color w:val="auto"/>
              </w:rPr>
            </w:pPr>
            <w:r>
              <w:rPr>
                <w:rFonts w:ascii="Arial" w:cs="Arial" w:eastAsia="Arial" w:hAnsi="Arial"/>
                <w:sz w:val="18"/>
                <w:szCs w:val="18"/>
                <w:color w:val="auto"/>
              </w:rPr>
              <w:t>[Reserved]</w:t>
            </w:r>
          </w:p>
        </w:tc>
        <w:tc>
          <w:tcPr>
            <w:tcW w:w="22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7.20</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OFAC; Anti-Terrorism Laws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7.21</w:t>
            </w:r>
          </w:p>
        </w:tc>
        <w:tc>
          <w:tcPr>
            <w:tcW w:w="7760" w:type="dxa"/>
            <w:vAlign w:val="bottom"/>
          </w:tcPr>
          <w:p>
            <w:pPr>
              <w:ind w:left="240"/>
              <w:spacing w:after="0"/>
              <w:rPr>
                <w:sz w:val="20"/>
                <w:szCs w:val="20"/>
                <w:color w:val="auto"/>
              </w:rPr>
            </w:pPr>
            <w:r>
              <w:rPr>
                <w:rFonts w:ascii="Arial" w:cs="Arial" w:eastAsia="Arial" w:hAnsi="Arial"/>
                <w:sz w:val="18"/>
                <w:szCs w:val="18"/>
                <w:color w:val="auto"/>
              </w:rPr>
              <w:t>Anti-Corruption</w:t>
            </w:r>
          </w:p>
        </w:tc>
        <w:tc>
          <w:tcPr>
            <w:tcW w:w="22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7.22</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Priority of Obligations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7.23</w:t>
            </w:r>
          </w:p>
        </w:tc>
        <w:tc>
          <w:tcPr>
            <w:tcW w:w="7760" w:type="dxa"/>
            <w:vAlign w:val="bottom"/>
          </w:tcPr>
          <w:p>
            <w:pPr>
              <w:ind w:left="240"/>
              <w:spacing w:after="0"/>
              <w:rPr>
                <w:sz w:val="20"/>
                <w:szCs w:val="20"/>
                <w:color w:val="auto"/>
              </w:rPr>
            </w:pPr>
            <w:r>
              <w:rPr>
                <w:rFonts w:ascii="Arial" w:cs="Arial" w:eastAsia="Arial" w:hAnsi="Arial"/>
                <w:sz w:val="18"/>
                <w:szCs w:val="18"/>
                <w:color w:val="auto"/>
              </w:rPr>
              <w:t>Royalty and Other Payments</w:t>
            </w:r>
          </w:p>
        </w:tc>
        <w:tc>
          <w:tcPr>
            <w:tcW w:w="22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7.24</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Non-Competes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7.25</w:t>
            </w:r>
          </w:p>
        </w:tc>
        <w:tc>
          <w:tcPr>
            <w:tcW w:w="7760" w:type="dxa"/>
            <w:vAlign w:val="bottom"/>
          </w:tcPr>
          <w:p>
            <w:pPr>
              <w:ind w:left="240"/>
              <w:spacing w:after="0"/>
              <w:rPr>
                <w:sz w:val="20"/>
                <w:szCs w:val="20"/>
                <w:color w:val="auto"/>
              </w:rPr>
            </w:pPr>
            <w:r>
              <w:rPr>
                <w:rFonts w:ascii="Arial" w:cs="Arial" w:eastAsia="Arial" w:hAnsi="Arial"/>
                <w:sz w:val="18"/>
                <w:szCs w:val="18"/>
                <w:color w:val="auto"/>
              </w:rPr>
              <w:t>Reimbursement from Medical Reimbursement Programs</w:t>
            </w:r>
          </w:p>
        </w:tc>
        <w:tc>
          <w:tcPr>
            <w:tcW w:w="22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000" w:type="dxa"/>
            <w:vAlign w:val="bottom"/>
            <w:gridSpan w:val="2"/>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Section 8. AFFIRMATIVE COVENANTS</w:t>
            </w:r>
          </w:p>
        </w:tc>
        <w:tc>
          <w:tcPr>
            <w:tcW w:w="22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8.01</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Financial Statements and Other Information</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8.02</w:t>
            </w:r>
          </w:p>
        </w:tc>
        <w:tc>
          <w:tcPr>
            <w:tcW w:w="7760" w:type="dxa"/>
            <w:vAlign w:val="bottom"/>
          </w:tcPr>
          <w:p>
            <w:pPr>
              <w:ind w:left="240"/>
              <w:spacing w:after="0"/>
              <w:rPr>
                <w:sz w:val="20"/>
                <w:szCs w:val="20"/>
                <w:color w:val="auto"/>
              </w:rPr>
            </w:pPr>
            <w:r>
              <w:rPr>
                <w:rFonts w:ascii="Arial" w:cs="Arial" w:eastAsia="Arial" w:hAnsi="Arial"/>
                <w:sz w:val="18"/>
                <w:szCs w:val="18"/>
                <w:color w:val="auto"/>
              </w:rPr>
              <w:t>Notices of Material Events</w:t>
            </w:r>
          </w:p>
        </w:tc>
        <w:tc>
          <w:tcPr>
            <w:tcW w:w="22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8.03</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Existence</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8.04</w:t>
            </w:r>
          </w:p>
        </w:tc>
        <w:tc>
          <w:tcPr>
            <w:tcW w:w="7760" w:type="dxa"/>
            <w:vAlign w:val="bottom"/>
          </w:tcPr>
          <w:p>
            <w:pPr>
              <w:ind w:left="240"/>
              <w:spacing w:after="0"/>
              <w:rPr>
                <w:sz w:val="20"/>
                <w:szCs w:val="20"/>
                <w:color w:val="auto"/>
              </w:rPr>
            </w:pPr>
            <w:r>
              <w:rPr>
                <w:rFonts w:ascii="Arial" w:cs="Arial" w:eastAsia="Arial" w:hAnsi="Arial"/>
                <w:sz w:val="18"/>
                <w:szCs w:val="18"/>
                <w:color w:val="auto"/>
              </w:rPr>
              <w:t>Payment of Obligations</w:t>
            </w:r>
          </w:p>
        </w:tc>
        <w:tc>
          <w:tcPr>
            <w:tcW w:w="22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8.05</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Insurance</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8.06</w:t>
            </w:r>
          </w:p>
        </w:tc>
        <w:tc>
          <w:tcPr>
            <w:tcW w:w="7760" w:type="dxa"/>
            <w:vAlign w:val="bottom"/>
          </w:tcPr>
          <w:p>
            <w:pPr>
              <w:ind w:left="240"/>
              <w:spacing w:after="0"/>
              <w:rPr>
                <w:sz w:val="20"/>
                <w:szCs w:val="20"/>
                <w:color w:val="auto"/>
              </w:rPr>
            </w:pPr>
            <w:r>
              <w:rPr>
                <w:rFonts w:ascii="Arial" w:cs="Arial" w:eastAsia="Arial" w:hAnsi="Arial"/>
                <w:sz w:val="18"/>
                <w:szCs w:val="18"/>
                <w:color w:val="auto"/>
              </w:rPr>
              <w:t>Books and Records; Inspection Rights</w:t>
            </w:r>
          </w:p>
        </w:tc>
        <w:tc>
          <w:tcPr>
            <w:tcW w:w="22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8.07</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Compliance with Laws and Other Obligations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8.08</w:t>
            </w:r>
          </w:p>
        </w:tc>
        <w:tc>
          <w:tcPr>
            <w:tcW w:w="7760" w:type="dxa"/>
            <w:vAlign w:val="bottom"/>
          </w:tcPr>
          <w:p>
            <w:pPr>
              <w:ind w:left="240"/>
              <w:spacing w:after="0"/>
              <w:rPr>
                <w:sz w:val="20"/>
                <w:szCs w:val="20"/>
                <w:color w:val="auto"/>
              </w:rPr>
            </w:pPr>
            <w:r>
              <w:rPr>
                <w:rFonts w:ascii="Arial" w:cs="Arial" w:eastAsia="Arial" w:hAnsi="Arial"/>
                <w:sz w:val="18"/>
                <w:szCs w:val="18"/>
                <w:color w:val="auto"/>
              </w:rPr>
              <w:t>Maintenance of Properties, Etc.</w:t>
            </w:r>
          </w:p>
        </w:tc>
        <w:tc>
          <w:tcPr>
            <w:tcW w:w="22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8.09</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Governmental Licenses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8.10</w:t>
            </w:r>
          </w:p>
        </w:tc>
        <w:tc>
          <w:tcPr>
            <w:tcW w:w="7760" w:type="dxa"/>
            <w:vAlign w:val="bottom"/>
          </w:tcPr>
          <w:p>
            <w:pPr>
              <w:ind w:left="240"/>
              <w:spacing w:after="0"/>
              <w:rPr>
                <w:sz w:val="20"/>
                <w:szCs w:val="20"/>
                <w:color w:val="auto"/>
              </w:rPr>
            </w:pPr>
            <w:r>
              <w:rPr>
                <w:rFonts w:ascii="Arial" w:cs="Arial" w:eastAsia="Arial" w:hAnsi="Arial"/>
                <w:sz w:val="18"/>
                <w:szCs w:val="18"/>
                <w:color w:val="auto"/>
              </w:rPr>
              <w:t>Use of Proceeds</w:t>
            </w:r>
          </w:p>
        </w:tc>
        <w:tc>
          <w:tcPr>
            <w:tcW w:w="22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8.11</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Certain Obligations Respecting Subsidiaries; Further Assurances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8.12</w:t>
            </w:r>
          </w:p>
        </w:tc>
        <w:tc>
          <w:tcPr>
            <w:tcW w:w="7760" w:type="dxa"/>
            <w:vAlign w:val="bottom"/>
          </w:tcPr>
          <w:p>
            <w:pPr>
              <w:ind w:left="240"/>
              <w:spacing w:after="0"/>
              <w:rPr>
                <w:sz w:val="20"/>
                <w:szCs w:val="20"/>
                <w:color w:val="auto"/>
              </w:rPr>
            </w:pPr>
            <w:r>
              <w:rPr>
                <w:rFonts w:ascii="Arial" w:cs="Arial" w:eastAsia="Arial" w:hAnsi="Arial"/>
                <w:sz w:val="18"/>
                <w:szCs w:val="18"/>
                <w:color w:val="auto"/>
              </w:rPr>
              <w:t>Termination of Non-Permitted Liens</w:t>
            </w:r>
          </w:p>
        </w:tc>
        <w:tc>
          <w:tcPr>
            <w:tcW w:w="22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8.13</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Board Materials; Lender Calls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8.14</w:t>
            </w:r>
          </w:p>
        </w:tc>
        <w:tc>
          <w:tcPr>
            <w:tcW w:w="7760" w:type="dxa"/>
            <w:vAlign w:val="bottom"/>
          </w:tcPr>
          <w:p>
            <w:pPr>
              <w:ind w:left="240"/>
              <w:spacing w:after="0"/>
              <w:rPr>
                <w:sz w:val="20"/>
                <w:szCs w:val="20"/>
                <w:color w:val="auto"/>
              </w:rPr>
            </w:pPr>
            <w:r>
              <w:rPr>
                <w:rFonts w:ascii="Arial" w:cs="Arial" w:eastAsia="Arial" w:hAnsi="Arial"/>
                <w:sz w:val="18"/>
                <w:szCs w:val="18"/>
                <w:color w:val="auto"/>
              </w:rPr>
              <w:t>Maintenance of Regulatory Approvals, Contracts, Intellectual Property, Etc.</w:t>
            </w:r>
          </w:p>
        </w:tc>
        <w:tc>
          <w:tcPr>
            <w:tcW w:w="22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8.15</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ERISA Compliance and Pension Plans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8.16</w:t>
            </w:r>
          </w:p>
        </w:tc>
        <w:tc>
          <w:tcPr>
            <w:tcW w:w="7760" w:type="dxa"/>
            <w:vAlign w:val="bottom"/>
          </w:tcPr>
          <w:p>
            <w:pPr>
              <w:ind w:left="240"/>
              <w:spacing w:after="0"/>
              <w:rPr>
                <w:sz w:val="20"/>
                <w:szCs w:val="20"/>
                <w:color w:val="auto"/>
              </w:rPr>
            </w:pPr>
            <w:r>
              <w:rPr>
                <w:rFonts w:ascii="Arial" w:cs="Arial" w:eastAsia="Arial" w:hAnsi="Arial"/>
                <w:sz w:val="18"/>
                <w:szCs w:val="18"/>
                <w:color w:val="auto"/>
              </w:rPr>
              <w:t>Cash Management</w:t>
            </w:r>
          </w:p>
        </w:tc>
        <w:tc>
          <w:tcPr>
            <w:tcW w:w="22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8.17</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Post-Closing Obligations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240" w:type="dxa"/>
            <w:vAlign w:val="bottom"/>
          </w:tcPr>
          <w:p>
            <w:pPr>
              <w:jc w:val="right"/>
              <w:ind w:right="150"/>
              <w:spacing w:after="0"/>
              <w:rPr>
                <w:sz w:val="20"/>
                <w:szCs w:val="20"/>
                <w:color w:val="auto"/>
              </w:rPr>
            </w:pPr>
            <w:r>
              <w:rPr>
                <w:rFonts w:ascii="Arial" w:cs="Arial" w:eastAsia="Arial" w:hAnsi="Arial"/>
                <w:sz w:val="18"/>
                <w:szCs w:val="18"/>
                <w:color w:val="auto"/>
              </w:rPr>
              <w:t>8.18</w:t>
            </w:r>
          </w:p>
        </w:tc>
        <w:tc>
          <w:tcPr>
            <w:tcW w:w="7760" w:type="dxa"/>
            <w:vAlign w:val="bottom"/>
          </w:tcPr>
          <w:p>
            <w:pPr>
              <w:ind w:left="240"/>
              <w:spacing w:after="0"/>
              <w:rPr>
                <w:sz w:val="20"/>
                <w:szCs w:val="20"/>
                <w:color w:val="auto"/>
              </w:rPr>
            </w:pPr>
            <w:r>
              <w:rPr>
                <w:rFonts w:ascii="Arial" w:cs="Arial" w:eastAsia="Arial" w:hAnsi="Arial"/>
                <w:sz w:val="18"/>
                <w:szCs w:val="18"/>
                <w:color w:val="auto"/>
              </w:rPr>
              <w:t>Warrants</w:t>
            </w:r>
          </w:p>
        </w:tc>
        <w:tc>
          <w:tcPr>
            <w:tcW w:w="22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8.19</w:t>
            </w:r>
          </w:p>
        </w:tc>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Certain Additional Rights of Lender (VCOC)</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53"/>
        </w:trPr>
        <w:tc>
          <w:tcPr>
            <w:tcW w:w="1260" w:type="dxa"/>
            <w:vAlign w:val="bottom"/>
          </w:tcPr>
          <w:p>
            <w:pPr>
              <w:spacing w:after="0"/>
              <w:rPr>
                <w:sz w:val="21"/>
                <w:szCs w:val="21"/>
                <w:color w:val="auto"/>
              </w:rPr>
            </w:pPr>
          </w:p>
        </w:tc>
        <w:tc>
          <w:tcPr>
            <w:tcW w:w="7900" w:type="dxa"/>
            <w:vAlign w:val="bottom"/>
          </w:tcPr>
          <w:p>
            <w:pPr>
              <w:ind w:left="3220"/>
              <w:spacing w:after="0"/>
              <w:rPr>
                <w:sz w:val="20"/>
                <w:szCs w:val="20"/>
                <w:color w:val="auto"/>
              </w:rPr>
            </w:pPr>
            <w:r>
              <w:rPr>
                <w:rFonts w:ascii="Arial" w:cs="Arial" w:eastAsia="Arial" w:hAnsi="Arial"/>
                <w:sz w:val="22"/>
                <w:szCs w:val="22"/>
                <w:b w:val="1"/>
                <w:bCs w:val="1"/>
                <w:color w:val="auto"/>
              </w:rPr>
              <w:t>TABLE OF CONTENTS</w:t>
            </w:r>
          </w:p>
        </w:tc>
        <w:tc>
          <w:tcPr>
            <w:tcW w:w="2080" w:type="dxa"/>
            <w:vAlign w:val="bottom"/>
          </w:tcPr>
          <w:p>
            <w:pPr>
              <w:spacing w:after="0"/>
              <w:rPr>
                <w:sz w:val="21"/>
                <w:szCs w:val="21"/>
                <w:color w:val="auto"/>
              </w:rPr>
            </w:pPr>
          </w:p>
        </w:tc>
      </w:tr>
      <w:tr>
        <w:trPr>
          <w:trHeight w:val="274"/>
        </w:trPr>
        <w:tc>
          <w:tcPr>
            <w:tcW w:w="1260" w:type="dxa"/>
            <w:vAlign w:val="bottom"/>
          </w:tcPr>
          <w:p>
            <w:pPr>
              <w:spacing w:after="0"/>
              <w:rPr>
                <w:sz w:val="23"/>
                <w:szCs w:val="23"/>
                <w:color w:val="auto"/>
              </w:rPr>
            </w:pPr>
          </w:p>
        </w:tc>
        <w:tc>
          <w:tcPr>
            <w:tcW w:w="7900" w:type="dxa"/>
            <w:vAlign w:val="bottom"/>
          </w:tcPr>
          <w:p>
            <w:pPr>
              <w:ind w:left="3860"/>
              <w:spacing w:after="0"/>
              <w:rPr>
                <w:sz w:val="20"/>
                <w:szCs w:val="20"/>
                <w:color w:val="auto"/>
              </w:rPr>
            </w:pPr>
            <w:r>
              <w:rPr>
                <w:rFonts w:ascii="Arial" w:cs="Arial" w:eastAsia="Arial" w:hAnsi="Arial"/>
                <w:sz w:val="22"/>
                <w:szCs w:val="22"/>
                <w:color w:val="auto"/>
              </w:rPr>
              <w:t>(continued)</w:t>
            </w:r>
          </w:p>
        </w:tc>
        <w:tc>
          <w:tcPr>
            <w:tcW w:w="2080" w:type="dxa"/>
            <w:vAlign w:val="bottom"/>
          </w:tcPr>
          <w:p>
            <w:pPr>
              <w:spacing w:after="0"/>
              <w:rPr>
                <w:sz w:val="23"/>
                <w:szCs w:val="23"/>
                <w:color w:val="auto"/>
              </w:rPr>
            </w:pPr>
          </w:p>
        </w:tc>
      </w:tr>
      <w:tr>
        <w:trPr>
          <w:trHeight w:val="233"/>
        </w:trPr>
        <w:tc>
          <w:tcPr>
            <w:tcW w:w="9160" w:type="dxa"/>
            <w:vAlign w:val="bottom"/>
            <w:gridSpan w:val="2"/>
          </w:tcPr>
          <w:p>
            <w:pPr>
              <w:spacing w:after="0"/>
              <w:rPr>
                <w:sz w:val="20"/>
                <w:szCs w:val="20"/>
                <w:color w:val="auto"/>
              </w:rPr>
            </w:pPr>
          </w:p>
        </w:tc>
        <w:tc>
          <w:tcPr>
            <w:tcW w:w="2080" w:type="dxa"/>
            <w:vAlign w:val="bottom"/>
          </w:tcPr>
          <w:p>
            <w:pPr>
              <w:spacing w:after="0"/>
              <w:rPr>
                <w:sz w:val="20"/>
                <w:szCs w:val="20"/>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9. NEGATIVE COVENANTS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260" w:type="dxa"/>
            <w:vAlign w:val="bottom"/>
          </w:tcPr>
          <w:p>
            <w:pPr>
              <w:jc w:val="center"/>
              <w:ind w:left="330"/>
              <w:spacing w:after="0"/>
              <w:rPr>
                <w:sz w:val="20"/>
                <w:szCs w:val="20"/>
                <w:color w:val="auto"/>
              </w:rPr>
            </w:pPr>
            <w:r>
              <w:rPr>
                <w:rFonts w:ascii="Arial" w:cs="Arial" w:eastAsia="Arial" w:hAnsi="Arial"/>
                <w:sz w:val="18"/>
                <w:szCs w:val="18"/>
                <w:color w:val="auto"/>
                <w:w w:val="91"/>
              </w:rPr>
              <w:t>9.01</w:t>
            </w:r>
          </w:p>
        </w:tc>
        <w:tc>
          <w:tcPr>
            <w:tcW w:w="7900" w:type="dxa"/>
            <w:vAlign w:val="bottom"/>
          </w:tcPr>
          <w:p>
            <w:pPr>
              <w:ind w:left="220"/>
              <w:spacing w:after="0"/>
              <w:rPr>
                <w:sz w:val="20"/>
                <w:szCs w:val="20"/>
                <w:color w:val="auto"/>
              </w:rPr>
            </w:pPr>
            <w:r>
              <w:rPr>
                <w:rFonts w:ascii="Arial" w:cs="Arial" w:eastAsia="Arial" w:hAnsi="Arial"/>
                <w:sz w:val="18"/>
                <w:szCs w:val="18"/>
                <w:color w:val="auto"/>
              </w:rPr>
              <w:t>Indebtedness</w:t>
            </w:r>
          </w:p>
        </w:tc>
        <w:tc>
          <w:tcPr>
            <w:tcW w:w="20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2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9.02</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Liens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60" w:type="dxa"/>
            <w:vAlign w:val="bottom"/>
          </w:tcPr>
          <w:p>
            <w:pPr>
              <w:jc w:val="center"/>
              <w:ind w:left="330"/>
              <w:spacing w:after="0"/>
              <w:rPr>
                <w:sz w:val="20"/>
                <w:szCs w:val="20"/>
                <w:color w:val="auto"/>
              </w:rPr>
            </w:pPr>
            <w:r>
              <w:rPr>
                <w:rFonts w:ascii="Arial" w:cs="Arial" w:eastAsia="Arial" w:hAnsi="Arial"/>
                <w:sz w:val="18"/>
                <w:szCs w:val="18"/>
                <w:color w:val="auto"/>
                <w:w w:val="91"/>
              </w:rPr>
              <w:t>9.03</w:t>
            </w:r>
          </w:p>
        </w:tc>
        <w:tc>
          <w:tcPr>
            <w:tcW w:w="7900" w:type="dxa"/>
            <w:vAlign w:val="bottom"/>
          </w:tcPr>
          <w:p>
            <w:pPr>
              <w:ind w:left="220"/>
              <w:spacing w:after="0"/>
              <w:rPr>
                <w:sz w:val="20"/>
                <w:szCs w:val="20"/>
                <w:color w:val="auto"/>
              </w:rPr>
            </w:pPr>
            <w:r>
              <w:rPr>
                <w:rFonts w:ascii="Arial" w:cs="Arial" w:eastAsia="Arial" w:hAnsi="Arial"/>
                <w:sz w:val="18"/>
                <w:szCs w:val="18"/>
                <w:color w:val="auto"/>
              </w:rPr>
              <w:t>Fundamental Changes and Acquisitions</w:t>
            </w:r>
          </w:p>
        </w:tc>
        <w:tc>
          <w:tcPr>
            <w:tcW w:w="20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2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9.04</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Lines of Business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260" w:type="dxa"/>
            <w:vAlign w:val="bottom"/>
          </w:tcPr>
          <w:p>
            <w:pPr>
              <w:jc w:val="center"/>
              <w:ind w:left="330"/>
              <w:spacing w:after="0"/>
              <w:rPr>
                <w:sz w:val="20"/>
                <w:szCs w:val="20"/>
                <w:color w:val="auto"/>
              </w:rPr>
            </w:pPr>
            <w:r>
              <w:rPr>
                <w:rFonts w:ascii="Arial" w:cs="Arial" w:eastAsia="Arial" w:hAnsi="Arial"/>
                <w:sz w:val="18"/>
                <w:szCs w:val="18"/>
                <w:color w:val="auto"/>
                <w:w w:val="91"/>
              </w:rPr>
              <w:t>9.05</w:t>
            </w:r>
          </w:p>
        </w:tc>
        <w:tc>
          <w:tcPr>
            <w:tcW w:w="790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20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2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9.06</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Payments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260" w:type="dxa"/>
            <w:vAlign w:val="bottom"/>
          </w:tcPr>
          <w:p>
            <w:pPr>
              <w:jc w:val="center"/>
              <w:ind w:left="330"/>
              <w:spacing w:after="0"/>
              <w:rPr>
                <w:sz w:val="20"/>
                <w:szCs w:val="20"/>
                <w:color w:val="auto"/>
              </w:rPr>
            </w:pPr>
            <w:r>
              <w:rPr>
                <w:rFonts w:ascii="Arial" w:cs="Arial" w:eastAsia="Arial" w:hAnsi="Arial"/>
                <w:sz w:val="18"/>
                <w:szCs w:val="18"/>
                <w:color w:val="auto"/>
                <w:w w:val="91"/>
              </w:rPr>
              <w:t>9.07</w:t>
            </w:r>
          </w:p>
        </w:tc>
        <w:tc>
          <w:tcPr>
            <w:tcW w:w="7900" w:type="dxa"/>
            <w:vAlign w:val="bottom"/>
          </w:tcPr>
          <w:p>
            <w:pPr>
              <w:ind w:left="220"/>
              <w:spacing w:after="0"/>
              <w:rPr>
                <w:sz w:val="20"/>
                <w:szCs w:val="20"/>
                <w:color w:val="auto"/>
              </w:rPr>
            </w:pPr>
            <w:r>
              <w:rPr>
                <w:rFonts w:ascii="Arial" w:cs="Arial" w:eastAsia="Arial" w:hAnsi="Arial"/>
                <w:sz w:val="18"/>
                <w:szCs w:val="18"/>
                <w:color w:val="auto"/>
              </w:rPr>
              <w:t>Payments of Indebtedness</w:t>
            </w:r>
          </w:p>
        </w:tc>
        <w:tc>
          <w:tcPr>
            <w:tcW w:w="20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2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9.08</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Fiscal Year</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260" w:type="dxa"/>
            <w:vAlign w:val="bottom"/>
          </w:tcPr>
          <w:p>
            <w:pPr>
              <w:jc w:val="center"/>
              <w:ind w:left="330"/>
              <w:spacing w:after="0"/>
              <w:rPr>
                <w:sz w:val="20"/>
                <w:szCs w:val="20"/>
                <w:color w:val="auto"/>
              </w:rPr>
            </w:pPr>
            <w:r>
              <w:rPr>
                <w:rFonts w:ascii="Arial" w:cs="Arial" w:eastAsia="Arial" w:hAnsi="Arial"/>
                <w:sz w:val="18"/>
                <w:szCs w:val="18"/>
                <w:color w:val="auto"/>
                <w:w w:val="91"/>
              </w:rPr>
              <w:t>9.09</w:t>
            </w:r>
          </w:p>
        </w:tc>
        <w:tc>
          <w:tcPr>
            <w:tcW w:w="7900" w:type="dxa"/>
            <w:vAlign w:val="bottom"/>
          </w:tcPr>
          <w:p>
            <w:pPr>
              <w:ind w:left="220"/>
              <w:spacing w:after="0"/>
              <w:rPr>
                <w:sz w:val="20"/>
                <w:szCs w:val="20"/>
                <w:color w:val="auto"/>
              </w:rPr>
            </w:pPr>
            <w:r>
              <w:rPr>
                <w:rFonts w:ascii="Arial" w:cs="Arial" w:eastAsia="Arial" w:hAnsi="Arial"/>
                <w:sz w:val="18"/>
                <w:szCs w:val="18"/>
                <w:color w:val="auto"/>
              </w:rPr>
              <w:t>Sales of Assets, Etc.</w:t>
            </w:r>
          </w:p>
        </w:tc>
        <w:tc>
          <w:tcPr>
            <w:tcW w:w="20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2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9.10</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Transactions with Affiliates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260" w:type="dxa"/>
            <w:vAlign w:val="bottom"/>
          </w:tcPr>
          <w:p>
            <w:pPr>
              <w:jc w:val="center"/>
              <w:ind w:left="330"/>
              <w:spacing w:after="0"/>
              <w:rPr>
                <w:sz w:val="20"/>
                <w:szCs w:val="20"/>
                <w:color w:val="auto"/>
              </w:rPr>
            </w:pPr>
            <w:r>
              <w:rPr>
                <w:rFonts w:ascii="Arial" w:cs="Arial" w:eastAsia="Arial" w:hAnsi="Arial"/>
                <w:sz w:val="18"/>
                <w:szCs w:val="18"/>
                <w:color w:val="auto"/>
                <w:w w:val="91"/>
              </w:rPr>
              <w:t>9.11</w:t>
            </w:r>
          </w:p>
        </w:tc>
        <w:tc>
          <w:tcPr>
            <w:tcW w:w="7900" w:type="dxa"/>
            <w:vAlign w:val="bottom"/>
          </w:tcPr>
          <w:p>
            <w:pPr>
              <w:ind w:left="220"/>
              <w:spacing w:after="0"/>
              <w:rPr>
                <w:sz w:val="20"/>
                <w:szCs w:val="20"/>
                <w:color w:val="auto"/>
              </w:rPr>
            </w:pPr>
            <w:r>
              <w:rPr>
                <w:rFonts w:ascii="Arial" w:cs="Arial" w:eastAsia="Arial" w:hAnsi="Arial"/>
                <w:sz w:val="18"/>
                <w:szCs w:val="18"/>
                <w:color w:val="auto"/>
              </w:rPr>
              <w:t>Restrictive Agreements</w:t>
            </w:r>
          </w:p>
        </w:tc>
        <w:tc>
          <w:tcPr>
            <w:tcW w:w="20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2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9.12</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Modifications and Terminations of Material Agreements and Organic Documents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260" w:type="dxa"/>
            <w:vAlign w:val="bottom"/>
          </w:tcPr>
          <w:p>
            <w:pPr>
              <w:jc w:val="center"/>
              <w:ind w:left="330"/>
              <w:spacing w:after="0"/>
              <w:rPr>
                <w:sz w:val="20"/>
                <w:szCs w:val="20"/>
                <w:color w:val="auto"/>
              </w:rPr>
            </w:pPr>
            <w:r>
              <w:rPr>
                <w:rFonts w:ascii="Arial" w:cs="Arial" w:eastAsia="Arial" w:hAnsi="Arial"/>
                <w:sz w:val="18"/>
                <w:szCs w:val="18"/>
                <w:color w:val="auto"/>
                <w:w w:val="91"/>
              </w:rPr>
              <w:t>9.13</w:t>
            </w:r>
          </w:p>
        </w:tc>
        <w:tc>
          <w:tcPr>
            <w:tcW w:w="7900" w:type="dxa"/>
            <w:vAlign w:val="bottom"/>
          </w:tcPr>
          <w:p>
            <w:pPr>
              <w:ind w:left="220"/>
              <w:spacing w:after="0"/>
              <w:rPr>
                <w:sz w:val="20"/>
                <w:szCs w:val="20"/>
                <w:color w:val="auto"/>
              </w:rPr>
            </w:pPr>
            <w:r>
              <w:rPr>
                <w:rFonts w:ascii="Arial" w:cs="Arial" w:eastAsia="Arial" w:hAnsi="Arial"/>
                <w:sz w:val="18"/>
                <w:szCs w:val="18"/>
                <w:color w:val="auto"/>
              </w:rPr>
              <w:t>Outbound Licenses</w:t>
            </w:r>
          </w:p>
        </w:tc>
        <w:tc>
          <w:tcPr>
            <w:tcW w:w="20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2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9.14</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Leasebacks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260" w:type="dxa"/>
            <w:vAlign w:val="bottom"/>
          </w:tcPr>
          <w:p>
            <w:pPr>
              <w:jc w:val="center"/>
              <w:ind w:left="330"/>
              <w:spacing w:after="0"/>
              <w:rPr>
                <w:sz w:val="20"/>
                <w:szCs w:val="20"/>
                <w:color w:val="auto"/>
              </w:rPr>
            </w:pPr>
            <w:r>
              <w:rPr>
                <w:rFonts w:ascii="Arial" w:cs="Arial" w:eastAsia="Arial" w:hAnsi="Arial"/>
                <w:sz w:val="18"/>
                <w:szCs w:val="18"/>
                <w:color w:val="auto"/>
                <w:w w:val="91"/>
              </w:rPr>
              <w:t>9.15</w:t>
            </w:r>
          </w:p>
        </w:tc>
        <w:tc>
          <w:tcPr>
            <w:tcW w:w="7900" w:type="dxa"/>
            <w:vAlign w:val="bottom"/>
          </w:tcPr>
          <w:p>
            <w:pPr>
              <w:ind w:left="220"/>
              <w:spacing w:after="0"/>
              <w:rPr>
                <w:sz w:val="20"/>
                <w:szCs w:val="20"/>
                <w:color w:val="auto"/>
              </w:rPr>
            </w:pPr>
            <w:r>
              <w:rPr>
                <w:rFonts w:ascii="Arial" w:cs="Arial" w:eastAsia="Arial" w:hAnsi="Arial"/>
                <w:sz w:val="18"/>
                <w:szCs w:val="18"/>
                <w:color w:val="auto"/>
              </w:rPr>
              <w:t>Hazardous Material</w:t>
            </w:r>
          </w:p>
        </w:tc>
        <w:tc>
          <w:tcPr>
            <w:tcW w:w="20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2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9.16</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Accounting Changes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260" w:type="dxa"/>
            <w:vAlign w:val="bottom"/>
          </w:tcPr>
          <w:p>
            <w:pPr>
              <w:jc w:val="center"/>
              <w:ind w:left="330"/>
              <w:spacing w:after="0"/>
              <w:rPr>
                <w:sz w:val="20"/>
                <w:szCs w:val="20"/>
                <w:color w:val="auto"/>
              </w:rPr>
            </w:pPr>
            <w:r>
              <w:rPr>
                <w:rFonts w:ascii="Arial" w:cs="Arial" w:eastAsia="Arial" w:hAnsi="Arial"/>
                <w:sz w:val="18"/>
                <w:szCs w:val="18"/>
                <w:color w:val="auto"/>
                <w:w w:val="91"/>
              </w:rPr>
              <w:t>9.17</w:t>
            </w:r>
          </w:p>
        </w:tc>
        <w:tc>
          <w:tcPr>
            <w:tcW w:w="7900" w:type="dxa"/>
            <w:vAlign w:val="bottom"/>
          </w:tcPr>
          <w:p>
            <w:pPr>
              <w:ind w:left="220"/>
              <w:spacing w:after="0"/>
              <w:rPr>
                <w:sz w:val="20"/>
                <w:szCs w:val="20"/>
                <w:color w:val="auto"/>
              </w:rPr>
            </w:pPr>
            <w:r>
              <w:rPr>
                <w:rFonts w:ascii="Arial" w:cs="Arial" w:eastAsia="Arial" w:hAnsi="Arial"/>
                <w:sz w:val="18"/>
                <w:szCs w:val="18"/>
                <w:color w:val="auto"/>
              </w:rPr>
              <w:t>Compliance with ERISA</w:t>
            </w:r>
          </w:p>
        </w:tc>
        <w:tc>
          <w:tcPr>
            <w:tcW w:w="20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2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1"/>
              </w:rPr>
              <w:t>9.18</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Sanctions; Anti-Corruption Use of Proceeds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Section 10. FINANCIAL COVENANTS</w:t>
            </w:r>
          </w:p>
        </w:tc>
        <w:tc>
          <w:tcPr>
            <w:tcW w:w="20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2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8"/>
              </w:rPr>
              <w:t>10.01</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Minimum Liquidity</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260" w:type="dxa"/>
            <w:vAlign w:val="bottom"/>
          </w:tcPr>
          <w:p>
            <w:pPr>
              <w:jc w:val="center"/>
              <w:ind w:left="330"/>
              <w:spacing w:after="0"/>
              <w:rPr>
                <w:sz w:val="20"/>
                <w:szCs w:val="20"/>
                <w:color w:val="auto"/>
              </w:rPr>
            </w:pPr>
            <w:r>
              <w:rPr>
                <w:rFonts w:ascii="Arial" w:cs="Arial" w:eastAsia="Arial" w:hAnsi="Arial"/>
                <w:sz w:val="18"/>
                <w:szCs w:val="18"/>
                <w:color w:val="auto"/>
                <w:w w:val="88"/>
              </w:rPr>
              <w:t>10.02</w:t>
            </w:r>
          </w:p>
        </w:tc>
        <w:tc>
          <w:tcPr>
            <w:tcW w:w="7900" w:type="dxa"/>
            <w:vAlign w:val="bottom"/>
          </w:tcPr>
          <w:p>
            <w:pPr>
              <w:ind w:left="220"/>
              <w:spacing w:after="0"/>
              <w:rPr>
                <w:sz w:val="20"/>
                <w:szCs w:val="20"/>
                <w:color w:val="auto"/>
              </w:rPr>
            </w:pPr>
            <w:r>
              <w:rPr>
                <w:rFonts w:ascii="Arial" w:cs="Arial" w:eastAsia="Arial" w:hAnsi="Arial"/>
                <w:sz w:val="18"/>
                <w:szCs w:val="18"/>
                <w:color w:val="auto"/>
              </w:rPr>
              <w:t>Minimum Net Revenues</w:t>
            </w:r>
          </w:p>
        </w:tc>
        <w:tc>
          <w:tcPr>
            <w:tcW w:w="20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11. EVENTS OF DEFAULT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260" w:type="dxa"/>
            <w:vAlign w:val="bottom"/>
          </w:tcPr>
          <w:p>
            <w:pPr>
              <w:jc w:val="center"/>
              <w:ind w:left="330"/>
              <w:spacing w:after="0"/>
              <w:rPr>
                <w:sz w:val="20"/>
                <w:szCs w:val="20"/>
                <w:color w:val="auto"/>
              </w:rPr>
            </w:pPr>
            <w:r>
              <w:rPr>
                <w:rFonts w:ascii="Arial" w:cs="Arial" w:eastAsia="Arial" w:hAnsi="Arial"/>
                <w:sz w:val="18"/>
                <w:szCs w:val="18"/>
                <w:color w:val="auto"/>
                <w:w w:val="88"/>
              </w:rPr>
              <w:t>11.01</w:t>
            </w:r>
          </w:p>
        </w:tc>
        <w:tc>
          <w:tcPr>
            <w:tcW w:w="7900" w:type="dxa"/>
            <w:vAlign w:val="bottom"/>
          </w:tcPr>
          <w:p>
            <w:pPr>
              <w:ind w:left="220"/>
              <w:spacing w:after="0"/>
              <w:rPr>
                <w:sz w:val="20"/>
                <w:szCs w:val="20"/>
                <w:color w:val="auto"/>
              </w:rPr>
            </w:pPr>
            <w:r>
              <w:rPr>
                <w:rFonts w:ascii="Arial" w:cs="Arial" w:eastAsia="Arial" w:hAnsi="Arial"/>
                <w:sz w:val="18"/>
                <w:szCs w:val="18"/>
                <w:color w:val="auto"/>
              </w:rPr>
              <w:t>Events of Default</w:t>
            </w:r>
          </w:p>
        </w:tc>
        <w:tc>
          <w:tcPr>
            <w:tcW w:w="20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2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8"/>
              </w:rPr>
              <w:t>11.02</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Remedies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260" w:type="dxa"/>
            <w:vAlign w:val="bottom"/>
          </w:tcPr>
          <w:p>
            <w:pPr>
              <w:jc w:val="center"/>
              <w:ind w:left="330"/>
              <w:spacing w:after="0"/>
              <w:rPr>
                <w:sz w:val="20"/>
                <w:szCs w:val="20"/>
                <w:color w:val="auto"/>
              </w:rPr>
            </w:pPr>
            <w:r>
              <w:rPr>
                <w:rFonts w:ascii="Arial" w:cs="Arial" w:eastAsia="Arial" w:hAnsi="Arial"/>
                <w:sz w:val="18"/>
                <w:szCs w:val="18"/>
                <w:color w:val="auto"/>
                <w:w w:val="88"/>
              </w:rPr>
              <w:t>11.03</w:t>
            </w:r>
          </w:p>
        </w:tc>
        <w:tc>
          <w:tcPr>
            <w:tcW w:w="7900" w:type="dxa"/>
            <w:vAlign w:val="bottom"/>
          </w:tcPr>
          <w:p>
            <w:pPr>
              <w:ind w:left="220"/>
              <w:spacing w:after="0"/>
              <w:rPr>
                <w:sz w:val="20"/>
                <w:szCs w:val="20"/>
                <w:color w:val="auto"/>
              </w:rPr>
            </w:pPr>
            <w:r>
              <w:rPr>
                <w:rFonts w:ascii="Arial" w:cs="Arial" w:eastAsia="Arial" w:hAnsi="Arial"/>
                <w:sz w:val="18"/>
                <w:szCs w:val="18"/>
                <w:color w:val="auto"/>
              </w:rPr>
              <w:t>Additional Remedies</w:t>
            </w:r>
          </w:p>
        </w:tc>
        <w:tc>
          <w:tcPr>
            <w:tcW w:w="20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2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8"/>
              </w:rPr>
              <w:t>11.04</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Minimum Net Revenues Covenant Cure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260" w:type="dxa"/>
            <w:vAlign w:val="bottom"/>
          </w:tcPr>
          <w:p>
            <w:pPr>
              <w:jc w:val="center"/>
              <w:ind w:left="330"/>
              <w:spacing w:after="0"/>
              <w:rPr>
                <w:sz w:val="20"/>
                <w:szCs w:val="20"/>
                <w:color w:val="auto"/>
              </w:rPr>
            </w:pPr>
            <w:r>
              <w:rPr>
                <w:rFonts w:ascii="Arial" w:cs="Arial" w:eastAsia="Arial" w:hAnsi="Arial"/>
                <w:sz w:val="18"/>
                <w:szCs w:val="18"/>
                <w:color w:val="auto"/>
                <w:w w:val="88"/>
              </w:rPr>
              <w:t>11.05</w:t>
            </w:r>
          </w:p>
        </w:tc>
        <w:tc>
          <w:tcPr>
            <w:tcW w:w="7900" w:type="dxa"/>
            <w:vAlign w:val="bottom"/>
          </w:tcPr>
          <w:p>
            <w:pPr>
              <w:ind w:left="220"/>
              <w:spacing w:after="0"/>
              <w:rPr>
                <w:sz w:val="20"/>
                <w:szCs w:val="20"/>
                <w:color w:val="auto"/>
              </w:rPr>
            </w:pPr>
            <w:r>
              <w:rPr>
                <w:rFonts w:ascii="Arial" w:cs="Arial" w:eastAsia="Arial" w:hAnsi="Arial"/>
                <w:sz w:val="18"/>
                <w:szCs w:val="18"/>
                <w:color w:val="auto"/>
              </w:rPr>
              <w:t>Payment of Yield Protection Premium and Exit Fee</w:t>
            </w:r>
          </w:p>
        </w:tc>
        <w:tc>
          <w:tcPr>
            <w:tcW w:w="20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12. THE ADMINISTRATIVE AGENT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260" w:type="dxa"/>
            <w:vAlign w:val="bottom"/>
          </w:tcPr>
          <w:p>
            <w:pPr>
              <w:jc w:val="center"/>
              <w:ind w:left="330"/>
              <w:spacing w:after="0"/>
              <w:rPr>
                <w:sz w:val="20"/>
                <w:szCs w:val="20"/>
                <w:color w:val="auto"/>
              </w:rPr>
            </w:pPr>
            <w:r>
              <w:rPr>
                <w:rFonts w:ascii="Arial" w:cs="Arial" w:eastAsia="Arial" w:hAnsi="Arial"/>
                <w:sz w:val="18"/>
                <w:szCs w:val="18"/>
                <w:color w:val="auto"/>
                <w:w w:val="88"/>
              </w:rPr>
              <w:t>12.01</w:t>
            </w:r>
          </w:p>
        </w:tc>
        <w:tc>
          <w:tcPr>
            <w:tcW w:w="7900" w:type="dxa"/>
            <w:vAlign w:val="bottom"/>
          </w:tcPr>
          <w:p>
            <w:pPr>
              <w:ind w:left="220"/>
              <w:spacing w:after="0"/>
              <w:rPr>
                <w:sz w:val="20"/>
                <w:szCs w:val="20"/>
                <w:color w:val="auto"/>
              </w:rPr>
            </w:pPr>
            <w:r>
              <w:rPr>
                <w:rFonts w:ascii="Arial" w:cs="Arial" w:eastAsia="Arial" w:hAnsi="Arial"/>
                <w:sz w:val="18"/>
                <w:szCs w:val="18"/>
                <w:color w:val="auto"/>
              </w:rPr>
              <w:t>Appointment and Duties</w:t>
            </w:r>
          </w:p>
        </w:tc>
        <w:tc>
          <w:tcPr>
            <w:tcW w:w="20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2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8"/>
              </w:rPr>
              <w:t>12.02</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Binding Effect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260" w:type="dxa"/>
            <w:vAlign w:val="bottom"/>
          </w:tcPr>
          <w:p>
            <w:pPr>
              <w:jc w:val="center"/>
              <w:ind w:left="330"/>
              <w:spacing w:after="0"/>
              <w:rPr>
                <w:sz w:val="20"/>
                <w:szCs w:val="20"/>
                <w:color w:val="auto"/>
              </w:rPr>
            </w:pPr>
            <w:r>
              <w:rPr>
                <w:rFonts w:ascii="Arial" w:cs="Arial" w:eastAsia="Arial" w:hAnsi="Arial"/>
                <w:sz w:val="18"/>
                <w:szCs w:val="18"/>
                <w:color w:val="auto"/>
                <w:w w:val="88"/>
              </w:rPr>
              <w:t>12.03</w:t>
            </w:r>
          </w:p>
        </w:tc>
        <w:tc>
          <w:tcPr>
            <w:tcW w:w="7900" w:type="dxa"/>
            <w:vAlign w:val="bottom"/>
          </w:tcPr>
          <w:p>
            <w:pPr>
              <w:ind w:left="220"/>
              <w:spacing w:after="0"/>
              <w:rPr>
                <w:sz w:val="20"/>
                <w:szCs w:val="20"/>
                <w:color w:val="auto"/>
              </w:rPr>
            </w:pPr>
            <w:r>
              <w:rPr>
                <w:rFonts w:ascii="Arial" w:cs="Arial" w:eastAsia="Arial" w:hAnsi="Arial"/>
                <w:sz w:val="18"/>
                <w:szCs w:val="18"/>
                <w:color w:val="auto"/>
              </w:rPr>
              <w:t>Use of Discretion</w:t>
            </w:r>
          </w:p>
        </w:tc>
        <w:tc>
          <w:tcPr>
            <w:tcW w:w="20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2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8"/>
              </w:rPr>
              <w:t>12.04</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Delegation of Rights and Duties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260" w:type="dxa"/>
            <w:vAlign w:val="bottom"/>
          </w:tcPr>
          <w:p>
            <w:pPr>
              <w:jc w:val="center"/>
              <w:ind w:left="330"/>
              <w:spacing w:after="0"/>
              <w:rPr>
                <w:sz w:val="20"/>
                <w:szCs w:val="20"/>
                <w:color w:val="auto"/>
              </w:rPr>
            </w:pPr>
            <w:r>
              <w:rPr>
                <w:rFonts w:ascii="Arial" w:cs="Arial" w:eastAsia="Arial" w:hAnsi="Arial"/>
                <w:sz w:val="18"/>
                <w:szCs w:val="18"/>
                <w:color w:val="auto"/>
                <w:w w:val="88"/>
              </w:rPr>
              <w:t>12.05</w:t>
            </w:r>
          </w:p>
        </w:tc>
        <w:tc>
          <w:tcPr>
            <w:tcW w:w="7900" w:type="dxa"/>
            <w:vAlign w:val="bottom"/>
          </w:tcPr>
          <w:p>
            <w:pPr>
              <w:ind w:left="220"/>
              <w:spacing w:after="0"/>
              <w:rPr>
                <w:sz w:val="20"/>
                <w:szCs w:val="20"/>
                <w:color w:val="auto"/>
              </w:rPr>
            </w:pPr>
            <w:r>
              <w:rPr>
                <w:rFonts w:ascii="Arial" w:cs="Arial" w:eastAsia="Arial" w:hAnsi="Arial"/>
                <w:sz w:val="18"/>
                <w:szCs w:val="18"/>
                <w:color w:val="auto"/>
              </w:rPr>
              <w:t>Reliance and Liability</w:t>
            </w:r>
          </w:p>
        </w:tc>
        <w:tc>
          <w:tcPr>
            <w:tcW w:w="20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2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8"/>
              </w:rPr>
              <w:t>12.06</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 Agent Individually</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260" w:type="dxa"/>
            <w:vAlign w:val="bottom"/>
          </w:tcPr>
          <w:p>
            <w:pPr>
              <w:jc w:val="center"/>
              <w:ind w:left="330"/>
              <w:spacing w:after="0"/>
              <w:rPr>
                <w:sz w:val="20"/>
                <w:szCs w:val="20"/>
                <w:color w:val="auto"/>
              </w:rPr>
            </w:pPr>
            <w:r>
              <w:rPr>
                <w:rFonts w:ascii="Arial" w:cs="Arial" w:eastAsia="Arial" w:hAnsi="Arial"/>
                <w:sz w:val="18"/>
                <w:szCs w:val="18"/>
                <w:color w:val="auto"/>
                <w:w w:val="88"/>
              </w:rPr>
              <w:t>12.07</w:t>
            </w:r>
          </w:p>
        </w:tc>
        <w:tc>
          <w:tcPr>
            <w:tcW w:w="7900" w:type="dxa"/>
            <w:vAlign w:val="bottom"/>
          </w:tcPr>
          <w:p>
            <w:pPr>
              <w:ind w:left="220"/>
              <w:spacing w:after="0"/>
              <w:rPr>
                <w:sz w:val="20"/>
                <w:szCs w:val="20"/>
                <w:color w:val="auto"/>
              </w:rPr>
            </w:pPr>
            <w:r>
              <w:rPr>
                <w:rFonts w:ascii="Arial" w:cs="Arial" w:eastAsia="Arial" w:hAnsi="Arial"/>
                <w:sz w:val="18"/>
                <w:szCs w:val="18"/>
                <w:color w:val="auto"/>
              </w:rPr>
              <w:t>Lender Credit Decision</w:t>
            </w:r>
          </w:p>
        </w:tc>
        <w:tc>
          <w:tcPr>
            <w:tcW w:w="20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2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8"/>
              </w:rPr>
              <w:t>12.08</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Expenses; Indemnities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260" w:type="dxa"/>
            <w:vAlign w:val="bottom"/>
          </w:tcPr>
          <w:p>
            <w:pPr>
              <w:jc w:val="center"/>
              <w:ind w:left="330"/>
              <w:spacing w:after="0"/>
              <w:rPr>
                <w:sz w:val="20"/>
                <w:szCs w:val="20"/>
                <w:color w:val="auto"/>
              </w:rPr>
            </w:pPr>
            <w:r>
              <w:rPr>
                <w:rFonts w:ascii="Arial" w:cs="Arial" w:eastAsia="Arial" w:hAnsi="Arial"/>
                <w:sz w:val="18"/>
                <w:szCs w:val="18"/>
                <w:color w:val="auto"/>
                <w:w w:val="88"/>
              </w:rPr>
              <w:t>12.09</w:t>
            </w:r>
          </w:p>
        </w:tc>
        <w:tc>
          <w:tcPr>
            <w:tcW w:w="7900" w:type="dxa"/>
            <w:vAlign w:val="bottom"/>
          </w:tcPr>
          <w:p>
            <w:pPr>
              <w:ind w:left="220"/>
              <w:spacing w:after="0"/>
              <w:rPr>
                <w:sz w:val="20"/>
                <w:szCs w:val="20"/>
                <w:color w:val="auto"/>
              </w:rPr>
            </w:pPr>
            <w:r>
              <w:rPr>
                <w:rFonts w:ascii="Arial" w:cs="Arial" w:eastAsia="Arial" w:hAnsi="Arial"/>
                <w:sz w:val="18"/>
                <w:szCs w:val="18"/>
                <w:color w:val="auto"/>
              </w:rPr>
              <w:t>Resignation of the Administrative Agent</w:t>
            </w:r>
          </w:p>
        </w:tc>
        <w:tc>
          <w:tcPr>
            <w:tcW w:w="20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2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8"/>
              </w:rPr>
              <w:t>12.10</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Release of Collateral or Guarantors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260" w:type="dxa"/>
            <w:vAlign w:val="bottom"/>
          </w:tcPr>
          <w:p>
            <w:pPr>
              <w:jc w:val="center"/>
              <w:ind w:left="330"/>
              <w:spacing w:after="0"/>
              <w:rPr>
                <w:sz w:val="20"/>
                <w:szCs w:val="20"/>
                <w:color w:val="auto"/>
              </w:rPr>
            </w:pPr>
            <w:r>
              <w:rPr>
                <w:rFonts w:ascii="Arial" w:cs="Arial" w:eastAsia="Arial" w:hAnsi="Arial"/>
                <w:sz w:val="18"/>
                <w:szCs w:val="18"/>
                <w:color w:val="auto"/>
                <w:w w:val="88"/>
              </w:rPr>
              <w:t>12.11</w:t>
            </w:r>
          </w:p>
        </w:tc>
        <w:tc>
          <w:tcPr>
            <w:tcW w:w="7900" w:type="dxa"/>
            <w:vAlign w:val="bottom"/>
          </w:tcPr>
          <w:p>
            <w:pPr>
              <w:ind w:left="220"/>
              <w:spacing w:after="0"/>
              <w:rPr>
                <w:sz w:val="20"/>
                <w:szCs w:val="20"/>
                <w:color w:val="auto"/>
              </w:rPr>
            </w:pPr>
            <w:r>
              <w:rPr>
                <w:rFonts w:ascii="Arial" w:cs="Arial" w:eastAsia="Arial" w:hAnsi="Arial"/>
                <w:sz w:val="18"/>
                <w:szCs w:val="18"/>
                <w:color w:val="auto"/>
              </w:rPr>
              <w:t>Additional Secured Parties</w:t>
            </w:r>
          </w:p>
        </w:tc>
        <w:tc>
          <w:tcPr>
            <w:tcW w:w="20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26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8"/>
              </w:rPr>
              <w:t>12.12</w:t>
            </w:r>
          </w:p>
        </w:tc>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Agent May File Proofs of Claim</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1260" w:type="dxa"/>
            <w:vAlign w:val="bottom"/>
          </w:tcPr>
          <w:p>
            <w:pPr>
              <w:jc w:val="center"/>
              <w:ind w:left="330"/>
              <w:spacing w:after="0"/>
              <w:rPr>
                <w:sz w:val="20"/>
                <w:szCs w:val="20"/>
                <w:color w:val="auto"/>
              </w:rPr>
            </w:pPr>
            <w:r>
              <w:rPr>
                <w:rFonts w:ascii="Arial" w:cs="Arial" w:eastAsia="Arial" w:hAnsi="Arial"/>
                <w:sz w:val="18"/>
                <w:szCs w:val="18"/>
                <w:color w:val="auto"/>
                <w:w w:val="88"/>
              </w:rPr>
              <w:t>12.13</w:t>
            </w:r>
          </w:p>
        </w:tc>
        <w:tc>
          <w:tcPr>
            <w:tcW w:w="7900" w:type="dxa"/>
            <w:vAlign w:val="bottom"/>
          </w:tcPr>
          <w:p>
            <w:pPr>
              <w:ind w:left="220"/>
              <w:spacing w:after="0"/>
              <w:rPr>
                <w:sz w:val="20"/>
                <w:szCs w:val="20"/>
                <w:color w:val="auto"/>
              </w:rPr>
            </w:pPr>
            <w:r>
              <w:rPr>
                <w:rFonts w:ascii="Arial" w:cs="Arial" w:eastAsia="Arial" w:hAnsi="Arial"/>
                <w:sz w:val="18"/>
                <w:szCs w:val="18"/>
                <w:color w:val="auto"/>
              </w:rPr>
              <w:t>Acknowledgements of Lenders</w:t>
            </w:r>
          </w:p>
        </w:tc>
        <w:tc>
          <w:tcPr>
            <w:tcW w:w="2080" w:type="dxa"/>
            <w:vAlign w:val="bottom"/>
          </w:tcPr>
          <w:p>
            <w:pPr>
              <w:jc w:val="right"/>
              <w:spacing w:after="0"/>
              <w:rPr>
                <w:sz w:val="20"/>
                <w:szCs w:val="20"/>
                <w:color w:val="auto"/>
              </w:rPr>
            </w:pPr>
            <w:r>
              <w:rPr>
                <w:rFonts w:ascii="Arial" w:cs="Arial" w:eastAsia="Arial" w:hAnsi="Arial"/>
                <w:sz w:val="18"/>
                <w:szCs w:val="18"/>
                <w:color w:val="auto"/>
              </w:rPr>
              <w:t>123</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53"/>
        </w:trPr>
        <w:tc>
          <w:tcPr>
            <w:tcW w:w="1260" w:type="dxa"/>
            <w:vAlign w:val="bottom"/>
          </w:tcPr>
          <w:p>
            <w:pPr>
              <w:spacing w:after="0"/>
              <w:rPr>
                <w:sz w:val="21"/>
                <w:szCs w:val="21"/>
                <w:color w:val="auto"/>
              </w:rPr>
            </w:pPr>
          </w:p>
        </w:tc>
        <w:tc>
          <w:tcPr>
            <w:tcW w:w="7700" w:type="dxa"/>
            <w:vAlign w:val="bottom"/>
          </w:tcPr>
          <w:p>
            <w:pPr>
              <w:ind w:left="3220"/>
              <w:spacing w:after="0"/>
              <w:rPr>
                <w:sz w:val="20"/>
                <w:szCs w:val="20"/>
                <w:color w:val="auto"/>
              </w:rPr>
            </w:pPr>
            <w:r>
              <w:rPr>
                <w:rFonts w:ascii="Arial" w:cs="Arial" w:eastAsia="Arial" w:hAnsi="Arial"/>
                <w:sz w:val="22"/>
                <w:szCs w:val="22"/>
                <w:b w:val="1"/>
                <w:bCs w:val="1"/>
                <w:color w:val="auto"/>
              </w:rPr>
              <w:t>TABLE OF CONTENTS</w:t>
            </w:r>
          </w:p>
        </w:tc>
        <w:tc>
          <w:tcPr>
            <w:tcW w:w="2280" w:type="dxa"/>
            <w:vAlign w:val="bottom"/>
          </w:tcPr>
          <w:p>
            <w:pPr>
              <w:spacing w:after="0"/>
              <w:rPr>
                <w:sz w:val="21"/>
                <w:szCs w:val="21"/>
                <w:color w:val="auto"/>
              </w:rPr>
            </w:pPr>
          </w:p>
        </w:tc>
      </w:tr>
      <w:tr>
        <w:trPr>
          <w:trHeight w:val="274"/>
        </w:trPr>
        <w:tc>
          <w:tcPr>
            <w:tcW w:w="1260" w:type="dxa"/>
            <w:vAlign w:val="bottom"/>
          </w:tcPr>
          <w:p>
            <w:pPr>
              <w:spacing w:after="0"/>
              <w:rPr>
                <w:sz w:val="23"/>
                <w:szCs w:val="23"/>
                <w:color w:val="auto"/>
              </w:rPr>
            </w:pPr>
          </w:p>
        </w:tc>
        <w:tc>
          <w:tcPr>
            <w:tcW w:w="7700" w:type="dxa"/>
            <w:vAlign w:val="bottom"/>
          </w:tcPr>
          <w:p>
            <w:pPr>
              <w:ind w:left="3860"/>
              <w:spacing w:after="0"/>
              <w:rPr>
                <w:sz w:val="20"/>
                <w:szCs w:val="20"/>
                <w:color w:val="auto"/>
              </w:rPr>
            </w:pPr>
            <w:r>
              <w:rPr>
                <w:rFonts w:ascii="Arial" w:cs="Arial" w:eastAsia="Arial" w:hAnsi="Arial"/>
                <w:sz w:val="22"/>
                <w:szCs w:val="22"/>
                <w:color w:val="auto"/>
              </w:rPr>
              <w:t>(continued)</w:t>
            </w:r>
          </w:p>
        </w:tc>
        <w:tc>
          <w:tcPr>
            <w:tcW w:w="2280" w:type="dxa"/>
            <w:vAlign w:val="bottom"/>
          </w:tcPr>
          <w:p>
            <w:pPr>
              <w:spacing w:after="0"/>
              <w:rPr>
                <w:sz w:val="23"/>
                <w:szCs w:val="23"/>
                <w:color w:val="auto"/>
              </w:rPr>
            </w:pPr>
          </w:p>
        </w:tc>
      </w:tr>
      <w:tr>
        <w:trPr>
          <w:trHeight w:val="233"/>
        </w:trPr>
        <w:tc>
          <w:tcPr>
            <w:tcW w:w="8960" w:type="dxa"/>
            <w:vAlign w:val="bottom"/>
            <w:gridSpan w:val="2"/>
          </w:tcPr>
          <w:p>
            <w:pPr>
              <w:spacing w:after="0"/>
              <w:rPr>
                <w:sz w:val="20"/>
                <w:szCs w:val="20"/>
                <w:color w:val="auto"/>
              </w:rPr>
            </w:pPr>
          </w:p>
        </w:tc>
        <w:tc>
          <w:tcPr>
            <w:tcW w:w="2280" w:type="dxa"/>
            <w:vAlign w:val="bottom"/>
          </w:tcPr>
          <w:p>
            <w:pPr>
              <w:spacing w:after="0"/>
              <w:rPr>
                <w:sz w:val="20"/>
                <w:szCs w:val="20"/>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13. GUARANTY</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1260" w:type="dxa"/>
            <w:vAlign w:val="bottom"/>
          </w:tcPr>
          <w:p>
            <w:pPr>
              <w:jc w:val="right"/>
              <w:ind w:right="130"/>
              <w:spacing w:after="0"/>
              <w:rPr>
                <w:sz w:val="20"/>
                <w:szCs w:val="20"/>
                <w:color w:val="auto"/>
              </w:rPr>
            </w:pPr>
            <w:r>
              <w:rPr>
                <w:rFonts w:ascii="Arial" w:cs="Arial" w:eastAsia="Arial" w:hAnsi="Arial"/>
                <w:sz w:val="18"/>
                <w:szCs w:val="18"/>
                <w:color w:val="auto"/>
              </w:rPr>
              <w:t>13.01</w:t>
            </w:r>
          </w:p>
        </w:tc>
        <w:tc>
          <w:tcPr>
            <w:tcW w:w="7700" w:type="dxa"/>
            <w:vAlign w:val="bottom"/>
          </w:tcPr>
          <w:p>
            <w:pPr>
              <w:ind w:left="220"/>
              <w:spacing w:after="0"/>
              <w:rPr>
                <w:sz w:val="20"/>
                <w:szCs w:val="20"/>
                <w:color w:val="auto"/>
              </w:rPr>
            </w:pPr>
            <w:r>
              <w:rPr>
                <w:rFonts w:ascii="Arial" w:cs="Arial" w:eastAsia="Arial" w:hAnsi="Arial"/>
                <w:sz w:val="18"/>
                <w:szCs w:val="18"/>
                <w:color w:val="auto"/>
              </w:rPr>
              <w:t>The Guaranty</w:t>
            </w:r>
          </w:p>
        </w:tc>
        <w:tc>
          <w:tcPr>
            <w:tcW w:w="22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13.02</w:t>
            </w:r>
          </w:p>
        </w:tc>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Unconditional</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1260" w:type="dxa"/>
            <w:vAlign w:val="bottom"/>
          </w:tcPr>
          <w:p>
            <w:pPr>
              <w:jc w:val="right"/>
              <w:ind w:right="130"/>
              <w:spacing w:after="0"/>
              <w:rPr>
                <w:sz w:val="20"/>
                <w:szCs w:val="20"/>
                <w:color w:val="auto"/>
              </w:rPr>
            </w:pPr>
            <w:r>
              <w:rPr>
                <w:rFonts w:ascii="Arial" w:cs="Arial" w:eastAsia="Arial" w:hAnsi="Arial"/>
                <w:sz w:val="18"/>
                <w:szCs w:val="18"/>
                <w:color w:val="auto"/>
              </w:rPr>
              <w:t>13.03</w:t>
            </w:r>
          </w:p>
        </w:tc>
        <w:tc>
          <w:tcPr>
            <w:tcW w:w="7700" w:type="dxa"/>
            <w:vAlign w:val="bottom"/>
          </w:tcPr>
          <w:p>
            <w:pPr>
              <w:ind w:left="220"/>
              <w:spacing w:after="0"/>
              <w:rPr>
                <w:sz w:val="20"/>
                <w:szCs w:val="20"/>
                <w:color w:val="auto"/>
              </w:rPr>
            </w:pPr>
            <w:r>
              <w:rPr>
                <w:rFonts w:ascii="Arial" w:cs="Arial" w:eastAsia="Arial" w:hAnsi="Arial"/>
                <w:sz w:val="18"/>
                <w:szCs w:val="18"/>
                <w:color w:val="auto"/>
              </w:rPr>
              <w:t>Discharge Only Upon Payment in Full.</w:t>
            </w:r>
          </w:p>
        </w:tc>
        <w:tc>
          <w:tcPr>
            <w:tcW w:w="22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13.04</w:t>
            </w:r>
          </w:p>
        </w:tc>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Waivers; General Waivers.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1260" w:type="dxa"/>
            <w:vAlign w:val="bottom"/>
          </w:tcPr>
          <w:p>
            <w:pPr>
              <w:jc w:val="right"/>
              <w:ind w:right="130"/>
              <w:spacing w:after="0"/>
              <w:rPr>
                <w:sz w:val="20"/>
                <w:szCs w:val="20"/>
                <w:color w:val="auto"/>
              </w:rPr>
            </w:pPr>
            <w:r>
              <w:rPr>
                <w:rFonts w:ascii="Arial" w:cs="Arial" w:eastAsia="Arial" w:hAnsi="Arial"/>
                <w:sz w:val="18"/>
                <w:szCs w:val="18"/>
                <w:color w:val="auto"/>
              </w:rPr>
              <w:t>13.05</w:t>
            </w:r>
          </w:p>
        </w:tc>
        <w:tc>
          <w:tcPr>
            <w:tcW w:w="7700" w:type="dxa"/>
            <w:vAlign w:val="bottom"/>
          </w:tcPr>
          <w:p>
            <w:pPr>
              <w:ind w:left="220"/>
              <w:spacing w:after="0"/>
              <w:rPr>
                <w:sz w:val="20"/>
                <w:szCs w:val="20"/>
                <w:color w:val="auto"/>
              </w:rPr>
            </w:pPr>
            <w:r>
              <w:rPr>
                <w:rFonts w:ascii="Arial" w:cs="Arial" w:eastAsia="Arial" w:hAnsi="Arial"/>
                <w:sz w:val="18"/>
                <w:szCs w:val="18"/>
                <w:color w:val="auto"/>
              </w:rPr>
              <w:t>Reinstatement</w:t>
            </w:r>
          </w:p>
        </w:tc>
        <w:tc>
          <w:tcPr>
            <w:tcW w:w="22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13.06</w:t>
            </w:r>
          </w:p>
        </w:tc>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Subrogation</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260" w:type="dxa"/>
            <w:vAlign w:val="bottom"/>
          </w:tcPr>
          <w:p>
            <w:pPr>
              <w:jc w:val="right"/>
              <w:ind w:right="130"/>
              <w:spacing w:after="0"/>
              <w:rPr>
                <w:sz w:val="20"/>
                <w:szCs w:val="20"/>
                <w:color w:val="auto"/>
              </w:rPr>
            </w:pPr>
            <w:r>
              <w:rPr>
                <w:rFonts w:ascii="Arial" w:cs="Arial" w:eastAsia="Arial" w:hAnsi="Arial"/>
                <w:sz w:val="18"/>
                <w:szCs w:val="18"/>
                <w:color w:val="auto"/>
              </w:rPr>
              <w:t>13.07</w:t>
            </w:r>
          </w:p>
        </w:tc>
        <w:tc>
          <w:tcPr>
            <w:tcW w:w="7700" w:type="dxa"/>
            <w:vAlign w:val="bottom"/>
          </w:tcPr>
          <w:p>
            <w:pPr>
              <w:ind w:left="220"/>
              <w:spacing w:after="0"/>
              <w:rPr>
                <w:sz w:val="20"/>
                <w:szCs w:val="20"/>
                <w:color w:val="auto"/>
              </w:rPr>
            </w:pPr>
            <w:r>
              <w:rPr>
                <w:rFonts w:ascii="Arial" w:cs="Arial" w:eastAsia="Arial" w:hAnsi="Arial"/>
                <w:sz w:val="18"/>
                <w:szCs w:val="18"/>
                <w:color w:val="auto"/>
              </w:rPr>
              <w:t>Remedies</w:t>
            </w:r>
          </w:p>
        </w:tc>
        <w:tc>
          <w:tcPr>
            <w:tcW w:w="22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13.08</w:t>
            </w:r>
          </w:p>
        </w:tc>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Instrument for the Payment of Money</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260" w:type="dxa"/>
            <w:vAlign w:val="bottom"/>
          </w:tcPr>
          <w:p>
            <w:pPr>
              <w:jc w:val="right"/>
              <w:ind w:right="130"/>
              <w:spacing w:after="0"/>
              <w:rPr>
                <w:sz w:val="20"/>
                <w:szCs w:val="20"/>
                <w:color w:val="auto"/>
              </w:rPr>
            </w:pPr>
            <w:r>
              <w:rPr>
                <w:rFonts w:ascii="Arial" w:cs="Arial" w:eastAsia="Arial" w:hAnsi="Arial"/>
                <w:sz w:val="18"/>
                <w:szCs w:val="18"/>
                <w:color w:val="auto"/>
              </w:rPr>
              <w:t>13.09</w:t>
            </w:r>
          </w:p>
        </w:tc>
        <w:tc>
          <w:tcPr>
            <w:tcW w:w="7700" w:type="dxa"/>
            <w:vAlign w:val="bottom"/>
          </w:tcPr>
          <w:p>
            <w:pPr>
              <w:ind w:left="220"/>
              <w:spacing w:after="0"/>
              <w:rPr>
                <w:sz w:val="20"/>
                <w:szCs w:val="20"/>
                <w:color w:val="auto"/>
              </w:rPr>
            </w:pPr>
            <w:r>
              <w:rPr>
                <w:rFonts w:ascii="Arial" w:cs="Arial" w:eastAsia="Arial" w:hAnsi="Arial"/>
                <w:sz w:val="18"/>
                <w:szCs w:val="18"/>
                <w:color w:val="auto"/>
              </w:rPr>
              <w:t>Continuing Guarantee</w:t>
            </w:r>
          </w:p>
        </w:tc>
        <w:tc>
          <w:tcPr>
            <w:tcW w:w="22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13.11</w:t>
            </w:r>
          </w:p>
        </w:tc>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Limitations on Guarantee Obligations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Section 14. MISCELLANEOUS</w:t>
            </w:r>
          </w:p>
        </w:tc>
        <w:tc>
          <w:tcPr>
            <w:tcW w:w="22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14.01</w:t>
            </w:r>
          </w:p>
        </w:tc>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 Waiver</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260" w:type="dxa"/>
            <w:vAlign w:val="bottom"/>
          </w:tcPr>
          <w:p>
            <w:pPr>
              <w:jc w:val="right"/>
              <w:ind w:right="130"/>
              <w:spacing w:after="0"/>
              <w:rPr>
                <w:sz w:val="20"/>
                <w:szCs w:val="20"/>
                <w:color w:val="auto"/>
              </w:rPr>
            </w:pPr>
            <w:r>
              <w:rPr>
                <w:rFonts w:ascii="Arial" w:cs="Arial" w:eastAsia="Arial" w:hAnsi="Arial"/>
                <w:sz w:val="18"/>
                <w:szCs w:val="18"/>
                <w:color w:val="auto"/>
              </w:rPr>
              <w:t>14.02</w:t>
            </w:r>
          </w:p>
        </w:tc>
        <w:tc>
          <w:tcPr>
            <w:tcW w:w="7700" w:type="dxa"/>
            <w:vAlign w:val="bottom"/>
          </w:tcPr>
          <w:p>
            <w:pPr>
              <w:ind w:left="220"/>
              <w:spacing w:after="0"/>
              <w:rPr>
                <w:sz w:val="20"/>
                <w:szCs w:val="20"/>
                <w:color w:val="auto"/>
              </w:rPr>
            </w:pPr>
            <w:r>
              <w:rPr>
                <w:rFonts w:ascii="Arial" w:cs="Arial" w:eastAsia="Arial" w:hAnsi="Arial"/>
                <w:sz w:val="18"/>
                <w:szCs w:val="18"/>
                <w:color w:val="auto"/>
              </w:rPr>
              <w:t>Notices</w:t>
            </w:r>
          </w:p>
        </w:tc>
        <w:tc>
          <w:tcPr>
            <w:tcW w:w="22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14.03</w:t>
            </w:r>
          </w:p>
        </w:tc>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Expenses, Indemnification, Etc.</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260" w:type="dxa"/>
            <w:vAlign w:val="bottom"/>
          </w:tcPr>
          <w:p>
            <w:pPr>
              <w:jc w:val="right"/>
              <w:ind w:right="130"/>
              <w:spacing w:after="0"/>
              <w:rPr>
                <w:sz w:val="20"/>
                <w:szCs w:val="20"/>
                <w:color w:val="auto"/>
              </w:rPr>
            </w:pPr>
            <w:r>
              <w:rPr>
                <w:rFonts w:ascii="Arial" w:cs="Arial" w:eastAsia="Arial" w:hAnsi="Arial"/>
                <w:sz w:val="18"/>
                <w:szCs w:val="18"/>
                <w:color w:val="auto"/>
              </w:rPr>
              <w:t>14.04</w:t>
            </w:r>
          </w:p>
        </w:tc>
        <w:tc>
          <w:tcPr>
            <w:tcW w:w="7700" w:type="dxa"/>
            <w:vAlign w:val="bottom"/>
          </w:tcPr>
          <w:p>
            <w:pPr>
              <w:ind w:left="220"/>
              <w:spacing w:after="0"/>
              <w:rPr>
                <w:sz w:val="20"/>
                <w:szCs w:val="20"/>
                <w:color w:val="auto"/>
              </w:rPr>
            </w:pPr>
            <w:r>
              <w:rPr>
                <w:rFonts w:ascii="Arial" w:cs="Arial" w:eastAsia="Arial" w:hAnsi="Arial"/>
                <w:sz w:val="18"/>
                <w:szCs w:val="18"/>
                <w:color w:val="auto"/>
              </w:rPr>
              <w:t>Amendments, Etc.</w:t>
            </w:r>
          </w:p>
        </w:tc>
        <w:tc>
          <w:tcPr>
            <w:tcW w:w="22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14.05</w:t>
            </w:r>
          </w:p>
        </w:tc>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Successors and Assigns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260" w:type="dxa"/>
            <w:vAlign w:val="bottom"/>
          </w:tcPr>
          <w:p>
            <w:pPr>
              <w:jc w:val="right"/>
              <w:ind w:right="130"/>
              <w:spacing w:after="0"/>
              <w:rPr>
                <w:sz w:val="20"/>
                <w:szCs w:val="20"/>
                <w:color w:val="auto"/>
              </w:rPr>
            </w:pPr>
            <w:r>
              <w:rPr>
                <w:rFonts w:ascii="Arial" w:cs="Arial" w:eastAsia="Arial" w:hAnsi="Arial"/>
                <w:sz w:val="18"/>
                <w:szCs w:val="18"/>
                <w:color w:val="auto"/>
              </w:rPr>
              <w:t>14.06</w:t>
            </w:r>
          </w:p>
        </w:tc>
        <w:tc>
          <w:tcPr>
            <w:tcW w:w="7700" w:type="dxa"/>
            <w:vAlign w:val="bottom"/>
          </w:tcPr>
          <w:p>
            <w:pPr>
              <w:ind w:left="220"/>
              <w:spacing w:after="0"/>
              <w:rPr>
                <w:sz w:val="20"/>
                <w:szCs w:val="20"/>
                <w:color w:val="auto"/>
              </w:rPr>
            </w:pPr>
            <w:r>
              <w:rPr>
                <w:rFonts w:ascii="Arial" w:cs="Arial" w:eastAsia="Arial" w:hAnsi="Arial"/>
                <w:sz w:val="18"/>
                <w:szCs w:val="18"/>
                <w:color w:val="auto"/>
              </w:rPr>
              <w:t>Survival</w:t>
            </w:r>
          </w:p>
        </w:tc>
        <w:tc>
          <w:tcPr>
            <w:tcW w:w="22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14.07</w:t>
            </w:r>
          </w:p>
        </w:tc>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Captions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260" w:type="dxa"/>
            <w:vAlign w:val="bottom"/>
          </w:tcPr>
          <w:p>
            <w:pPr>
              <w:jc w:val="right"/>
              <w:ind w:right="130"/>
              <w:spacing w:after="0"/>
              <w:rPr>
                <w:sz w:val="20"/>
                <w:szCs w:val="20"/>
                <w:color w:val="auto"/>
              </w:rPr>
            </w:pPr>
            <w:r>
              <w:rPr>
                <w:rFonts w:ascii="Arial" w:cs="Arial" w:eastAsia="Arial" w:hAnsi="Arial"/>
                <w:sz w:val="18"/>
                <w:szCs w:val="18"/>
                <w:color w:val="auto"/>
              </w:rPr>
              <w:t>14.08</w:t>
            </w:r>
          </w:p>
        </w:tc>
        <w:tc>
          <w:tcPr>
            <w:tcW w:w="7700" w:type="dxa"/>
            <w:vAlign w:val="bottom"/>
          </w:tcPr>
          <w:p>
            <w:pPr>
              <w:ind w:left="220"/>
              <w:spacing w:after="0"/>
              <w:rPr>
                <w:sz w:val="20"/>
                <w:szCs w:val="20"/>
                <w:color w:val="auto"/>
              </w:rPr>
            </w:pPr>
            <w:r>
              <w:rPr>
                <w:rFonts w:ascii="Arial" w:cs="Arial" w:eastAsia="Arial" w:hAnsi="Arial"/>
                <w:sz w:val="18"/>
                <w:szCs w:val="18"/>
                <w:color w:val="auto"/>
              </w:rPr>
              <w:t>Counterparts, Effectiveness</w:t>
            </w:r>
          </w:p>
        </w:tc>
        <w:tc>
          <w:tcPr>
            <w:tcW w:w="22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14.09</w:t>
            </w:r>
          </w:p>
        </w:tc>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Governing Law</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260" w:type="dxa"/>
            <w:vAlign w:val="bottom"/>
          </w:tcPr>
          <w:p>
            <w:pPr>
              <w:jc w:val="right"/>
              <w:ind w:right="130"/>
              <w:spacing w:after="0"/>
              <w:rPr>
                <w:sz w:val="20"/>
                <w:szCs w:val="20"/>
                <w:color w:val="auto"/>
              </w:rPr>
            </w:pPr>
            <w:r>
              <w:rPr>
                <w:rFonts w:ascii="Arial" w:cs="Arial" w:eastAsia="Arial" w:hAnsi="Arial"/>
                <w:sz w:val="18"/>
                <w:szCs w:val="18"/>
                <w:color w:val="auto"/>
              </w:rPr>
              <w:t>14.10</w:t>
            </w:r>
          </w:p>
        </w:tc>
        <w:tc>
          <w:tcPr>
            <w:tcW w:w="7700" w:type="dxa"/>
            <w:vAlign w:val="bottom"/>
          </w:tcPr>
          <w:p>
            <w:pPr>
              <w:ind w:left="220"/>
              <w:spacing w:after="0"/>
              <w:rPr>
                <w:sz w:val="20"/>
                <w:szCs w:val="20"/>
                <w:color w:val="auto"/>
              </w:rPr>
            </w:pPr>
            <w:r>
              <w:rPr>
                <w:rFonts w:ascii="Arial" w:cs="Arial" w:eastAsia="Arial" w:hAnsi="Arial"/>
                <w:sz w:val="18"/>
                <w:szCs w:val="18"/>
                <w:color w:val="auto"/>
              </w:rPr>
              <w:t>Jurisdiction, Service of Process and Venue</w:t>
            </w:r>
          </w:p>
        </w:tc>
        <w:tc>
          <w:tcPr>
            <w:tcW w:w="22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14.11</w:t>
            </w:r>
          </w:p>
        </w:tc>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Waiver of Jury Trial</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1260" w:type="dxa"/>
            <w:vAlign w:val="bottom"/>
          </w:tcPr>
          <w:p>
            <w:pPr>
              <w:jc w:val="right"/>
              <w:ind w:right="130"/>
              <w:spacing w:after="0"/>
              <w:rPr>
                <w:sz w:val="20"/>
                <w:szCs w:val="20"/>
                <w:color w:val="auto"/>
              </w:rPr>
            </w:pPr>
            <w:r>
              <w:rPr>
                <w:rFonts w:ascii="Arial" w:cs="Arial" w:eastAsia="Arial" w:hAnsi="Arial"/>
                <w:sz w:val="18"/>
                <w:szCs w:val="18"/>
                <w:color w:val="auto"/>
              </w:rPr>
              <w:t>14.12</w:t>
            </w:r>
          </w:p>
        </w:tc>
        <w:tc>
          <w:tcPr>
            <w:tcW w:w="7700" w:type="dxa"/>
            <w:vAlign w:val="bottom"/>
          </w:tcPr>
          <w:p>
            <w:pPr>
              <w:ind w:left="220"/>
              <w:spacing w:after="0"/>
              <w:rPr>
                <w:sz w:val="20"/>
                <w:szCs w:val="20"/>
                <w:color w:val="auto"/>
              </w:rPr>
            </w:pPr>
            <w:r>
              <w:rPr>
                <w:rFonts w:ascii="Arial" w:cs="Arial" w:eastAsia="Arial" w:hAnsi="Arial"/>
                <w:sz w:val="18"/>
                <w:szCs w:val="18"/>
                <w:color w:val="auto"/>
              </w:rPr>
              <w:t>Waiver of Immunity</w:t>
            </w:r>
          </w:p>
        </w:tc>
        <w:tc>
          <w:tcPr>
            <w:tcW w:w="22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14.13</w:t>
            </w:r>
          </w:p>
        </w:tc>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Entire Agreement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260" w:type="dxa"/>
            <w:vAlign w:val="bottom"/>
          </w:tcPr>
          <w:p>
            <w:pPr>
              <w:jc w:val="right"/>
              <w:ind w:right="130"/>
              <w:spacing w:after="0"/>
              <w:rPr>
                <w:sz w:val="20"/>
                <w:szCs w:val="20"/>
                <w:color w:val="auto"/>
              </w:rPr>
            </w:pPr>
            <w:r>
              <w:rPr>
                <w:rFonts w:ascii="Arial" w:cs="Arial" w:eastAsia="Arial" w:hAnsi="Arial"/>
                <w:sz w:val="18"/>
                <w:szCs w:val="18"/>
                <w:color w:val="auto"/>
              </w:rPr>
              <w:t>14.14</w:t>
            </w:r>
          </w:p>
        </w:tc>
        <w:tc>
          <w:tcPr>
            <w:tcW w:w="770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22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14.15</w:t>
            </w:r>
          </w:p>
        </w:tc>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 Fiduciary Relationship</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260" w:type="dxa"/>
            <w:vAlign w:val="bottom"/>
          </w:tcPr>
          <w:p>
            <w:pPr>
              <w:jc w:val="right"/>
              <w:ind w:right="130"/>
              <w:spacing w:after="0"/>
              <w:rPr>
                <w:sz w:val="20"/>
                <w:szCs w:val="20"/>
                <w:color w:val="auto"/>
              </w:rPr>
            </w:pPr>
            <w:r>
              <w:rPr>
                <w:rFonts w:ascii="Arial" w:cs="Arial" w:eastAsia="Arial" w:hAnsi="Arial"/>
                <w:sz w:val="18"/>
                <w:szCs w:val="18"/>
                <w:color w:val="auto"/>
              </w:rPr>
              <w:t>14.16</w:t>
            </w:r>
          </w:p>
        </w:tc>
        <w:tc>
          <w:tcPr>
            <w:tcW w:w="7700" w:type="dxa"/>
            <w:vAlign w:val="bottom"/>
          </w:tcPr>
          <w:p>
            <w:pPr>
              <w:ind w:left="220"/>
              <w:spacing w:after="0"/>
              <w:rPr>
                <w:sz w:val="20"/>
                <w:szCs w:val="20"/>
                <w:color w:val="auto"/>
              </w:rPr>
            </w:pPr>
            <w:r>
              <w:rPr>
                <w:rFonts w:ascii="Arial" w:cs="Arial" w:eastAsia="Arial" w:hAnsi="Arial"/>
                <w:sz w:val="18"/>
                <w:szCs w:val="18"/>
                <w:color w:val="auto"/>
              </w:rPr>
              <w:t>Confidentiality</w:t>
            </w:r>
          </w:p>
        </w:tc>
        <w:tc>
          <w:tcPr>
            <w:tcW w:w="22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14.17</w:t>
            </w:r>
          </w:p>
        </w:tc>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Limitation</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1260" w:type="dxa"/>
            <w:vAlign w:val="bottom"/>
          </w:tcPr>
          <w:p>
            <w:pPr>
              <w:jc w:val="right"/>
              <w:ind w:right="130"/>
              <w:spacing w:after="0"/>
              <w:rPr>
                <w:sz w:val="20"/>
                <w:szCs w:val="20"/>
                <w:color w:val="auto"/>
              </w:rPr>
            </w:pPr>
            <w:r>
              <w:rPr>
                <w:rFonts w:ascii="Arial" w:cs="Arial" w:eastAsia="Arial" w:hAnsi="Arial"/>
                <w:sz w:val="18"/>
                <w:szCs w:val="18"/>
                <w:color w:val="auto"/>
              </w:rPr>
              <w:t>14.18</w:t>
            </w:r>
          </w:p>
        </w:tc>
        <w:tc>
          <w:tcPr>
            <w:tcW w:w="7700" w:type="dxa"/>
            <w:vAlign w:val="bottom"/>
          </w:tcPr>
          <w:p>
            <w:pPr>
              <w:ind w:left="220"/>
              <w:spacing w:after="0"/>
              <w:rPr>
                <w:sz w:val="20"/>
                <w:szCs w:val="20"/>
                <w:color w:val="auto"/>
              </w:rPr>
            </w:pPr>
            <w:r>
              <w:rPr>
                <w:rFonts w:ascii="Arial" w:cs="Arial" w:eastAsia="Arial" w:hAnsi="Arial"/>
                <w:sz w:val="18"/>
                <w:szCs w:val="18"/>
                <w:color w:val="auto"/>
              </w:rPr>
              <w:t>Judgment Currency</w:t>
            </w:r>
          </w:p>
        </w:tc>
        <w:tc>
          <w:tcPr>
            <w:tcW w:w="22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14.19</w:t>
            </w:r>
          </w:p>
        </w:tc>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USA PATRIOT Act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260" w:type="dxa"/>
            <w:vAlign w:val="bottom"/>
          </w:tcPr>
          <w:p>
            <w:pPr>
              <w:jc w:val="right"/>
              <w:ind w:right="130"/>
              <w:spacing w:after="0"/>
              <w:rPr>
                <w:sz w:val="20"/>
                <w:szCs w:val="20"/>
                <w:color w:val="auto"/>
              </w:rPr>
            </w:pPr>
            <w:r>
              <w:rPr>
                <w:rFonts w:ascii="Arial" w:cs="Arial" w:eastAsia="Arial" w:hAnsi="Arial"/>
                <w:sz w:val="18"/>
                <w:szCs w:val="18"/>
                <w:color w:val="auto"/>
              </w:rPr>
              <w:t>14.20</w:t>
            </w:r>
          </w:p>
        </w:tc>
        <w:tc>
          <w:tcPr>
            <w:tcW w:w="7700" w:type="dxa"/>
            <w:vAlign w:val="bottom"/>
          </w:tcPr>
          <w:p>
            <w:pPr>
              <w:ind w:left="22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22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14.21</w:t>
            </w:r>
          </w:p>
        </w:tc>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Certain ERISA Matters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53"/>
        </w:trPr>
        <w:tc>
          <w:tcPr>
            <w:tcW w:w="1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500" w:type="dxa"/>
            <w:vAlign w:val="bottom"/>
          </w:tcPr>
          <w:p>
            <w:pPr>
              <w:jc w:val="center"/>
              <w:ind w:right="2629"/>
              <w:spacing w:after="0"/>
              <w:rPr>
                <w:sz w:val="20"/>
                <w:szCs w:val="20"/>
                <w:color w:val="auto"/>
              </w:rPr>
            </w:pPr>
            <w:r>
              <w:rPr>
                <w:rFonts w:ascii="Arial" w:cs="Arial" w:eastAsia="Arial" w:hAnsi="Arial"/>
                <w:sz w:val="22"/>
                <w:szCs w:val="22"/>
                <w:b w:val="1"/>
                <w:bCs w:val="1"/>
                <w:color w:val="auto"/>
                <w:w w:val="96"/>
              </w:rPr>
              <w:t>TABLE OF CONTENTS</w:t>
            </w:r>
          </w:p>
        </w:tc>
      </w:tr>
      <w:tr>
        <w:trPr>
          <w:trHeight w:val="274"/>
        </w:trPr>
        <w:tc>
          <w:tcPr>
            <w:tcW w:w="1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500" w:type="dxa"/>
            <w:vAlign w:val="bottom"/>
          </w:tcPr>
          <w:p>
            <w:pPr>
              <w:jc w:val="center"/>
              <w:ind w:right="2649"/>
              <w:spacing w:after="0"/>
              <w:rPr>
                <w:sz w:val="20"/>
                <w:szCs w:val="20"/>
                <w:color w:val="auto"/>
              </w:rPr>
            </w:pPr>
            <w:r>
              <w:rPr>
                <w:rFonts w:ascii="Arial" w:cs="Arial" w:eastAsia="Arial" w:hAnsi="Arial"/>
                <w:sz w:val="22"/>
                <w:szCs w:val="22"/>
                <w:color w:val="auto"/>
                <w:w w:val="90"/>
              </w:rPr>
              <w:t>(continued)</w:t>
            </w:r>
          </w:p>
        </w:tc>
      </w:tr>
      <w:tr>
        <w:trPr>
          <w:trHeight w:val="449"/>
        </w:trPr>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500" w:type="dxa"/>
            <w:vAlign w:val="bottom"/>
          </w:tcPr>
          <w:p>
            <w:pPr>
              <w:jc w:val="center"/>
              <w:ind w:right="2649"/>
              <w:spacing w:after="0"/>
              <w:rPr>
                <w:sz w:val="20"/>
                <w:szCs w:val="20"/>
                <w:color w:val="auto"/>
              </w:rPr>
            </w:pPr>
            <w:r>
              <w:rPr>
                <w:rFonts w:ascii="Arial" w:cs="Arial" w:eastAsia="Arial" w:hAnsi="Arial"/>
                <w:sz w:val="18"/>
                <w:szCs w:val="18"/>
                <w:b w:val="1"/>
                <w:bCs w:val="1"/>
                <w:color w:val="auto"/>
              </w:rPr>
              <w:t>SCHEDULES AND EXHIBITS</w:t>
            </w:r>
          </w:p>
        </w:tc>
      </w:tr>
      <w:tr>
        <w:trPr>
          <w:trHeight w:val="216"/>
        </w:trPr>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50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Schedule 1</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Loans Schedule</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2</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tcPr>
          <w:p>
            <w:pPr>
              <w:ind w:left="300"/>
              <w:spacing w:after="0"/>
              <w:rPr>
                <w:sz w:val="20"/>
                <w:szCs w:val="20"/>
                <w:color w:val="auto"/>
              </w:rPr>
            </w:pPr>
            <w:r>
              <w:rPr>
                <w:rFonts w:ascii="Arial" w:cs="Arial" w:eastAsia="Arial" w:hAnsi="Arial"/>
                <w:sz w:val="18"/>
                <w:szCs w:val="18"/>
                <w:color w:val="auto"/>
              </w:rPr>
              <w:t>Minimum Net Revenues</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Schedule 4</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Products</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5</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tcPr>
          <w:p>
            <w:pPr>
              <w:ind w:left="300"/>
              <w:spacing w:after="0"/>
              <w:rPr>
                <w:sz w:val="20"/>
                <w:szCs w:val="20"/>
                <w:color w:val="auto"/>
              </w:rPr>
            </w:pPr>
            <w:r>
              <w:rPr>
                <w:rFonts w:ascii="Arial" w:cs="Arial" w:eastAsia="Arial" w:hAnsi="Arial"/>
                <w:sz w:val="18"/>
                <w:szCs w:val="18"/>
                <w:color w:val="auto"/>
              </w:rPr>
              <w:t>Refinanced Facility</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Schedule 7.05(b)</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Certain Intellectual Property</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7.06(a)</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tcPr>
          <w:p>
            <w:pPr>
              <w:ind w:left="300"/>
              <w:spacing w:after="0"/>
              <w:rPr>
                <w:sz w:val="20"/>
                <w:szCs w:val="20"/>
                <w:color w:val="auto"/>
              </w:rPr>
            </w:pPr>
            <w:r>
              <w:rPr>
                <w:rFonts w:ascii="Arial" w:cs="Arial" w:eastAsia="Arial" w:hAnsi="Arial"/>
                <w:sz w:val="18"/>
                <w:szCs w:val="18"/>
                <w:color w:val="auto"/>
              </w:rPr>
              <w:t>Litigation</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Schedule 7.06(c)</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Collective Bargaining Agreements</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7.08</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tcPr>
          <w:p>
            <w:pPr>
              <w:ind w:left="300"/>
              <w:spacing w:after="0"/>
              <w:rPr>
                <w:sz w:val="20"/>
                <w:szCs w:val="20"/>
                <w:color w:val="auto"/>
              </w:rPr>
            </w:pPr>
            <w:r>
              <w:rPr>
                <w:rFonts w:ascii="Arial" w:cs="Arial" w:eastAsia="Arial" w:hAnsi="Arial"/>
                <w:sz w:val="18"/>
                <w:szCs w:val="18"/>
                <w:color w:val="auto"/>
              </w:rPr>
              <w:t>Taxes</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Schedule 7.12</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Information Regarding Subsidiaries</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7.14</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tcPr>
          <w:p>
            <w:pPr>
              <w:ind w:left="300"/>
              <w:spacing w:after="0"/>
              <w:rPr>
                <w:sz w:val="20"/>
                <w:szCs w:val="20"/>
                <w:color w:val="auto"/>
              </w:rPr>
            </w:pPr>
            <w:r>
              <w:rPr>
                <w:rFonts w:ascii="Arial" w:cs="Arial" w:eastAsia="Arial" w:hAnsi="Arial"/>
                <w:sz w:val="18"/>
                <w:szCs w:val="18"/>
                <w:color w:val="auto"/>
              </w:rPr>
              <w:t>Material Agreements</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Schedule 7.15</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Restrictive Agreements</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7.16</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tcPr>
          <w:p>
            <w:pPr>
              <w:ind w:left="300"/>
              <w:spacing w:after="0"/>
              <w:rPr>
                <w:sz w:val="20"/>
                <w:szCs w:val="20"/>
                <w:color w:val="auto"/>
              </w:rPr>
            </w:pPr>
            <w:r>
              <w:rPr>
                <w:rFonts w:ascii="Arial" w:cs="Arial" w:eastAsia="Arial" w:hAnsi="Arial"/>
                <w:sz w:val="18"/>
                <w:szCs w:val="18"/>
                <w:color w:val="auto"/>
              </w:rPr>
              <w:t>Real Property Owned or Leased by Obligors</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Schedule 7.17</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Pension Matters</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7.18(c)</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tcPr>
          <w:p>
            <w:pPr>
              <w:ind w:left="300"/>
              <w:spacing w:after="0"/>
              <w:rPr>
                <w:sz w:val="20"/>
                <w:szCs w:val="20"/>
                <w:color w:val="auto"/>
              </w:rPr>
            </w:pPr>
            <w:r>
              <w:rPr>
                <w:rFonts w:ascii="Arial" w:cs="Arial" w:eastAsia="Arial" w:hAnsi="Arial"/>
                <w:sz w:val="18"/>
                <w:szCs w:val="18"/>
                <w:color w:val="auto"/>
              </w:rPr>
              <w:t>Adverse Findings</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Schedule 7.23</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Royalties and Other Payments</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9.01(b)</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tcPr>
          <w:p>
            <w:pPr>
              <w:ind w:left="300"/>
              <w:spacing w:after="0"/>
              <w:rPr>
                <w:sz w:val="20"/>
                <w:szCs w:val="20"/>
                <w:color w:val="auto"/>
              </w:rPr>
            </w:pPr>
            <w:r>
              <w:rPr>
                <w:rFonts w:ascii="Arial" w:cs="Arial" w:eastAsia="Arial" w:hAnsi="Arial"/>
                <w:sz w:val="18"/>
                <w:szCs w:val="18"/>
                <w:color w:val="auto"/>
              </w:rPr>
              <w:t>Existing Indebtedness</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Schedule 9.02(b)</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Existing Liens</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9.05(a)</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tcPr>
          <w:p>
            <w:pPr>
              <w:ind w:left="300"/>
              <w:spacing w:after="0"/>
              <w:rPr>
                <w:sz w:val="20"/>
                <w:szCs w:val="20"/>
                <w:color w:val="auto"/>
              </w:rPr>
            </w:pPr>
            <w:r>
              <w:rPr>
                <w:rFonts w:ascii="Arial" w:cs="Arial" w:eastAsia="Arial" w:hAnsi="Arial"/>
                <w:sz w:val="18"/>
                <w:szCs w:val="18"/>
                <w:color w:val="auto"/>
              </w:rPr>
              <w:t>Existing Investments</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Schedule 9.09</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Sale of Assets</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9.10</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tcPr>
          <w:p>
            <w:pPr>
              <w:ind w:left="300"/>
              <w:spacing w:after="0"/>
              <w:rPr>
                <w:sz w:val="20"/>
                <w:szCs w:val="20"/>
                <w:color w:val="auto"/>
              </w:rPr>
            </w:pPr>
            <w:r>
              <w:rPr>
                <w:rFonts w:ascii="Arial" w:cs="Arial" w:eastAsia="Arial" w:hAnsi="Arial"/>
                <w:sz w:val="18"/>
                <w:szCs w:val="18"/>
                <w:color w:val="auto"/>
              </w:rPr>
              <w:t>Transactions with Affiliates</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Schedule 9.14</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Existing Sales and Leasebacks</w:t>
            </w:r>
          </w:p>
        </w:tc>
      </w:tr>
      <w:tr>
        <w:trPr>
          <w:trHeight w:val="216"/>
        </w:trPr>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50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Exhibit A</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Exhibit B</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tcPr>
          <w:p>
            <w:pPr>
              <w:ind w:left="300"/>
              <w:spacing w:after="0"/>
              <w:rPr>
                <w:sz w:val="20"/>
                <w:szCs w:val="20"/>
                <w:color w:val="auto"/>
              </w:rPr>
            </w:pPr>
            <w:r>
              <w:rPr>
                <w:rFonts w:ascii="Arial" w:cs="Arial" w:eastAsia="Arial" w:hAnsi="Arial"/>
                <w:sz w:val="18"/>
                <w:szCs w:val="18"/>
                <w:color w:val="auto"/>
              </w:rPr>
              <w:t>Form of Borrowing Notice</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Exhibit C</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Form of Funding Date Certificate</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Exhibit D</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tcPr>
          <w:p>
            <w:pPr>
              <w:ind w:left="300"/>
              <w:spacing w:after="0"/>
              <w:rPr>
                <w:sz w:val="20"/>
                <w:szCs w:val="20"/>
                <w:color w:val="auto"/>
              </w:rPr>
            </w:pPr>
            <w:r>
              <w:rPr>
                <w:rFonts w:ascii="Arial" w:cs="Arial" w:eastAsia="Arial" w:hAnsi="Arial"/>
                <w:sz w:val="18"/>
                <w:szCs w:val="18"/>
                <w:color w:val="auto"/>
              </w:rPr>
              <w:t>[Reserved]</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Exhibit E</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Form of Guarantee Assumption Agreement</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Exhibit F</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tcPr>
          <w:p>
            <w:pPr>
              <w:ind w:left="300"/>
              <w:spacing w:after="0"/>
              <w:rPr>
                <w:sz w:val="20"/>
                <w:szCs w:val="20"/>
                <w:color w:val="auto"/>
              </w:rPr>
            </w:pPr>
            <w:r>
              <w:rPr>
                <w:rFonts w:ascii="Arial" w:cs="Arial" w:eastAsia="Arial" w:hAnsi="Arial"/>
                <w:sz w:val="18"/>
                <w:szCs w:val="18"/>
                <w:color w:val="auto"/>
              </w:rPr>
              <w:t>Form of Intercompany Subordination Agreement</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Exhibit G</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[Reserved]</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Exhibit H</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tcPr>
          <w:p>
            <w:pPr>
              <w:ind w:left="300"/>
              <w:spacing w:after="0"/>
              <w:rPr>
                <w:sz w:val="20"/>
                <w:szCs w:val="20"/>
                <w:color w:val="auto"/>
              </w:rPr>
            </w:pPr>
            <w:r>
              <w:rPr>
                <w:rFonts w:ascii="Arial" w:cs="Arial" w:eastAsia="Arial" w:hAnsi="Arial"/>
                <w:sz w:val="18"/>
                <w:szCs w:val="18"/>
                <w:color w:val="auto"/>
              </w:rPr>
              <w:t>Form of Note</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Exhibit I</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Form of Warrant</w:t>
            </w:r>
          </w:p>
        </w:tc>
      </w:tr>
      <w:tr>
        <w:trPr>
          <w:trHeight w:val="202"/>
        </w:trPr>
        <w:tc>
          <w:tcPr>
            <w:tcW w:w="1820" w:type="dxa"/>
            <w:vAlign w:val="bottom"/>
          </w:tcPr>
          <w:p>
            <w:pPr>
              <w:spacing w:after="0" w:line="201" w:lineRule="exact"/>
              <w:rPr>
                <w:sz w:val="20"/>
                <w:szCs w:val="20"/>
                <w:color w:val="auto"/>
              </w:rPr>
            </w:pPr>
            <w:r>
              <w:rPr>
                <w:rFonts w:ascii="Arial" w:cs="Arial" w:eastAsia="Arial" w:hAnsi="Arial"/>
                <w:sz w:val="18"/>
                <w:szCs w:val="18"/>
                <w:color w:val="auto"/>
              </w:rPr>
              <w:t>Exhibit J-1</w:t>
            </w:r>
          </w:p>
        </w:tc>
        <w:tc>
          <w:tcPr>
            <w:tcW w:w="92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w:t>
            </w:r>
          </w:p>
        </w:tc>
        <w:tc>
          <w:tcPr>
            <w:tcW w:w="8500" w:type="dxa"/>
            <w:vAlign w:val="bottom"/>
          </w:tcPr>
          <w:p>
            <w:pPr>
              <w:ind w:left="300"/>
              <w:spacing w:after="0" w:line="201" w:lineRule="exact"/>
              <w:rPr>
                <w:sz w:val="20"/>
                <w:szCs w:val="20"/>
                <w:color w:val="auto"/>
              </w:rPr>
            </w:pPr>
            <w:r>
              <w:rPr>
                <w:rFonts w:ascii="Arial" w:cs="Arial" w:eastAsia="Arial" w:hAnsi="Arial"/>
                <w:sz w:val="18"/>
                <w:szCs w:val="18"/>
                <w:color w:val="auto"/>
                <w:w w:val="96"/>
              </w:rPr>
              <w:t>Form of U.S. Tax Compliance Certificate (For Foreign Lenders That Are Not Partnerships For U.S. Federal</w:t>
            </w:r>
          </w:p>
        </w:tc>
      </w:tr>
      <w:tr>
        <w:trPr>
          <w:trHeight w:val="230"/>
        </w:trPr>
        <w:tc>
          <w:tcPr>
            <w:tcW w:w="1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500" w:type="dxa"/>
            <w:vAlign w:val="bottom"/>
          </w:tcPr>
          <w:p>
            <w:pPr>
              <w:ind w:left="300"/>
              <w:spacing w:after="0"/>
              <w:rPr>
                <w:sz w:val="20"/>
                <w:szCs w:val="20"/>
                <w:color w:val="auto"/>
              </w:rPr>
            </w:pPr>
            <w:r>
              <w:rPr>
                <w:rFonts w:ascii="Arial" w:cs="Arial" w:eastAsia="Arial" w:hAnsi="Arial"/>
                <w:sz w:val="18"/>
                <w:szCs w:val="18"/>
                <w:color w:val="auto"/>
              </w:rPr>
              <w:t>Income Tax Purposes)</w:t>
            </w:r>
          </w:p>
        </w:tc>
      </w:tr>
      <w:tr>
        <w:trPr>
          <w:trHeight w:val="202"/>
        </w:trPr>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Exhibit J-2</w:t>
            </w:r>
          </w:p>
        </w:tc>
        <w:tc>
          <w:tcPr>
            <w:tcW w:w="920" w:type="dxa"/>
            <w:vAlign w:val="bottom"/>
            <w:shd w:val="clear" w:color="auto" w:fill="CCEEFF"/>
          </w:tcPr>
          <w:p>
            <w:pPr>
              <w:jc w:val="right"/>
              <w:ind w:right="190"/>
              <w:spacing w:after="0" w:line="201" w:lineRule="exact"/>
              <w:rPr>
                <w:sz w:val="20"/>
                <w:szCs w:val="20"/>
                <w:color w:val="auto"/>
              </w:rPr>
            </w:pPr>
            <w:r>
              <w:rPr>
                <w:rFonts w:ascii="Arial" w:cs="Arial" w:eastAsia="Arial" w:hAnsi="Arial"/>
                <w:sz w:val="18"/>
                <w:szCs w:val="18"/>
                <w:color w:val="auto"/>
              </w:rPr>
              <w:t>-</w:t>
            </w:r>
          </w:p>
        </w:tc>
        <w:tc>
          <w:tcPr>
            <w:tcW w:w="85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3"/>
              </w:rPr>
              <w:t>Form of U.S. Tax Compliance Certificate (For Foreign Participants That Are Not Partnerships For U.S. Federal</w:t>
            </w:r>
          </w:p>
        </w:tc>
      </w:tr>
      <w:tr>
        <w:trPr>
          <w:trHeight w:val="230"/>
        </w:trPr>
        <w:tc>
          <w:tcPr>
            <w:tcW w:w="18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Tax Purposes)</w:t>
            </w:r>
          </w:p>
        </w:tc>
      </w:tr>
      <w:tr>
        <w:trPr>
          <w:trHeight w:val="202"/>
        </w:trPr>
        <w:tc>
          <w:tcPr>
            <w:tcW w:w="1820" w:type="dxa"/>
            <w:vAlign w:val="bottom"/>
          </w:tcPr>
          <w:p>
            <w:pPr>
              <w:spacing w:after="0" w:line="201" w:lineRule="exact"/>
              <w:rPr>
                <w:sz w:val="20"/>
                <w:szCs w:val="20"/>
                <w:color w:val="auto"/>
              </w:rPr>
            </w:pPr>
            <w:r>
              <w:rPr>
                <w:rFonts w:ascii="Arial" w:cs="Arial" w:eastAsia="Arial" w:hAnsi="Arial"/>
                <w:sz w:val="18"/>
                <w:szCs w:val="18"/>
                <w:color w:val="auto"/>
              </w:rPr>
              <w:t>Exhibit J-3</w:t>
            </w:r>
          </w:p>
        </w:tc>
        <w:tc>
          <w:tcPr>
            <w:tcW w:w="92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w:t>
            </w:r>
          </w:p>
        </w:tc>
        <w:tc>
          <w:tcPr>
            <w:tcW w:w="8500" w:type="dxa"/>
            <w:vAlign w:val="bottom"/>
          </w:tcPr>
          <w:p>
            <w:pPr>
              <w:ind w:left="300"/>
              <w:spacing w:after="0" w:line="201" w:lineRule="exact"/>
              <w:rPr>
                <w:sz w:val="20"/>
                <w:szCs w:val="20"/>
                <w:color w:val="auto"/>
              </w:rPr>
            </w:pPr>
            <w:r>
              <w:rPr>
                <w:rFonts w:ascii="Arial" w:cs="Arial" w:eastAsia="Arial" w:hAnsi="Arial"/>
                <w:sz w:val="18"/>
                <w:szCs w:val="18"/>
                <w:color w:val="auto"/>
                <w:w w:val="96"/>
              </w:rPr>
              <w:t>Form of U.S. Tax Compliance Certificate (For Foreign Participants That Are Partnerships For U.S. Federal</w:t>
            </w:r>
          </w:p>
        </w:tc>
      </w:tr>
      <w:tr>
        <w:trPr>
          <w:trHeight w:val="230"/>
        </w:trPr>
        <w:tc>
          <w:tcPr>
            <w:tcW w:w="1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500" w:type="dxa"/>
            <w:vAlign w:val="bottom"/>
          </w:tcPr>
          <w:p>
            <w:pPr>
              <w:ind w:left="300"/>
              <w:spacing w:after="0"/>
              <w:rPr>
                <w:sz w:val="20"/>
                <w:szCs w:val="20"/>
                <w:color w:val="auto"/>
              </w:rPr>
            </w:pPr>
            <w:r>
              <w:rPr>
                <w:rFonts w:ascii="Arial" w:cs="Arial" w:eastAsia="Arial" w:hAnsi="Arial"/>
                <w:sz w:val="18"/>
                <w:szCs w:val="18"/>
                <w:color w:val="auto"/>
              </w:rPr>
              <w:t>Income Tax Purposes)</w:t>
            </w:r>
          </w:p>
        </w:tc>
      </w:tr>
      <w:tr>
        <w:trPr>
          <w:trHeight w:val="202"/>
        </w:trPr>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Exhibit J-4</w:t>
            </w:r>
          </w:p>
        </w:tc>
        <w:tc>
          <w:tcPr>
            <w:tcW w:w="920" w:type="dxa"/>
            <w:vAlign w:val="bottom"/>
            <w:shd w:val="clear" w:color="auto" w:fill="CCEEFF"/>
          </w:tcPr>
          <w:p>
            <w:pPr>
              <w:jc w:val="right"/>
              <w:ind w:right="190"/>
              <w:spacing w:after="0" w:line="201" w:lineRule="exact"/>
              <w:rPr>
                <w:sz w:val="20"/>
                <w:szCs w:val="20"/>
                <w:color w:val="auto"/>
              </w:rPr>
            </w:pPr>
            <w:r>
              <w:rPr>
                <w:rFonts w:ascii="Arial" w:cs="Arial" w:eastAsia="Arial" w:hAnsi="Arial"/>
                <w:sz w:val="18"/>
                <w:szCs w:val="18"/>
                <w:color w:val="auto"/>
              </w:rPr>
              <w:t>-</w:t>
            </w:r>
          </w:p>
        </w:tc>
        <w:tc>
          <w:tcPr>
            <w:tcW w:w="85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3"/>
              </w:rPr>
              <w:t>Form of U.S. Tax Compliance Certificate (For Foreign Lenders That Are Partnerships For U.S. Federal Income</w:t>
            </w:r>
          </w:p>
        </w:tc>
      </w:tr>
      <w:tr>
        <w:trPr>
          <w:trHeight w:val="230"/>
        </w:trPr>
        <w:tc>
          <w:tcPr>
            <w:tcW w:w="18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Tax Purposes)</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Exhibit K</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tcPr>
          <w:p>
            <w:pPr>
              <w:ind w:left="300"/>
              <w:spacing w:after="0"/>
              <w:rPr>
                <w:sz w:val="20"/>
                <w:szCs w:val="20"/>
                <w:color w:val="auto"/>
              </w:rPr>
            </w:pPr>
            <w:r>
              <w:rPr>
                <w:rFonts w:ascii="Arial" w:cs="Arial" w:eastAsia="Arial" w:hAnsi="Arial"/>
                <w:sz w:val="18"/>
                <w:szCs w:val="18"/>
                <w:color w:val="auto"/>
              </w:rPr>
              <w:t>Form of Solvency Certificate</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Exhibit L</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Form of Compliance Certificate</w:t>
            </w:r>
          </w:p>
        </w:tc>
      </w:tr>
      <w:tr>
        <w:trPr>
          <w:trHeight w:val="439"/>
        </w:trPr>
        <w:tc>
          <w:tcPr>
            <w:tcW w:w="18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tcPr>
          <w:p>
            <w:pPr>
              <w:jc w:val="center"/>
              <w:ind w:right="2649"/>
              <w:spacing w:after="0"/>
              <w:rPr>
                <w:sz w:val="20"/>
                <w:szCs w:val="20"/>
                <w:color w:val="auto"/>
              </w:rPr>
            </w:pPr>
            <w:r>
              <w:rPr>
                <w:rFonts w:ascii="Arial" w:cs="Arial" w:eastAsia="Arial" w:hAnsi="Arial"/>
                <w:sz w:val="18"/>
                <w:szCs w:val="18"/>
                <w:color w:val="auto"/>
              </w:rPr>
              <w:t>-vii-</w:t>
            </w:r>
          </w:p>
        </w:tc>
      </w:tr>
    </w:tbl>
    <w:p>
      <w:pPr>
        <w:sectPr>
          <w:pgSz w:w="11900" w:h="16838" w:orient="portrait"/>
          <w:cols w:equalWidth="0" w:num="1">
            <w:col w:w="11240"/>
          </w:cols>
          <w:pgMar w:left="320" w:top="648"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CREDIT AGREEMENT AND GUARANTY</w:t>
      </w:r>
    </w:p>
    <w:p>
      <w:pPr>
        <w:spacing w:after="0" w:line="22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color w:val="auto"/>
        </w:rPr>
        <w:t>CREDIT AGREEMENT AND GUARANTY, dated as of March 27, 2023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among </w:t>
      </w:r>
      <w:r>
        <w:rPr>
          <w:rFonts w:ascii="Arial" w:cs="Arial" w:eastAsia="Arial" w:hAnsi="Arial"/>
          <w:sz w:val="18"/>
          <w:szCs w:val="18"/>
          <w:b w:val="1"/>
          <w:bCs w:val="1"/>
          <w:color w:val="auto"/>
        </w:rPr>
        <w:t>HARROW HEALTH, INC.</w:t>
      </w:r>
      <w:r>
        <w:rPr>
          <w:rFonts w:ascii="Arial" w:cs="Arial" w:eastAsia="Arial" w:hAnsi="Arial"/>
          <w:sz w:val="18"/>
          <w:szCs w:val="18"/>
          <w:color w:val="auto"/>
        </w:rPr>
        <w:t>, a Delaware corporation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certain Subsidiaries of the Borrower required to provide Guarantees from time to time hereunder, the lenders from time to time party hereto (each a “</w:t>
      </w:r>
      <w:r>
        <w:rPr>
          <w:rFonts w:ascii="Arial" w:cs="Arial" w:eastAsia="Arial" w:hAnsi="Arial"/>
          <w:sz w:val="18"/>
          <w:szCs w:val="18"/>
          <w:b w:val="1"/>
          <w:bCs w:val="1"/>
          <w:i w:val="1"/>
          <w:iCs w:val="1"/>
          <w:color w:val="auto"/>
        </w:rPr>
        <w:t>Lender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 xml:space="preserve">”), and </w:t>
      </w:r>
      <w:r>
        <w:rPr>
          <w:rFonts w:ascii="Arial" w:cs="Arial" w:eastAsia="Arial" w:hAnsi="Arial"/>
          <w:sz w:val="18"/>
          <w:szCs w:val="18"/>
          <w:b w:val="1"/>
          <w:bCs w:val="1"/>
          <w:color w:val="auto"/>
        </w:rPr>
        <w:t>OAKTREE FUND ADMINISTRATION, LLC</w:t>
      </w:r>
      <w:r>
        <w:rPr>
          <w:rFonts w:ascii="Arial" w:cs="Arial" w:eastAsia="Arial" w:hAnsi="Arial"/>
          <w:sz w:val="18"/>
          <w:szCs w:val="18"/>
          <w:color w:val="auto"/>
        </w:rPr>
        <w:t>, as administrative agent for the Lenders (in such capacity, the “</w:t>
      </w:r>
      <w:r>
        <w:rPr>
          <w:rFonts w:ascii="Arial" w:cs="Arial" w:eastAsia="Arial" w:hAnsi="Arial"/>
          <w:sz w:val="18"/>
          <w:szCs w:val="18"/>
          <w:b w:val="1"/>
          <w:bCs w:val="1"/>
          <w:i w:val="1"/>
          <w:iCs w:val="1"/>
          <w:color w:val="auto"/>
        </w:rPr>
        <w:t>Administrative Agent</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Borrower has requested that the Lenders provide a senior secured term loan facility to the Borrower in an aggregate principal amount of $100,000,000, consisting of (a) a $65,000,000 Closing Date Tranche A Term Loan to be extended on the Closing Date and (b) an up to $35,000,000 Tranche B Term Loan to be extended on the Tranche B Funding Date;</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on the First Amendment Effective Date, the Borrower has requested that the Lenders provide a $12,500,000 Incremental Tranche A Term Loan to be extended on the Incremental Tranche A Funding Date, which Incremental Tranche A Term Loan will form a single tranche of Tranche A Term Loans with the Closing Date Tranche A Term Loan extended on the Closing Date; and</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WHEREAS, the Lenders are willing, on the terms and subject to the conditions set forth herein, to provide such senior secured term loan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parties hereto agree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SECTION 2. Certain Defined Terms. </w:t>
      </w:r>
      <w:r>
        <w:rPr>
          <w:rFonts w:ascii="Arial" w:cs="Arial" w:eastAsia="Arial" w:hAnsi="Arial"/>
          <w:sz w:val="18"/>
          <w:szCs w:val="18"/>
          <w:color w:val="auto"/>
        </w:rPr>
        <w:t>As used herein, the following terms have the following respective meanings:</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Acquisition</w:t>
      </w:r>
      <w:r>
        <w:rPr>
          <w:rFonts w:ascii="Arial" w:cs="Arial" w:eastAsia="Arial" w:hAnsi="Arial"/>
          <w:sz w:val="17"/>
          <w:szCs w:val="17"/>
          <w:color w:val="auto"/>
        </w:rPr>
        <w:t>” means any transaction, or any series of related transactions, by which any Person, directly or indirectly, by means of amalgamation, merger, purchase of assets, purchase of Equity Interests, exclusive licensing of Intellectual Property or otherwise, (i) acquires all or substantially all of the assets of any other Person, (ii) acquires an entire business line or unit or division of any other Person, (iii) with respect to any other Person that is managed or governed by a Board, acquires control of Equity Interests of such other Person representing more than fifty percent (50%) of the ordinary voting power (determined on a fully-diluted basis) for the election of directors of such Person’s Board, or (iv) acquires control of more than fifty percent (50%) of the Equity Interests in any other Person (determined on a fully-diluted basis) that is not managed by a Board.</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Administrative Agent</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ANDA</w:t>
      </w:r>
      <w:r>
        <w:rPr>
          <w:rFonts w:ascii="Arial" w:cs="Arial" w:eastAsia="Arial" w:hAnsi="Arial"/>
          <w:sz w:val="18"/>
          <w:szCs w:val="18"/>
          <w:color w:val="auto"/>
        </w:rPr>
        <w:t>” means (i) (x) an abbreviated new drug application (as defined in the FD&amp;C Act) and (y) any similar application or functional equivalent relating to any new drug application applicable to or required by any non-U.S. Governmental Authority, and (ii) all supplements and amendments that may be filed with respect to any of the foregoing.</w:t>
      </w:r>
    </w:p>
    <w:p>
      <w:pPr>
        <w:spacing w:after="0" w:line="184"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Anti-Terrorism Laws</w:t>
      </w:r>
      <w:r>
        <w:rPr>
          <w:rFonts w:ascii="Arial" w:cs="Arial" w:eastAsia="Arial" w:hAnsi="Arial"/>
          <w:sz w:val="18"/>
          <w:szCs w:val="18"/>
          <w:color w:val="auto"/>
        </w:rPr>
        <w:t>” means any laws relating to terrorism or money laundering, including, without limitation, (i) the Money Laundering Control Act of 1986 (e.g., 18 U.S.C. §§ 1956 and 1957), (ii) the Bank Secrecy Act of 1970 (e.g., 31 U.S.C. §§ 5311 – 5330), as amended by the Patriot Act, (iii) the laws, regulations and Executive Orders administered by the United States Department of the Treasury’s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(iv) the Comprehensive Iran Sanctions, Accountability, and Divestment Act of 2010 and implementing regulations by the United States Department of the Treasury, (v) any law prohibiting or directed against terrorist activities or the financing of terrorist activities (e.g., 18 U.S.C. §§ 2339A and 2339B), or (vi) any similar laws enacted in the United States or any other jurisdictions in which the parties to this agreement operate, and all other present and future legal requirements of any Governmental Authority governing, addressing, relating to, or attempting to eliminate, terrorist acts and acts of war.</w:t>
      </w:r>
    </w:p>
    <w:p>
      <w:pPr>
        <w:spacing w:after="0" w:line="19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Commitment</w:t>
      </w:r>
      <w:r>
        <w:rPr>
          <w:rFonts w:ascii="Arial" w:cs="Arial" w:eastAsia="Arial" w:hAnsi="Arial"/>
          <w:sz w:val="18"/>
          <w:szCs w:val="18"/>
          <w:color w:val="auto"/>
        </w:rPr>
        <w:t>” means the Closing Date Tranche A Commitment, the Incremental Tranche A Commitment or the Tranche B Commitment, as applicable.</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Funding Date</w:t>
      </w:r>
      <w:r>
        <w:rPr>
          <w:rFonts w:ascii="Arial" w:cs="Arial" w:eastAsia="Arial" w:hAnsi="Arial"/>
          <w:sz w:val="18"/>
          <w:szCs w:val="18"/>
          <w:color w:val="auto"/>
        </w:rPr>
        <w:t>” means the Closing Date, the Incremental Tranche A Funding Date or the Tranche B Funding Date,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Margin</w:t>
      </w:r>
      <w:r>
        <w:rPr>
          <w:rFonts w:ascii="Arial" w:cs="Arial" w:eastAsia="Arial" w:hAnsi="Arial"/>
          <w:sz w:val="18"/>
          <w:szCs w:val="18"/>
          <w:color w:val="auto"/>
        </w:rPr>
        <w:t>” means a percentage equal to 6.50%.</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Arm’s Length Transaction</w:t>
      </w:r>
      <w:r>
        <w:rPr>
          <w:rFonts w:ascii="Arial" w:cs="Arial" w:eastAsia="Arial" w:hAnsi="Arial"/>
          <w:sz w:val="18"/>
          <w:szCs w:val="18"/>
          <w:color w:val="auto"/>
        </w:rPr>
        <w:t>” means, with respect to any transaction, the terms of such transaction shall not be less favorable to the Borrower or any of its Subsidiaries than commercially reasonable terms that would be obtained in a transaction with a Person that is an unrelated third party.</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Asset Sale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9.09</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Assignment and Assumption</w:t>
      </w:r>
      <w:r>
        <w:rPr>
          <w:rFonts w:ascii="Arial" w:cs="Arial" w:eastAsia="Arial" w:hAnsi="Arial"/>
          <w:sz w:val="18"/>
          <w:szCs w:val="18"/>
          <w:color w:val="auto"/>
        </w:rPr>
        <w:t xml:space="preserve">” means an assignment and assumption entered into by a Lender and an assignee of such Lender substantially in the form of </w:t>
      </w:r>
      <w:r>
        <w:rPr>
          <w:rFonts w:ascii="Arial" w:cs="Arial" w:eastAsia="Arial" w:hAnsi="Arial"/>
          <w:sz w:val="18"/>
          <w:szCs w:val="18"/>
          <w:b w:val="1"/>
          <w:bCs w:val="1"/>
          <w:color w:val="auto"/>
        </w:rPr>
        <w:t>Exhibit A</w:t>
      </w:r>
      <w:r>
        <w:rPr>
          <w:rFonts w:ascii="Arial" w:cs="Arial" w:eastAsia="Arial" w:hAnsi="Arial"/>
          <w:sz w:val="18"/>
          <w:szCs w:val="18"/>
          <w:color w:val="auto"/>
        </w:rPr>
        <w:t>, or such other form as agreed by the Administrative Agent.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2" w:name="page63"/>
    <w:bookmarkEnd w:id="62"/>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Bail-In Action</w:t>
      </w:r>
      <w:r>
        <w:rPr>
          <w:rFonts w:ascii="Arial" w:cs="Arial" w:eastAsia="Arial" w:hAnsi="Arial"/>
          <w:sz w:val="17"/>
          <w:szCs w:val="17"/>
          <w:color w:val="auto"/>
        </w:rPr>
        <w:t>” means the exercise of any Write-Down and Conversion Powers by the applicable EEA Resolution Authority or U.K.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Resolution Authority in respect of any liability of an Affected Financial Institution.</w:t>
      </w:r>
    </w:p>
    <w:p>
      <w:pPr>
        <w:spacing w:after="0" w:line="211"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Bailee Letter</w:t>
      </w:r>
      <w:r>
        <w:rPr>
          <w:rFonts w:ascii="Arial" w:cs="Arial" w:eastAsia="Arial" w:hAnsi="Arial"/>
          <w:sz w:val="18"/>
          <w:szCs w:val="18"/>
          <w:color w:val="auto"/>
        </w:rPr>
        <w:t>” means a bailee letter substantially in the form of Exhibit F to the Security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Bankruptcy Code</w:t>
      </w:r>
      <w:r>
        <w:rPr>
          <w:rFonts w:ascii="Arial" w:cs="Arial" w:eastAsia="Arial" w:hAnsi="Arial"/>
          <w:sz w:val="18"/>
          <w:szCs w:val="18"/>
          <w:color w:val="auto"/>
        </w:rPr>
        <w:t>” means Title 11 of the United States Code entitled “Bankruptcy.”</w:t>
      </w:r>
    </w:p>
    <w:p>
      <w:pPr>
        <w:spacing w:after="0" w:line="22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Benefit Plan</w:t>
      </w:r>
      <w:r>
        <w:rPr>
          <w:rFonts w:ascii="Arial" w:cs="Arial" w:eastAsia="Arial" w:hAnsi="Arial"/>
          <w:sz w:val="17"/>
          <w:szCs w:val="17"/>
          <w:color w:val="auto"/>
        </w:rPr>
        <w:t>” means any employee benefit plan as defined in Section 3(3) of ERISA (whether governed by the laws of the United States or otherwise) to which any Obligor or Subsidiary thereof incurs or otherwise has any obligation or liability, contingent or otherwise.</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Beneficial Ownership Certification</w:t>
      </w:r>
      <w:r>
        <w:rPr>
          <w:rFonts w:ascii="Arial" w:cs="Arial" w:eastAsia="Arial" w:hAnsi="Arial"/>
          <w:sz w:val="17"/>
          <w:szCs w:val="17"/>
          <w:color w:val="auto"/>
        </w:rPr>
        <w:t>” means a certification regarding beneficial ownership as required by the Beneficial Ownership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Regulation.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BLA</w:t>
      </w:r>
      <w:r>
        <w:rPr>
          <w:rFonts w:ascii="Arial" w:cs="Arial" w:eastAsia="Arial" w:hAnsi="Arial"/>
          <w:sz w:val="18"/>
          <w:szCs w:val="18"/>
          <w:color w:val="auto"/>
        </w:rPr>
        <w:t>” means (i) (x) a biologics license application (as defined in the Public Health Service Act) to introduce, or deliver for introduction, a biologic product, including vaccines into commerce in the U.S., or any successor application or procedure and (y) any similar application or functional equivalent relating to biologics licensing applicable to or required by any non-U.S. Governmental Authority, and (ii) all supplements and amendments that may be filed with respect to the foregoing.</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with respect to any Person, the board of directors or equivalent management or oversight body of such Person or any committee thereof authorized to act on behalf of such board (or equivalent body).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Borrowing</w:t>
      </w:r>
      <w:r>
        <w:rPr>
          <w:rFonts w:ascii="Arial" w:cs="Arial" w:eastAsia="Arial" w:hAnsi="Arial"/>
          <w:sz w:val="18"/>
          <w:szCs w:val="18"/>
          <w:color w:val="auto"/>
        </w:rPr>
        <w:t>” means the borrowing of the Loans on each Applicable Funding Date.</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Borrowing Notice</w:t>
      </w:r>
      <w:r>
        <w:rPr>
          <w:rFonts w:ascii="Arial" w:cs="Arial" w:eastAsia="Arial" w:hAnsi="Arial"/>
          <w:sz w:val="18"/>
          <w:szCs w:val="18"/>
          <w:color w:val="auto"/>
        </w:rPr>
        <w:t xml:space="preserve">” means a written notice substantially in the form of </w:t>
      </w:r>
      <w:r>
        <w:rPr>
          <w:rFonts w:ascii="Arial" w:cs="Arial" w:eastAsia="Arial" w:hAnsi="Arial"/>
          <w:sz w:val="18"/>
          <w:szCs w:val="18"/>
          <w:b w:val="1"/>
          <w:bCs w:val="1"/>
          <w:color w:val="auto"/>
        </w:rPr>
        <w:t>Exhibit B</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3" w:name="page64"/>
    <w:bookmarkEnd w:id="63"/>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Bringdown Date</w:t>
      </w:r>
      <w:r>
        <w:rPr>
          <w:rFonts w:ascii="Arial" w:cs="Arial" w:eastAsia="Arial" w:hAnsi="Arial"/>
          <w:sz w:val="18"/>
          <w:szCs w:val="18"/>
          <w:color w:val="auto"/>
        </w:rPr>
        <w:t xml:space="preserve">” means each date on which a Loan is advanced pursuant to </w:t>
      </w:r>
      <w:r>
        <w:rPr>
          <w:rFonts w:ascii="Arial" w:cs="Arial" w:eastAsia="Arial" w:hAnsi="Arial"/>
          <w:sz w:val="18"/>
          <w:szCs w:val="18"/>
          <w:b w:val="1"/>
          <w:bCs w:val="1"/>
          <w:color w:val="auto"/>
        </w:rPr>
        <w:t>Section 2.01</w:t>
      </w:r>
      <w:r>
        <w:rPr>
          <w:rFonts w:ascii="Arial" w:cs="Arial" w:eastAsia="Arial" w:hAnsi="Arial"/>
          <w:sz w:val="18"/>
          <w:szCs w:val="18"/>
          <w:color w:val="auto"/>
        </w:rPr>
        <w:t xml:space="preserve"> and any other date the representations and warranties under the Loan Documents are required to be made (other than the Closing Date).</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 day (other than a Saturday or Sunday) on which commercial banks are not authorized or required to close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City.</w:t>
      </w:r>
    </w:p>
    <w:p>
      <w:pPr>
        <w:spacing w:after="0" w:line="211"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Lease Obligations</w:t>
      </w:r>
      <w:r>
        <w:rPr>
          <w:rFonts w:ascii="Arial" w:cs="Arial" w:eastAsia="Arial" w:hAnsi="Arial"/>
          <w:sz w:val="18"/>
          <w:szCs w:val="18"/>
          <w:color w:val="auto"/>
        </w:rPr>
        <w:t>” means, as to any Person, the obligations of such Person to pay rent or other amounts under a lease of (or other agreement conveying the right to use) real and/or personal property, which obligations are required to be classified and accounted for as a capital lease or finance lease on a balance sheet of such Person under GAAP, and for the purposes of this Agreement, the amount of such obligations shall be the capitalized amount thereof, determined in accordance with GAAP. “Capital Lease Obligations” shall not include any obligations under a straight-line or operating lease (including any lease that would not have been a capital lease under GAAP prior to giving effect to Accounting Standards Codification 842, Leases).</w:t>
      </w:r>
    </w:p>
    <w:p>
      <w:pPr>
        <w:spacing w:after="0" w:line="19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CATIONORM PLUS</w:t>
      </w:r>
      <w:r>
        <w:rPr>
          <w:rFonts w:ascii="Arial" w:cs="Arial" w:eastAsia="Arial" w:hAnsi="Arial"/>
          <w:sz w:val="18"/>
          <w:szCs w:val="18"/>
          <w:color w:val="auto"/>
        </w:rPr>
        <w:t>” (0.4ml x 30 Vials) is a hydrating and lubricating emulsion which protects the ocular surface and relieves the discomfort and irritation due to dry eye caused by prolonged use of contact lenses or environmental condition.</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Casualty Event</w:t>
      </w:r>
      <w:r>
        <w:rPr>
          <w:rFonts w:ascii="Arial" w:cs="Arial" w:eastAsia="Arial" w:hAnsi="Arial"/>
          <w:sz w:val="18"/>
          <w:szCs w:val="18"/>
          <w:color w:val="auto"/>
        </w:rPr>
        <w:t>” means the damage, destruction or condemnation, as the case may be, of property of the Borrower or any of its Subsidiaries in excess of $2,000,000.</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w:t>
      </w:r>
    </w:p>
    <w:p>
      <w:pPr>
        <w:spacing w:after="0" w:line="225" w:lineRule="exact"/>
        <w:rPr>
          <w:sz w:val="20"/>
          <w:szCs w:val="20"/>
          <w:color w:val="auto"/>
        </w:rPr>
      </w:pPr>
    </w:p>
    <w:p>
      <w:pPr>
        <w:jc w:val="both"/>
        <w:ind w:left="4540" w:hanging="320"/>
        <w:spacing w:after="0" w:line="284" w:lineRule="auto"/>
        <w:tabs>
          <w:tab w:leader="none" w:pos="4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event or series of events (i) as a result of which any “person” or “group” (as such terms are used in Sections 13(d) and 14(d) of the Securities Act, but excluding any of such person or its Subsidiaries, and any Person acting in its capacity as trustee, agent or other fiduciary or administrator of any Plan) becomes the “beneficial owner” (as defined in Rules 13d-3 and 13d-5 under the Exchange Act, except that a person or group shall be deemed to have “beneficial ownership” of all Equity Interests that such person or group has the right to acquire, whether such right is exercisable immediately or only after the passage of time (such right, an “</w:t>
      </w:r>
      <w:r>
        <w:rPr>
          <w:rFonts w:ascii="Arial" w:cs="Arial" w:eastAsia="Arial" w:hAnsi="Arial"/>
          <w:sz w:val="16"/>
          <w:szCs w:val="16"/>
          <w:b w:val="1"/>
          <w:bCs w:val="1"/>
          <w:i w:val="1"/>
          <w:iCs w:val="1"/>
          <w:color w:val="auto"/>
        </w:rPr>
        <w:t>option right</w:t>
      </w:r>
      <w:r>
        <w:rPr>
          <w:rFonts w:ascii="Arial" w:cs="Arial" w:eastAsia="Arial" w:hAnsi="Arial"/>
          <w:sz w:val="16"/>
          <w:szCs w:val="16"/>
          <w:color w:val="auto"/>
        </w:rPr>
        <w:t>”)), directly or indirectly, of thirty-five percent (35%) or more of the Equity Interests of the Borrower entitled to vote for members of the Board of the Borrower on a fully-diluted basis (and taking into account all such Equity Interests that such person or group has the right to acquire pursuant to any option right) or (ii) as a result of which, during any period of twelve (12) consecutive months, a majority of the members of the Board of the Borrower cease to be composed of individuals (A) who were members of such Board on the first day of such period, (B) who were elected, appointed or nominated to such Board, or whose election, appointment or nomination to such Board was approved, by individuals referred to in clause (A) above constituting at the time of such election, appointment, nomination or approval at least a majority of such Board or equivalent governing body or (C) who were elected, appointed or nominated to such Board, or whose election, appointment or nomination to such Board was approved, by individuals referred to in clauses (A) and (B) above constituting at the time of such election, appointment, nomination or approval at least a majority of such Board;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4" w:name="page65"/>
    <w:bookmarkEnd w:id="64"/>
    <w:p>
      <w:pPr>
        <w:jc w:val="both"/>
        <w:ind w:left="4540" w:hanging="320"/>
        <w:spacing w:after="0" w:line="279" w:lineRule="auto"/>
        <w:tabs>
          <w:tab w:leader="none" w:pos="4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except to the extent permitted by this Agreement, an event or series of events that results in the Borrower’s failure to own, directly or indirectly, beneficially and of record, one hundred percent (100%) of all issued and outstanding Equity Interests of each Subsidiary Guarantor (other than Visionology, Inc. and Visionology MSO, Inc.);</w:t>
      </w:r>
    </w:p>
    <w:p>
      <w:pPr>
        <w:spacing w:after="0" w:line="171" w:lineRule="exact"/>
        <w:rPr>
          <w:rFonts w:ascii="Arial" w:cs="Arial" w:eastAsia="Arial" w:hAnsi="Arial"/>
          <w:sz w:val="17"/>
          <w:szCs w:val="17"/>
          <w:color w:val="auto"/>
        </w:rPr>
      </w:pPr>
    </w:p>
    <w:p>
      <w:pPr>
        <w:jc w:val="both"/>
        <w:ind w:left="4540" w:hanging="320"/>
        <w:spacing w:after="0" w:line="259" w:lineRule="auto"/>
        <w:tabs>
          <w:tab w:leader="none" w:pos="4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to the extent permitted by this Agreement, an event or series of events that results in the Borrower’s failure to own, directly or indirectly, beneficially and of record, at least fifty-one percent (51%) of all issued and outstanding Equity Interests of each of Visionology, Inc. and Visionology MSO, Inc.; or</w:t>
      </w:r>
    </w:p>
    <w:p>
      <w:pPr>
        <w:spacing w:after="0" w:line="186" w:lineRule="exact"/>
        <w:rPr>
          <w:rFonts w:ascii="Arial" w:cs="Arial" w:eastAsia="Arial" w:hAnsi="Arial"/>
          <w:sz w:val="18"/>
          <w:szCs w:val="18"/>
          <w:color w:val="auto"/>
        </w:rPr>
      </w:pPr>
    </w:p>
    <w:p>
      <w:pPr>
        <w:ind w:left="4540" w:hanging="320"/>
        <w:spacing w:after="0" w:line="277" w:lineRule="auto"/>
        <w:tabs>
          <w:tab w:leader="none" w:pos="4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event or series of events that results in the sale of all or substantially all of the assets of the Borrower and its Subsidiaries, taken as a whole.</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Claims</w:t>
      </w:r>
      <w:r>
        <w:rPr>
          <w:rFonts w:ascii="Arial" w:cs="Arial" w:eastAsia="Arial" w:hAnsi="Arial"/>
          <w:sz w:val="18"/>
          <w:szCs w:val="18"/>
          <w:color w:val="auto"/>
        </w:rPr>
        <w:t>” means (and includes) any claim, demand, complaint, grievance, action, application, suit, cause of action, order, charge, indictment, prosecution, judgement or other similar process, whether in respect of assessments or reassessments, debts, liabilities, expenses, costs, damages or losses, contingent or otherwise, whether liquidated or unliquidated, matured or unmatured, disputed or undisputed, contractual, legal or equitable, including loss of value, professional fees, including fees and disbursements of legal counsel, and all costs incurred in investigating or pursuing any of the foregoing or any proceeding relating to any of the foregoing.</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 xml:space="preserve">” means the date on which the conditions precedent specified in </w:t>
      </w:r>
      <w:r>
        <w:rPr>
          <w:rFonts w:ascii="Arial" w:cs="Arial" w:eastAsia="Arial" w:hAnsi="Arial"/>
          <w:sz w:val="16"/>
          <w:szCs w:val="16"/>
          <w:b w:val="1"/>
          <w:bCs w:val="1"/>
          <w:color w:val="auto"/>
        </w:rPr>
        <w:t>Section 6.01</w:t>
      </w:r>
      <w:r>
        <w:rPr>
          <w:rFonts w:ascii="Arial" w:cs="Arial" w:eastAsia="Arial" w:hAnsi="Arial"/>
          <w:sz w:val="16"/>
          <w:szCs w:val="16"/>
          <w:color w:val="auto"/>
        </w:rPr>
        <w:t xml:space="preserve"> are satisfied (or waived in accordance 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14.04</w:t>
      </w:r>
      <w:r>
        <w:rPr>
          <w:rFonts w:ascii="Arial" w:cs="Arial" w:eastAsia="Arial" w:hAnsi="Arial"/>
          <w:sz w:val="18"/>
          <w:szCs w:val="18"/>
          <w:color w:val="auto"/>
        </w:rPr>
        <w:t>).</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 Fee Letter</w:t>
      </w:r>
      <w:r>
        <w:rPr>
          <w:rFonts w:ascii="Arial" w:cs="Arial" w:eastAsia="Arial" w:hAnsi="Arial"/>
          <w:sz w:val="18"/>
          <w:szCs w:val="18"/>
          <w:color w:val="auto"/>
        </w:rPr>
        <w:t>” means the Fee Letter, dated the date of this Agreement, among the Borrower, Oaktree Capital Management, L.P. and the Administrative Agent.</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 Tranche A Commitment</w:t>
      </w:r>
      <w:r>
        <w:rPr>
          <w:rFonts w:ascii="Arial" w:cs="Arial" w:eastAsia="Arial" w:hAnsi="Arial"/>
          <w:sz w:val="18"/>
          <w:szCs w:val="18"/>
          <w:color w:val="auto"/>
        </w:rPr>
        <w:t xml:space="preserve">” means, with respect to each Lender, the obligation of such Lender to make Closing Date Tranche A Term Loans to the Borrower on the Closing Date in accordance with the terms and conditions of this Agreement, which commitment is in the amount set forth opposite such Lender’s name on </w:t>
      </w:r>
      <w:r>
        <w:rPr>
          <w:rFonts w:ascii="Arial" w:cs="Arial" w:eastAsia="Arial" w:hAnsi="Arial"/>
          <w:sz w:val="18"/>
          <w:szCs w:val="18"/>
          <w:b w:val="1"/>
          <w:bCs w:val="1"/>
          <w:color w:val="auto"/>
        </w:rPr>
        <w:t>Schedule 1</w:t>
      </w:r>
      <w:r>
        <w:rPr>
          <w:rFonts w:ascii="Arial" w:cs="Arial" w:eastAsia="Arial" w:hAnsi="Arial"/>
          <w:sz w:val="18"/>
          <w:szCs w:val="18"/>
          <w:color w:val="auto"/>
        </w:rPr>
        <w:t xml:space="preserve"> under the caption “Closing Date Tranche A Commitment”, as such Schedule may be amended from time to time pursuant to an Assignment and Assumption or otherwise. The aggregate amount of Closing Date Tranche A Commitments on the date of this Agreement equals $65,000,000.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5" w:name="page66"/>
    <w:bookmarkEnd w:id="6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 Tranche A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b w:val="1"/>
          <w:bCs w:val="1"/>
          <w:color w:val="auto"/>
        </w:rPr>
        <w:t>Section 2.01(a)(i)</w:t>
      </w:r>
      <w:r>
        <w:rPr>
          <w:rFonts w:ascii="Arial" w:cs="Arial" w:eastAsia="Arial" w:hAnsi="Arial"/>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CME</w:t>
      </w:r>
      <w:r>
        <w:rPr>
          <w:rFonts w:ascii="Arial" w:cs="Arial" w:eastAsia="Arial" w:hAnsi="Arial"/>
          <w:sz w:val="18"/>
          <w:szCs w:val="18"/>
          <w:color w:val="auto"/>
        </w:rPr>
        <w:t>” means CME Group Benchmark Administration Limited.</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and the rules and regulations promulgated thereunder from time to time.</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Collateral</w:t>
      </w:r>
      <w:r>
        <w:rPr>
          <w:rFonts w:ascii="Arial" w:cs="Arial" w:eastAsia="Arial" w:hAnsi="Arial"/>
          <w:sz w:val="17"/>
          <w:szCs w:val="17"/>
          <w:color w:val="auto"/>
        </w:rPr>
        <w:t xml:space="preserve">” means any real, personal and mixed property (including Equity Interests), whether tangible or intangible, in which Liens are granted or purported to be granted to the Administrative Agent as security for the Obligations under any Loan Document on or after the Closing Date, including future acquired or created assets or property (or collectively, all such real, personal and mixed property, as the context may require); </w:t>
      </w:r>
      <w:r>
        <w:rPr>
          <w:rFonts w:ascii="Arial" w:cs="Arial" w:eastAsia="Arial" w:hAnsi="Arial"/>
          <w:sz w:val="17"/>
          <w:szCs w:val="17"/>
          <w:u w:val="single" w:color="auto"/>
          <w:color w:val="auto"/>
        </w:rPr>
        <w:t>provided</w:t>
      </w:r>
      <w:r>
        <w:rPr>
          <w:rFonts w:ascii="Arial" w:cs="Arial" w:eastAsia="Arial" w:hAnsi="Arial"/>
          <w:sz w:val="17"/>
          <w:szCs w:val="17"/>
          <w:color w:val="auto"/>
        </w:rPr>
        <w:t>, for the avoidance of doubt, “Collateral” shall not include any Excluded Assets (as defined in the Security Agreement).</w:t>
      </w:r>
    </w:p>
    <w:p>
      <w:pPr>
        <w:spacing w:after="0" w:line="17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Commitment</w:t>
      </w:r>
      <w:r>
        <w:rPr>
          <w:rFonts w:ascii="Arial" w:cs="Arial" w:eastAsia="Arial" w:hAnsi="Arial"/>
          <w:sz w:val="18"/>
          <w:szCs w:val="18"/>
          <w:color w:val="auto"/>
        </w:rPr>
        <w:t xml:space="preserve">” means, with respect to each Lender, the obligation of such Lender to make Loans to the Borrower on the Closing Date, the Incremental Tranche A Funding Date or the Tranche B Funding Date, as applicable, in accordance with the terms and conditions of this Agreement, which commitment is in the amount set forth opposite such Lender’s name on </w:t>
      </w:r>
      <w:r>
        <w:rPr>
          <w:rFonts w:ascii="Arial" w:cs="Arial" w:eastAsia="Arial" w:hAnsi="Arial"/>
          <w:sz w:val="18"/>
          <w:szCs w:val="18"/>
          <w:b w:val="1"/>
          <w:bCs w:val="1"/>
          <w:color w:val="auto"/>
        </w:rPr>
        <w:t>Schedule 1</w:t>
      </w:r>
      <w:r>
        <w:rPr>
          <w:rFonts w:ascii="Arial" w:cs="Arial" w:eastAsia="Arial" w:hAnsi="Arial"/>
          <w:sz w:val="18"/>
          <w:szCs w:val="18"/>
          <w:color w:val="auto"/>
        </w:rPr>
        <w:t xml:space="preserve"> under the caption “Applicable Commitment”, as such Schedule may be amended from time to time pursuant to an Assignment and Assumption or otherwise pursuant to this Agreement. The aggregate amount of Commitments on the First Amendment Effective Date equals $47,500,000.</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Commitment Fee</w:t>
      </w:r>
      <w:r>
        <w:rPr>
          <w:rFonts w:ascii="Arial" w:cs="Arial" w:eastAsia="Arial" w:hAnsi="Arial"/>
          <w:sz w:val="18"/>
          <w:szCs w:val="18"/>
          <w:color w:val="auto"/>
        </w:rPr>
        <w:t>” has the meaning set forth in the Fee Letter.</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Commitment Termination Date</w:t>
      </w:r>
      <w:r>
        <w:rPr>
          <w:rFonts w:ascii="Arial" w:cs="Arial" w:eastAsia="Arial" w:hAnsi="Arial"/>
          <w:sz w:val="16"/>
          <w:szCs w:val="16"/>
          <w:color w:val="auto"/>
        </w:rPr>
        <w:t xml:space="preserve">” means (i) with respect to the Closing Date Tranche A Commitment, the Closing Date, (ii) with respect to the Incremental Tranche A Commitment, the earlier to occur of (x) the date the Incremental Tranche A Commitment is terminated pursuant to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3.04</w:t>
      </w:r>
      <w:r>
        <w:rPr>
          <w:rFonts w:ascii="Arial" w:cs="Arial" w:eastAsia="Arial" w:hAnsi="Arial"/>
          <w:sz w:val="16"/>
          <w:szCs w:val="16"/>
          <w:color w:val="auto"/>
        </w:rPr>
        <w:t>, (y) the termination of the Eyevance APA without the consummation of the Eyevance Acquisition and (z) August 8, 2023 and (iii) with respect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Tranche B Commitment, the earlier to occur of (x) the date the Tranche B Commitment is terminated pursuant to </w:t>
      </w:r>
      <w:r>
        <w:rPr>
          <w:rFonts w:ascii="Arial" w:cs="Arial" w:eastAsia="Arial" w:hAnsi="Arial"/>
          <w:sz w:val="16"/>
          <w:szCs w:val="16"/>
          <w:b w:val="1"/>
          <w:bCs w:val="1"/>
          <w:color w:val="auto"/>
        </w:rPr>
        <w:t>Section 3.04</w:t>
      </w:r>
      <w:r>
        <w:rPr>
          <w:rFonts w:ascii="Arial" w:cs="Arial" w:eastAsia="Arial" w:hAnsi="Arial"/>
          <w:sz w:val="16"/>
          <w:szCs w:val="16"/>
          <w:color w:val="auto"/>
        </w:rPr>
        <w:t xml:space="preserve"> and (y) January 31, 2025.</w:t>
      </w:r>
    </w:p>
    <w:p>
      <w:pPr>
        <w:spacing w:after="0" w:line="157"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Competitor</w:t>
      </w:r>
      <w:r>
        <w:rPr>
          <w:rFonts w:ascii="Arial" w:cs="Arial" w:eastAsia="Arial" w:hAnsi="Arial"/>
          <w:sz w:val="16"/>
          <w:szCs w:val="16"/>
          <w:color w:val="auto"/>
        </w:rPr>
        <w:t>” means (i) any competitor of the Borrower or any of its Subsidiaries primarily operating in the same line of business as the Borrower or any of its Subsidiaries and (ii) any of such competitor’s Affiliates (other than any Person that is a bona fide debt fund primarily engaged in the making, purchasing, holding or other investing in commercial loans, notes, bonds or similar extensions of credit or securities in the Ordinary Course) that are either (x) identified by name in writing by the Borrower to the Administrative Agent from time to time or (y) clearly identifiable as an Affiliate of a competitor on the basis of such Affiliate’s name. Notwithstanding anything to the contrary contained in this Agreement, Administrative Agent shall not have any duty or obligation to carry out due diligence in order to identify or determine whether a Person would be a Company Competitor, and the Administrative Agent shall have no liability with respect to any assignment or participation made to a Company Competitor.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Compliance Certificate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8.01(c)</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Conforming Changes</w:t>
      </w:r>
      <w:r>
        <w:rPr>
          <w:rFonts w:ascii="Arial" w:cs="Arial" w:eastAsia="Arial" w:hAnsi="Arial"/>
          <w:sz w:val="16"/>
          <w:szCs w:val="16"/>
          <w:color w:val="auto"/>
        </w:rPr>
        <w:t>” means, with respect to the use, administration of or any conventions associated with Term SOFR or any proposed Successor Rate, as applicable, any conforming changes to the definitions of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and other technical, administrative or operational matters)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spacing w:after="0" w:line="16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Contracts</w:t>
      </w:r>
      <w:r>
        <w:rPr>
          <w:rFonts w:ascii="Arial" w:cs="Arial" w:eastAsia="Arial" w:hAnsi="Arial"/>
          <w:sz w:val="17"/>
          <w:szCs w:val="17"/>
          <w:color w:val="auto"/>
        </w:rPr>
        <w:t>” means any contract, license, lease, agreement, obligation, promise, undertaking, understanding, arrangement, document, commitment, entitlement or engagement under which a Person has, or will have, any liability or contingent liability (in each case, whether written or oral, express or implied, and whether in respect of monetary or payment obligations, performance obligations or otherwise).</w:t>
      </w:r>
    </w:p>
    <w:p>
      <w:pPr>
        <w:spacing w:after="0" w:line="16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means, in respect of a particular Person, the possession by one or more other Persons, directly or indirectly, of the power to direct or cause the direction of the management or policies of such particular Person, whether through the ability to exercise voting power, by contract or otherwise. “Controlling” and “Controlled” have meanings correlative thereto.</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 Agreement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8.16(a)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Controlled Account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8.16(a)</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Copyright</w:t>
      </w:r>
      <w:r>
        <w:rPr>
          <w:rFonts w:ascii="Arial" w:cs="Arial" w:eastAsia="Arial" w:hAnsi="Arial"/>
          <w:sz w:val="16"/>
          <w:szCs w:val="16"/>
          <w:color w:val="auto"/>
        </w:rPr>
        <w:t>” means all copyrights (including with respect to published and unpublished works of authorship, software, website and mobile content, data, databases and other compilations of information), copyright registrations and applications for copyright registrations, including all renewals, restorations, reversions and extensions thereof and all other rights whatsoever accruing thereunder or pertaining thereto throughout the world.</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Credit Spread Adjustment</w:t>
      </w:r>
      <w:r>
        <w:rPr>
          <w:rFonts w:ascii="Arial" w:cs="Arial" w:eastAsia="Arial" w:hAnsi="Arial"/>
          <w:sz w:val="18"/>
          <w:szCs w:val="18"/>
          <w:color w:val="auto"/>
        </w:rPr>
        <w:t>” means 0.15% per annum.</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Cure Expiration Date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11.04</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7" w:name="page68"/>
    <w:bookmarkEnd w:id="67"/>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Daily Simple SOFR</w:t>
      </w:r>
      <w:r>
        <w:rPr>
          <w:rFonts w:ascii="Arial" w:cs="Arial" w:eastAsia="Arial" w:hAnsi="Arial"/>
          <w:sz w:val="18"/>
          <w:szCs w:val="18"/>
          <w:color w:val="auto"/>
        </w:rPr>
        <w:t>” means with respect to any applicable determination date means the SOFR published on such date on the Federal Reserve Bank of New York’s website (or any successor source).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Default</w:t>
      </w:r>
      <w:r>
        <w:rPr>
          <w:rFonts w:ascii="Arial" w:cs="Arial" w:eastAsia="Arial" w:hAnsi="Arial"/>
          <w:sz w:val="16"/>
          <w:szCs w:val="16"/>
          <w:color w:val="auto"/>
        </w:rPr>
        <w:t>” means any Event of Default and any event that, upon the giving of notice, the lapse of time or both, would constitute an Event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Default.</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 Rate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3.02(b)</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b w:val="1"/>
          <w:bCs w:val="1"/>
          <w:color w:val="auto"/>
        </w:rPr>
        <w:t>Section 2.07(b)</w:t>
      </w:r>
      <w:r>
        <w:rPr>
          <w:rFonts w:ascii="Arial" w:cs="Arial" w:eastAsia="Arial" w:hAnsi="Arial"/>
          <w:sz w:val="16"/>
          <w:szCs w:val="16"/>
          <w:color w:val="auto"/>
        </w:rPr>
        <w:t xml:space="preserve">, any Lender, as determined by the Administrative Agent, that (a) has failed to perform any of its funding obligations hereunder, including with respect to any Closing Date Tranche A Commitments, Incremental Tranche A Commitments or any Tranche B Commitments, within three (3) Business Days of the date required to be funded by it hereunder, (b) has notified the Borrower or the Administrative Agent that it does not intend to comply with its funding obligations hereunder, or (c) has (i) become the subject of an Insolvency Proceeding,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provided, that, a Lender shall not be a Defaulting Lender solely by virtue of the ownership or acquisition of any Equity Interests in that Lender or any direct or indirect parent company thereof by a Governmental Authority. Any determination by the Administrative Agent that a Lender is a Defaulting Lender under any one or more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w:t>
      </w:r>
    </w:p>
    <w:p>
      <w:pPr>
        <w:spacing w:after="0" w:line="3" w:lineRule="exact"/>
        <w:rPr>
          <w:sz w:val="20"/>
          <w:szCs w:val="20"/>
          <w:color w:val="auto"/>
        </w:rPr>
      </w:pPr>
    </w:p>
    <w:p>
      <w:pPr>
        <w:jc w:val="both"/>
        <w:ind w:firstLine="8"/>
        <w:spacing w:after="0" w:line="277" w:lineRule="auto"/>
        <w:tabs>
          <w:tab w:leader="none" w:pos="275" w:val="left"/>
        </w:tabs>
        <w:numPr>
          <w:ilvl w:val="0"/>
          <w:numId w:val="23"/>
        </w:numPr>
        <w:rPr>
          <w:rFonts w:ascii="Arial" w:cs="Arial" w:eastAsia="Arial" w:hAnsi="Arial"/>
          <w:sz w:val="17"/>
          <w:szCs w:val="17"/>
          <w:u w:val="single" w:color="auto"/>
          <w:color w:val="auto"/>
        </w:rPr>
      </w:pPr>
      <w:r>
        <w:rPr>
          <w:rFonts w:ascii="Arial" w:cs="Arial" w:eastAsia="Arial" w:hAnsi="Arial"/>
          <w:sz w:val="17"/>
          <w:szCs w:val="17"/>
          <w:color w:val="auto"/>
        </w:rPr>
        <w:t xml:space="preserve">above, and of the effective date of such status, shall be conclusive and binding absent manifest error, and such Lender shall be deemed to be a Defaulting Lender (subject to </w:t>
      </w:r>
      <w:r>
        <w:rPr>
          <w:rFonts w:ascii="Arial" w:cs="Arial" w:eastAsia="Arial" w:hAnsi="Arial"/>
          <w:sz w:val="17"/>
          <w:szCs w:val="17"/>
          <w:b w:val="1"/>
          <w:bCs w:val="1"/>
          <w:color w:val="auto"/>
        </w:rPr>
        <w:t>Section 2.07(b)</w:t>
      </w:r>
      <w:r>
        <w:rPr>
          <w:rFonts w:ascii="Arial" w:cs="Arial" w:eastAsia="Arial" w:hAnsi="Arial"/>
          <w:sz w:val="17"/>
          <w:szCs w:val="17"/>
          <w:color w:val="auto"/>
        </w:rPr>
        <w:t>) as of the date established therefor by the Administrative Agent in a written notice of such determination, which shall be delivered by the Administrative Agent to the Borrower and each Lender promptly following such determination.</w:t>
      </w:r>
    </w:p>
    <w:p>
      <w:pPr>
        <w:spacing w:after="0" w:line="17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Acquisition Consideration</w:t>
      </w:r>
      <w:r>
        <w:rPr>
          <w:rFonts w:ascii="Arial" w:cs="Arial" w:eastAsia="Arial" w:hAnsi="Arial"/>
          <w:sz w:val="18"/>
          <w:szCs w:val="18"/>
          <w:color w:val="auto"/>
        </w:rPr>
        <w:t>” means any purchase price adjustments, royalty, earn-out, milestone payments, contingent or other deferred payments of a similar nature (including any non-compete payments and consulting payments) made in connection with any Permitted Acquisition, the Eyevance Acquisition or other acquisition or investment permitted under this Agreement.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Designated Jurisdiction</w:t>
      </w:r>
      <w:r>
        <w:rPr>
          <w:rFonts w:ascii="Arial" w:cs="Arial" w:eastAsia="Arial" w:hAnsi="Arial"/>
          <w:sz w:val="16"/>
          <w:szCs w:val="16"/>
          <w:color w:val="auto"/>
        </w:rPr>
        <w:t>” means any country or territory to the extent that such country or territory is the subject of country- or territory-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wide Sanctions.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8" w:name="page69"/>
    <w:bookmarkEnd w:id="68"/>
    <w:p>
      <w:pPr>
        <w:jc w:val="both"/>
        <w:ind w:firstLine="129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Disqualified Equity Interests</w:t>
      </w:r>
      <w:r>
        <w:rPr>
          <w:rFonts w:ascii="Arial" w:cs="Arial" w:eastAsia="Arial" w:hAnsi="Arial"/>
          <w:sz w:val="17"/>
          <w:szCs w:val="17"/>
          <w:color w:val="auto"/>
        </w:rPr>
        <w:t xml:space="preserve">” means, with respect to any Person, any Equity Interest of such Person that, by its terms (or by the terms of any security or other Equity Interest into which it is convertible or for which it is exchangeable), or upon the happening of any event or condition (a) matures (excluding any maturity as the result of an optional redemption by the issuer thereof) or is mandatorily redeemable (other than solely for (i) Qualified Equity Interests and (ii) cash in lieu of fractional shares), including pursuant to a sinking fund obligation or otherwise, (b) is redeemable at the option of the holder thereof (other than solely for (i) Qualified Equity Interests and (ii) cash in lieu of fractional shares), in whole or in part, (c) provides for the scheduled payments of dividends or other distributions in cash (other than the payment of cash in lieu of redemption of fractional shares) or other securities that would constitute Disqualified Equity Interests, or (d) is or becomes convertible into or exchangeable for (unless at the sole option of the issuer thereof) Indebtedness or any other Equity Interests that would constitute Disqualified Equity Interests, in each case, prior to the date that is ninety-one (91) days after the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any Disqualified Equity Interests that would not constitute Disqualified Equity Interests but for provisions thereof giving holders thereof (or the holders of any security into or for which such Equity Interests are convertible, exchangeable or exercisable) the right to require the issuer thereof to redeem or repurchase such Equity Interests upon the occurrence of a change in control (including for this purpose an asset sale that would require prepayment in full of the Obligations) occurring prior to the 91st day after the Maturity Date shall not constitute Disqualified Equity Interests if such right to redemption or repurchase is subject, to the satisfaction of the Administrative Agent in its reasonable discretion, to the prior payment in full of all Obligations (other than contingent indemnification obligations for which no claim has been asserted) under the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if such Equity Interests are issued pursuant to a plan for the benefit of employees of the Borrower or any Subsidiary or by any such plan to such employees, such Equity Interests shall not constitute Disqualified Equity Interests solely because (i) such employee may deliver such Equity Interests to the Borrower and its Subsidiaries (or the Borrower or such Subsidiary withholds such Equity Interests) in satisfaction of any exercise price or tax withholding obligations with respect to such Equity Interests, or (ii) they may be required to be repurchased by Borrower or its Subsidiaries as a result of any such employee’s termination, death or disability.</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Distressed Debt Investor</w:t>
      </w:r>
      <w:r>
        <w:rPr>
          <w:rFonts w:ascii="Arial" w:cs="Arial" w:eastAsia="Arial" w:hAnsi="Arial"/>
          <w:sz w:val="18"/>
          <w:szCs w:val="18"/>
          <w:color w:val="auto"/>
        </w:rPr>
        <w:t>” means any investor or investment fund specializing in distressed debt and a majority of whose investment portfolio at all times consists of distressed debt. In no event shall any Oaktree Lender be deemed to be a Distressed Debt Investor. Notwithstanding anything to the contrary contained in this Agreement, Administrative Agent shall not have any duty or obligation to carry out due diligence in order to identify or determine whether a Person would be a Distressed Debt Investor, and the Administrative Agent shall have no liability with respect to any assignment or participation made to a Distressed Debt Investor.</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Division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1.04</w:t>
      </w:r>
      <w:r>
        <w:rPr>
          <w:rFonts w:ascii="Arial" w:cs="Arial" w:eastAsia="Arial" w:hAnsi="Arial"/>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Dollars</w:t>
      </w:r>
      <w:r>
        <w:rPr>
          <w:rFonts w:ascii="Arial" w:cs="Arial" w:eastAsia="Arial" w:hAnsi="Arial"/>
          <w:sz w:val="18"/>
          <w:szCs w:val="18"/>
          <w:color w:val="auto"/>
        </w:rPr>
        <w:t>” and “</w:t>
      </w:r>
      <w:r>
        <w:rPr>
          <w:rFonts w:ascii="Arial" w:cs="Arial" w:eastAsia="Arial" w:hAnsi="Arial"/>
          <w:sz w:val="18"/>
          <w:szCs w:val="18"/>
          <w:b w:val="1"/>
          <w:bCs w:val="1"/>
          <w:i w:val="1"/>
          <w:iCs w:val="1"/>
          <w:color w:val="auto"/>
        </w:rPr>
        <w:t>$</w:t>
      </w:r>
      <w:r>
        <w:rPr>
          <w:rFonts w:ascii="Arial" w:cs="Arial" w:eastAsia="Arial" w:hAnsi="Arial"/>
          <w:sz w:val="18"/>
          <w:szCs w:val="18"/>
          <w:color w:val="auto"/>
        </w:rPr>
        <w:t>” means lawful money of the United States of America.</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Domestic Subsidiary</w:t>
      </w:r>
      <w:r>
        <w:rPr>
          <w:rFonts w:ascii="Arial" w:cs="Arial" w:eastAsia="Arial" w:hAnsi="Arial"/>
          <w:sz w:val="18"/>
          <w:szCs w:val="18"/>
          <w:color w:val="auto"/>
        </w:rPr>
        <w:t>” means any Subsidiary that is a corporation, limited liability company, partnership or similar business entity incorporated, formed or organized under the laws of the United States, any state of the United States or the District of Columbia.</w:t>
      </w:r>
    </w:p>
    <w:p>
      <w:pPr>
        <w:spacing w:after="0" w:line="170"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EBITDA</w:t>
      </w:r>
      <w:r>
        <w:rPr>
          <w:rFonts w:ascii="Arial" w:cs="Arial" w:eastAsia="Arial" w:hAnsi="Arial"/>
          <w:sz w:val="16"/>
          <w:szCs w:val="16"/>
          <w:color w:val="auto"/>
        </w:rPr>
        <w:t>” means the consolidated net income (or loss) of the Borrower and its Subsidiaries for such period, as determined in accordance with GAAP (a) increased, without duplication, by the following, in each case only to the extent deducted (and not added back or excluded) in determining consolidated net income (or loss) for such period: (i) stock-based compensation and expenses for such period, (ii) interest expense, net (for such period), (iii) taxes for such period, (iv) depreciation for such period, (v) amortization of intangible assets for such period, (vi) non-cash impairments of intangible assets for such period, (vii) investment losses for such period, solely to the extent such losses are limited to the Permitted Minority Investments,</w:t>
      </w:r>
    </w:p>
    <w:p>
      <w:pPr>
        <w:spacing w:after="0" w:line="2" w:lineRule="exact"/>
        <w:rPr>
          <w:sz w:val="20"/>
          <w:szCs w:val="20"/>
          <w:color w:val="auto"/>
        </w:rPr>
      </w:pPr>
    </w:p>
    <w:p>
      <w:pPr>
        <w:jc w:val="both"/>
        <w:ind w:firstLine="8"/>
        <w:spacing w:after="0" w:line="252" w:lineRule="auto"/>
        <w:tabs>
          <w:tab w:leader="none" w:pos="4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non-cash expenses for such period, (ix) cash expenses (other than cash expenses recorded in respect of acquired in-process research and development) for such period, not to exceed $2,000,000 in the aggregate during such period, and (x) cash expenses recorded in respect of acquired in-process research and development, not to exceed $3,000,000 in the aggregate during such period; and (b) decreased, without duplication, and to the extent included in arriving at consolidated net income (or loss): (i) investment gains for such period, to the extent such gains are from the Permitted Minority Investments, and (ii) non-cash gains for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calculation of EBITDA and all of the addbacks and components thereof shall be substantially consistent with how Adjusted EBITDA and such addbacks and components thereof were reported in the letter to stockholders dated November 14, 2022 from the Borrower to its stockholders.</w:t>
      </w:r>
    </w:p>
    <w:p>
      <w:pPr>
        <w:spacing w:after="0" w:line="19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Transferee</w:t>
      </w:r>
      <w:r>
        <w:rPr>
          <w:rFonts w:ascii="Arial" w:cs="Arial" w:eastAsia="Arial" w:hAnsi="Arial"/>
          <w:sz w:val="17"/>
          <w:szCs w:val="17"/>
          <w:color w:val="auto"/>
        </w:rPr>
        <w:t xml:space="preserve">” means and includes (a) any commercial bank or other institutional lender, (b) any insurance company, (c) any finance company, (d) any financial institution, (e) any Person that is a bona fide debt fund primarily engaged in the making, purchasing, holding or other investing in commercial loans, notes, bonds or similar extensions of credit or securities in the Ordinary Course, (f) with respect to any Lender, any of its Affiliates or such Lender’s or Affiliate’s managed funds or accounts, and (g) any other “accredited investor” (as defined in Regulation D of the Securities Act) that is principally in the business of managing investments or holding assets for investment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 Eligible Transferee shall not include any Defaulting Lender, Company Competitor or Distressed Debt Investor;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 the preceding proviso shall not apply retroactively to any Person that previously acquired an assignment or participation interest hereunder to the extent such Person was not a Defaulting Lender, Company Lender or a Distressed Debt Investor at the time of the applicable assignment or participation and (ii) the Administrative Agent shall not have any duty or obligation to carry out due diligence in order to identify or determine whether a Person would be excluded as an Eligible Transferee as a result of the application of the preceding proviso.</w:t>
      </w:r>
    </w:p>
    <w:p>
      <w:pPr>
        <w:spacing w:after="0" w:line="18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Employee Benefit Plan</w:t>
      </w:r>
      <w:r>
        <w:rPr>
          <w:rFonts w:ascii="Arial" w:cs="Arial" w:eastAsia="Arial" w:hAnsi="Arial"/>
          <w:sz w:val="17"/>
          <w:szCs w:val="17"/>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65" w:gutter="0" w:footer="0" w:header="0"/>
        </w:sectPr>
      </w:pPr>
    </w:p>
    <w:bookmarkStart w:id="69" w:name="page70"/>
    <w:bookmarkEnd w:id="69"/>
    <w:p>
      <w:pPr>
        <w:jc w:val="both"/>
        <w:ind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Environmental Claims</w:t>
      </w:r>
      <w:r>
        <w:rPr>
          <w:rFonts w:ascii="Arial" w:cs="Arial" w:eastAsia="Arial" w:hAnsi="Arial"/>
          <w:sz w:val="17"/>
          <w:szCs w:val="17"/>
          <w:color w:val="auto"/>
        </w:rPr>
        <w:t>” means any investigation, notice, notice of violation, claim, action, suit, proceeding, demand, information request, abatement order or other order or directive (conditional or otherwise), by any Governmental Authority or any other Person, arising (a) pursuant to or in connection with any actual or alleged violation of any Environmental Law; (b) in connection with any Hazardous Material or any actual or alleged Hazardous Materials Activity; or (c) in connection with any actual or alleged damage, injury, threat or harm to health, safety, natural resources or the environment, arising out of a violation of Environmental Law or any Hazardous Materials Activity.</w:t>
      </w:r>
    </w:p>
    <w:p>
      <w:pPr>
        <w:spacing w:after="0" w:line="176"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Environmental Law</w:t>
      </w:r>
      <w:r>
        <w:rPr>
          <w:rFonts w:ascii="Arial" w:cs="Arial" w:eastAsia="Arial" w:hAnsi="Arial"/>
          <w:sz w:val="16"/>
          <w:szCs w:val="16"/>
          <w:color w:val="auto"/>
        </w:rPr>
        <w:t>” means all laws (including common law and any federal, state, provincial or local governmental law), rule, regulation, order, writ, judgment, notice, requirement, binding agreement, injunction or decree, whether U.S., or non-U.S. relating in any way to (a) environmental matters, including those relating to any Hazardous Materials Activity; (b) the generation, use, storage, transportation or disposal of Hazardous Materials; or (c) to the extent related to Hazardous Materials Activity, occupational safety and health, industrial hygiene, land use, natural resources or the protection of human, plant or animal health or welfare, in any manner applicable to the Borrower or any of its Subsidiaries or any Facility.</w:t>
      </w:r>
    </w:p>
    <w:p>
      <w:pPr>
        <w:spacing w:after="0" w:line="161"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Environmental Liability</w:t>
      </w:r>
      <w:r>
        <w:rPr>
          <w:rFonts w:ascii="Arial" w:cs="Arial" w:eastAsia="Arial" w:hAnsi="Arial"/>
          <w:sz w:val="17"/>
          <w:szCs w:val="17"/>
          <w:color w:val="auto"/>
        </w:rPr>
        <w:t>” means any liability, contingent or otherwise (including any liability for damages, costs of environmental remediation, fines, penalties or indemnities), of any Obligor or any of its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6"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Equity Interests</w:t>
      </w:r>
      <w:r>
        <w:rPr>
          <w:rFonts w:ascii="Arial" w:cs="Arial" w:eastAsia="Arial" w:hAnsi="Arial"/>
          <w:sz w:val="17"/>
          <w:szCs w:val="17"/>
          <w:color w:val="auto"/>
        </w:rPr>
        <w:t>” means, with respect to any Person (for purposes of this defined term, an “</w:t>
      </w:r>
      <w:r>
        <w:rPr>
          <w:rFonts w:ascii="Arial" w:cs="Arial" w:eastAsia="Arial" w:hAnsi="Arial"/>
          <w:sz w:val="17"/>
          <w:szCs w:val="17"/>
          <w:b w:val="1"/>
          <w:bCs w:val="1"/>
          <w:i w:val="1"/>
          <w:iCs w:val="1"/>
          <w:color w:val="auto"/>
        </w:rPr>
        <w:t>issuer</w:t>
      </w:r>
      <w:r>
        <w:rPr>
          <w:rFonts w:ascii="Arial" w:cs="Arial" w:eastAsia="Arial" w:hAnsi="Arial"/>
          <w:sz w:val="17"/>
          <w:szCs w:val="17"/>
          <w:color w:val="auto"/>
        </w:rPr>
        <w:t>”), all shares of, interests or participations in, or other equivalents in respect of such issuer’s capital stock, including all membership interests, partnership interests or equivalent, whether now outstanding or issued after the Closing Date, and in each case, however designated and whether voting or non-voting. Notwithstanding the foregoing, in no event shall any Indebtedness convertible or exchangeable into Equity Interests constitute “Equity Interests” hereunder.</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United States Employee Retirement Income Security Act of 1974, as amended.</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Affiliate</w:t>
      </w:r>
      <w:r>
        <w:rPr>
          <w:rFonts w:ascii="Arial" w:cs="Arial" w:eastAsia="Arial" w:hAnsi="Arial"/>
          <w:sz w:val="18"/>
          <w:szCs w:val="18"/>
          <w:color w:val="auto"/>
        </w:rPr>
        <w:t>” means, collectively, any Obligor, Subsidiary thereof, and any Person under common control, or treated as a single employer, with any Obligor or Subsidiary thereof, within the meaning of Section 414(b) or (c) of the Code.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0" w:name="page71"/>
    <w:bookmarkEnd w:id="70"/>
    <w:p>
      <w:pPr>
        <w:jc w:val="both"/>
        <w:ind w:firstLine="129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ERISA Event</w:t>
      </w:r>
      <w:r>
        <w:rPr>
          <w:rFonts w:ascii="Arial" w:cs="Arial" w:eastAsia="Arial" w:hAnsi="Arial"/>
          <w:sz w:val="16"/>
          <w:szCs w:val="16"/>
          <w:color w:val="auto"/>
        </w:rPr>
        <w:t>” means (a) a reportable event as defined in Section 4043 of ERISA with respect to a Title IV Plan, excluding, however, such events as to which the PBGC by regulation has waived the requirement of Section 4043(a) of ERISA that it be notified within thirty (30) days of the occurrence of such event; (b) the applicability of the requirements of Section 4043(b) of ERISA with respect to a contributing sponsor, as defined in Section 4001(a)(13) of ERISA, to any Title IV Plan where an event described in paragraph (9), (10), (11), (12) or (13) of Section 4043(c) of ERISA is reasonably expected to occur with respect to such plan within the following thirty (30) days; (c) a withdrawal by any Obligor or any ERISA Affiliate thereof from a Title IV Plan or the termination of any Title IV Plan resulting in liability under Sections 4063 or 4064 of ERISA; (d) the withdrawal of any Obligor or any ERISA Affiliate thereof in a complete or partial withdrawal (within the meaning of Section 4203 and 4205 of ERISA) from any Multiemployer Plan if there is any potential liability therefore, or the receipt by any Obligor or any ERISA Affiliate thereof of notice from any Multiemployer Plan that it is insolvent pursuant to Section 4245 of ERISA; (e) the filing of a notice of intent to terminate, the treatment of a plan amendment as a termination under Section 4041 or 4041A of ERISA, or the commencement of proceedings by the PBGC to terminate a Title IV Plan or Multiemployer Plan, but in the case of a multiple-employer plan or a Multiemployer Plan, only once notice has been received from the plan administrator;</w:t>
      </w:r>
    </w:p>
    <w:p>
      <w:pPr>
        <w:spacing w:after="0" w:line="4" w:lineRule="exact"/>
        <w:rPr>
          <w:sz w:val="20"/>
          <w:szCs w:val="20"/>
          <w:color w:val="auto"/>
        </w:rPr>
      </w:pPr>
    </w:p>
    <w:p>
      <w:pPr>
        <w:jc w:val="both"/>
        <w:ind w:firstLine="8"/>
        <w:spacing w:after="0" w:line="283" w:lineRule="auto"/>
        <w:tabs>
          <w:tab w:leader="none" w:pos="22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imposition of liability on any Obligor or any ERISA Affiliate thereof pursuant to Sections 4062(e) or 4069 of ERISA or by reason of the application of Section 4212(c) of ERISA; (g) the failure by any Obligor or any ERISA Affiliate thereof to make any required contribution to a Title IV Plan, or the failure to meet the minimum funding standard of Section 412 of the Code with respect to any Title IV Plan (whether or not waived in accordance with Section 412(c) of the Code) or the failure to make by its due date a required installment under Section 430 of the Code with respect to any Title IV Plan or the failure to make any required contribution to a Multiemployer Plan; (h) the determination that any Title IV Plan is considered an at-risk plan or a plan in endangered to critical status within the meaning of Sections 430, 431 and 432 of the Code or Sections 303, 304 and 305 of ERISA, but in the case of a multiple-employer plan or a Multiemployer Plan, only once notice has been received from the plan administrator; (i) an event or condition which might reasonably be expected to constitute grounds under Section 4042 of ERISA for the termination of, or the appointment of a trustee to administer, any Title IV Plan or Multiemployer Plan; (j) the imposition of any liability under Title I or Title IV of ERISA, other than PBGC premiums due but not delinquent under Section 4007 of ERISA, upon any Obligor or any ERISA Affiliate thereof; (k) an application for a funding waiver under Section 303 of ERISA or an extension of any amortization period pursuant to Section 412 of the Code with respect to any Title IV Plan, but in the case of a multiple-employer plan, only once notice has been received from the plan administrator; (l) the occurrence of a non-exempt prohibited transaction under Sections 406 or 407 of ERISA for which any Obligor or any Subsidiary thereof would reasonably be expected to be directly or indirectly liable; (m) a violation of the applicable requirements of Section 404 or 405 of ERISA or the exclusive benefit rule under Section 401(a) of the Code by any fiduciary or disqualified person for which any Obligor or any ERISA Affiliate thereof may be directly or indirectly liable; (n) the occurrence of an act or omission which would reasonably be expected to give rise to the imposition on any Obligor or any ERISA Affiliate thereof of fines, penalties, taxes or related charges under Chapter 43 of the Code or under Sections 409, 502(c), (i) or (1) or 4071 of ERISA; (o) the assertion of a material claim (other than routine claims for benefits) against any Plan or the assets thereof, but in the case of a multiple-employer plan, only once notice has been received from the plan administrator, or against any Obligor or any Subsidiary thereof in connection with any such plan; (p) receipt from the IRS of notice of the failure of any Qualified Plan to qualify under Section 401(a) of the Code, or the failure of any trust forming part of any Qualified Plan to fail to qualify for exemption from taxation under Section 501(a) of the Code that is not corrected under the IRS’s Employee Plans Compliance Resolution System (EPCRS), but in the case of a multiple-employer plan, only once notice has been received from the plan administrator; (q) the imposition of any lien (or the fulfillment of the conditions for the imposition of any lien) on any of the rights, properties or assets of any Obligor or any ERISA Affiliate thereof, in either case pursuant to Title I or IV, including Section 302(f) or 303(k) of ERISA or to Section 401(a)(29) or 430(k) of the Code; or (r) the establishment or amendment by any Obligor or any Subsidiary thereof of any “welfare plan”, as such term is defined in Section 3(1) of ERISA, that provides post-employment welfare benefits in a manner that would increase the liability of any Obligor, other than payment of premiums otherwise required by section 4980B of the Code.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1" w:name="page72"/>
    <w:bookmarkEnd w:id="71"/>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Funding Rules</w:t>
      </w:r>
      <w:r>
        <w:rPr>
          <w:rFonts w:ascii="Arial" w:cs="Arial" w:eastAsia="Arial" w:hAnsi="Arial"/>
          <w:sz w:val="18"/>
          <w:szCs w:val="18"/>
          <w:color w:val="auto"/>
        </w:rPr>
        <w:t>” means the rules regarding minimum required contributions (including any installment payment thereof) to Title IV Plans, as set forth in Sections 412, 430, 431, 432 and 436 of the Code and Sections 302, 303, 304 and 305 of ERISA.</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Erroneous Payment</w:t>
      </w:r>
      <w:r>
        <w:rPr>
          <w:rFonts w:ascii="Arial" w:cs="Arial" w:eastAsia="Arial" w:hAnsi="Arial"/>
          <w:sz w:val="18"/>
          <w:szCs w:val="18"/>
          <w:color w:val="auto"/>
        </w:rPr>
        <w:t xml:space="preserve">” has the meaning assigned to it in </w:t>
      </w:r>
      <w:r>
        <w:rPr>
          <w:rFonts w:ascii="Arial" w:cs="Arial" w:eastAsia="Arial" w:hAnsi="Arial"/>
          <w:sz w:val="18"/>
          <w:szCs w:val="18"/>
          <w:b w:val="1"/>
          <w:bCs w:val="1"/>
          <w:color w:val="auto"/>
        </w:rPr>
        <w:t>Section 12.14(a)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Erroneous Payment Deficiency Assignment</w:t>
      </w:r>
      <w:r>
        <w:rPr>
          <w:rFonts w:ascii="Arial" w:cs="Arial" w:eastAsia="Arial" w:hAnsi="Arial"/>
          <w:sz w:val="18"/>
          <w:szCs w:val="18"/>
          <w:color w:val="auto"/>
        </w:rPr>
        <w:t xml:space="preserve">” has the meaning assigned to it in </w:t>
      </w:r>
      <w:r>
        <w:rPr>
          <w:rFonts w:ascii="Arial" w:cs="Arial" w:eastAsia="Arial" w:hAnsi="Arial"/>
          <w:sz w:val="18"/>
          <w:szCs w:val="18"/>
          <w:b w:val="1"/>
          <w:bCs w:val="1"/>
          <w:color w:val="auto"/>
        </w:rPr>
        <w:t>Section 12.14(d)</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Erroneous Payment Impacted Class</w:t>
      </w:r>
      <w:r>
        <w:rPr>
          <w:rFonts w:ascii="Arial" w:cs="Arial" w:eastAsia="Arial" w:hAnsi="Arial"/>
          <w:sz w:val="18"/>
          <w:szCs w:val="18"/>
          <w:color w:val="auto"/>
        </w:rPr>
        <w:t xml:space="preserve">” has the meaning assigned to it in </w:t>
      </w:r>
      <w:r>
        <w:rPr>
          <w:rFonts w:ascii="Arial" w:cs="Arial" w:eastAsia="Arial" w:hAnsi="Arial"/>
          <w:sz w:val="18"/>
          <w:szCs w:val="18"/>
          <w:b w:val="1"/>
          <w:bCs w:val="1"/>
          <w:color w:val="auto"/>
        </w:rPr>
        <w:t>Section 12.14(d)</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Erroneous Payment Return Deficiency</w:t>
      </w:r>
      <w:r>
        <w:rPr>
          <w:rFonts w:ascii="Arial" w:cs="Arial" w:eastAsia="Arial" w:hAnsi="Arial"/>
          <w:sz w:val="18"/>
          <w:szCs w:val="18"/>
          <w:color w:val="auto"/>
        </w:rPr>
        <w:t xml:space="preserve">” has the meaning assigned to it in </w:t>
      </w:r>
      <w:r>
        <w:rPr>
          <w:rFonts w:ascii="Arial" w:cs="Arial" w:eastAsia="Arial" w:hAnsi="Arial"/>
          <w:sz w:val="18"/>
          <w:szCs w:val="18"/>
          <w:b w:val="1"/>
          <w:bCs w:val="1"/>
          <w:color w:val="auto"/>
        </w:rPr>
        <w:t>Section 12.14(d)</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Erroneous Payment Subrogation Rights</w:t>
      </w:r>
      <w:r>
        <w:rPr>
          <w:rFonts w:ascii="Arial" w:cs="Arial" w:eastAsia="Arial" w:hAnsi="Arial"/>
          <w:sz w:val="18"/>
          <w:szCs w:val="18"/>
          <w:color w:val="auto"/>
        </w:rPr>
        <w:t xml:space="preserve">” has the meaning assigned to it in </w:t>
      </w:r>
      <w:r>
        <w:rPr>
          <w:rFonts w:ascii="Arial" w:cs="Arial" w:eastAsia="Arial" w:hAnsi="Arial"/>
          <w:sz w:val="18"/>
          <w:szCs w:val="18"/>
          <w:b w:val="1"/>
          <w:bCs w:val="1"/>
          <w:color w:val="auto"/>
        </w:rPr>
        <w:t>Section 12.14(d)</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11.01</w:t>
      </w:r>
      <w:r>
        <w:rPr>
          <w:rFonts w:ascii="Arial" w:cs="Arial" w:eastAsia="Arial" w:hAnsi="Arial"/>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Accounts</w:t>
      </w:r>
      <w:r>
        <w:rPr>
          <w:rFonts w:ascii="Arial" w:cs="Arial" w:eastAsia="Arial" w:hAnsi="Arial"/>
          <w:sz w:val="18"/>
          <w:szCs w:val="18"/>
          <w:color w:val="auto"/>
        </w:rPr>
        <w:t xml:space="preserve">” means (a) deposit accounts exclusively used for payroll, payroll Taxes and other employee wage and benefit payments to or for the benefit of any Obligor’s employees;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balance maintained in such deposit accounts does not exceed the amount necessary to make the next two immediate succeeding payrolls, payroll tax or benefit payments (and such minimum account as may be required by any applicable Law or the applicable financial institution with respect to such account), (b) zero balance accounts swept no less frequently than weekly to a Controlled Account (including any such account where payments pursuant to Medicaid, Medicare, TRICARE or other state or federal healthcare payor programs are deposited), (c) accounts (including trust accounts) used exclusively for bona fide escrow purposes, insurance or fiduciary purposes, (d) cash collateral for Permitted Liens and (e) any other deposit accounts only for so long as, in the case of this clause (e), the amounts of deposit therein do not exceed $500,000 in the aggregate.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2" w:name="page73"/>
    <w:bookmarkEnd w:id="72"/>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Prepayment Amount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3.03(f)</w:t>
      </w:r>
      <w:r>
        <w:rPr>
          <w:rFonts w:ascii="Arial" w:cs="Arial" w:eastAsia="Arial" w:hAnsi="Arial"/>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Subsidiaries</w:t>
      </w:r>
      <w:r>
        <w:rPr>
          <w:rFonts w:ascii="Arial" w:cs="Arial" w:eastAsia="Arial" w:hAnsi="Arial"/>
          <w:sz w:val="18"/>
          <w:szCs w:val="18"/>
          <w:color w:val="auto"/>
        </w:rPr>
        <w:t>” means any Immaterial Subsidiary.</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Excluded Taxes</w:t>
      </w:r>
      <w:r>
        <w:rPr>
          <w:rFonts w:ascii="Arial" w:cs="Arial" w:eastAsia="Arial" w:hAnsi="Arial"/>
          <w:sz w:val="17"/>
          <w:szCs w:val="17"/>
          <w:color w:val="auto"/>
        </w:rPr>
        <w:t xml:space="preserve">” means any of the following Taxes imposed on or with respect to a Recipient or required to be withheld or deducted from a payment to a Recipient: (i) Taxes imposed on or measured by net income (however denominated), franchise Taxes and branch profits Taxes, in each case, (x) imposed as a result of such Recipient being organized under the laws of, or having its principal office or, in the case of any Lender, its applicable lending office located in, the jurisdiction imposing such Tax (or any political subdivisions thereof) or (y) that are Other Connection Taxes, (ii) in the case of a Lender, U.S. federal withholding Taxes imposed on amounts payable to or for the account of such Lender with respect to an applicable interest in a Loan or Commitment pursuant to a law in effect on the date on which (1) such Lender acquires such interest in the Loan or Commitment or (2) such Lender changes its lending office (in either case, other than pursuant to an assignment request by the Borrower under </w:t>
      </w:r>
      <w:r>
        <w:rPr>
          <w:rFonts w:ascii="Arial" w:cs="Arial" w:eastAsia="Arial" w:hAnsi="Arial"/>
          <w:sz w:val="17"/>
          <w:szCs w:val="17"/>
          <w:b w:val="1"/>
          <w:bCs w:val="1"/>
          <w:color w:val="auto"/>
        </w:rPr>
        <w:t>Section 5.04)</w:t>
      </w:r>
      <w:r>
        <w:rPr>
          <w:rFonts w:ascii="Arial" w:cs="Arial" w:eastAsia="Arial" w:hAnsi="Arial"/>
          <w:sz w:val="17"/>
          <w:szCs w:val="17"/>
          <w:color w:val="auto"/>
        </w:rPr>
        <w:t xml:space="preserve">, except in each case to the extent that, pursuant to </w:t>
      </w:r>
      <w:r>
        <w:rPr>
          <w:rFonts w:ascii="Arial" w:cs="Arial" w:eastAsia="Arial" w:hAnsi="Arial"/>
          <w:sz w:val="17"/>
          <w:szCs w:val="17"/>
          <w:b w:val="1"/>
          <w:bCs w:val="1"/>
          <w:color w:val="auto"/>
        </w:rPr>
        <w:t>Section 5.03</w:t>
      </w:r>
      <w:r>
        <w:rPr>
          <w:rFonts w:ascii="Arial" w:cs="Arial" w:eastAsia="Arial" w:hAnsi="Arial"/>
          <w:sz w:val="17"/>
          <w:szCs w:val="17"/>
          <w:color w:val="auto"/>
        </w:rPr>
        <w:t xml:space="preserve">, amounts with respect to such Taxes were payable either to such Lender’s assignor immediately before such Lender became a party hereto or to such Lender immediately before it changed its lending office, (iii) Taxes attributable to such Recipient’s failure to comply with </w:t>
      </w:r>
      <w:r>
        <w:rPr>
          <w:rFonts w:ascii="Arial" w:cs="Arial" w:eastAsia="Arial" w:hAnsi="Arial"/>
          <w:sz w:val="17"/>
          <w:szCs w:val="17"/>
          <w:b w:val="1"/>
          <w:bCs w:val="1"/>
          <w:color w:val="auto"/>
        </w:rPr>
        <w:t>Section 5.03(f)</w:t>
      </w:r>
      <w:r>
        <w:rPr>
          <w:rFonts w:ascii="Arial" w:cs="Arial" w:eastAsia="Arial" w:hAnsi="Arial"/>
          <w:sz w:val="17"/>
          <w:szCs w:val="17"/>
          <w:color w:val="auto"/>
        </w:rPr>
        <w:t>, and (iv) any withholding Taxes imposed under FATCA.</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Exit Fee</w:t>
      </w:r>
      <w:r>
        <w:rPr>
          <w:rFonts w:ascii="Arial" w:cs="Arial" w:eastAsia="Arial" w:hAnsi="Arial"/>
          <w:sz w:val="18"/>
          <w:szCs w:val="18"/>
          <w:color w:val="auto"/>
        </w:rPr>
        <w:t xml:space="preserve">” has the meaning assigned to such term in </w:t>
      </w:r>
      <w:r>
        <w:rPr>
          <w:rFonts w:ascii="Arial" w:cs="Arial" w:eastAsia="Arial" w:hAnsi="Arial"/>
          <w:sz w:val="18"/>
          <w:szCs w:val="18"/>
          <w:b w:val="1"/>
          <w:bCs w:val="1"/>
          <w:color w:val="auto"/>
        </w:rPr>
        <w:t>Section 3.05</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Notes</w:t>
      </w:r>
      <w:r>
        <w:rPr>
          <w:rFonts w:ascii="Arial" w:cs="Arial" w:eastAsia="Arial" w:hAnsi="Arial"/>
          <w:sz w:val="18"/>
          <w:szCs w:val="18"/>
          <w:color w:val="auto"/>
        </w:rPr>
        <w:t>” means, collectively (a) the Borrower’s 8.625% senior unsecured notes due 2026 and (b) the Borrower’s 11.875% senior unsecured notes due 2027.</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Notes Indenture</w:t>
      </w:r>
      <w:r>
        <w:rPr>
          <w:rFonts w:ascii="Arial" w:cs="Arial" w:eastAsia="Arial" w:hAnsi="Arial"/>
          <w:sz w:val="18"/>
          <w:szCs w:val="18"/>
          <w:color w:val="auto"/>
        </w:rPr>
        <w:t>” means, collectively, (a) the Indenture, dated as of April 20, 2021, by and between the Borrower and U.S. Bank, National Association, as trustee, (b) the First Supplemental Indenture, dated as of April 20, 2021, by and between the Borrower and U.S. Bank, National Association, as trustee and (c) the Second Supplemental Indenture, dated as of December 20, 2022, by and between the Borrower and U.S. Bank, National Association, as trustee.</w:t>
      </w:r>
    </w:p>
    <w:p>
      <w:pPr>
        <w:spacing w:after="0" w:line="183"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Eyevance</w:t>
      </w:r>
      <w:r>
        <w:rPr>
          <w:rFonts w:ascii="Arial" w:cs="Arial" w:eastAsia="Arial" w:hAnsi="Arial"/>
          <w:sz w:val="18"/>
          <w:szCs w:val="18"/>
          <w:color w:val="auto"/>
        </w:rPr>
        <w:t>” means, collectively, Eyevance Pharmaceuticals, LLC, a Delaware limited liability company, and Santen S.A.S</w:t>
      </w:r>
      <w:r>
        <w:rPr>
          <w:rFonts w:ascii="Arial" w:cs="Arial" w:eastAsia="Arial" w:hAnsi="Arial"/>
          <w:sz w:val="18"/>
          <w:szCs w:val="18"/>
          <w:b w:val="1"/>
          <w:bCs w:val="1"/>
          <w:color w:val="auto"/>
        </w:rPr>
        <w:t>.</w:t>
      </w:r>
      <w:r>
        <w:rPr>
          <w:rFonts w:ascii="Arial" w:cs="Arial" w:eastAsia="Arial" w:hAnsi="Arial"/>
          <w:sz w:val="18"/>
          <w:szCs w:val="18"/>
          <w:color w:val="auto"/>
        </w:rPr>
        <w:t>, a corporation organized and existing under the laws of France.</w:t>
      </w:r>
    </w:p>
    <w:p>
      <w:pPr>
        <w:spacing w:after="0" w:line="16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Eyevance Acquired Assets</w:t>
      </w:r>
      <w:r>
        <w:rPr>
          <w:rFonts w:ascii="Arial" w:cs="Arial" w:eastAsia="Arial" w:hAnsi="Arial"/>
          <w:sz w:val="18"/>
          <w:szCs w:val="18"/>
          <w:color w:val="auto"/>
        </w:rPr>
        <w:t>” means, collectively, the Transferred Assets (as defined in the Eyevance APA), the License (as defined in the Eyevance License Agreement) and the Products (as defined in the Eyevance License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3" w:name="page74"/>
    <w:bookmarkEnd w:id="73"/>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Eyevance Acquisition</w:t>
      </w:r>
      <w:r>
        <w:rPr>
          <w:rFonts w:ascii="Arial" w:cs="Arial" w:eastAsia="Arial" w:hAnsi="Arial"/>
          <w:sz w:val="18"/>
          <w:szCs w:val="18"/>
          <w:color w:val="auto"/>
        </w:rPr>
        <w:t xml:space="preserve">” means the Acquisition of the Eyevance Acquired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21" w:lineRule="exact"/>
        <w:rPr>
          <w:sz w:val="20"/>
          <w:szCs w:val="20"/>
          <w:color w:val="auto"/>
        </w:rPr>
      </w:pPr>
    </w:p>
    <w:p>
      <w:pPr>
        <w:ind w:left="180" w:firstLine="4"/>
        <w:spacing w:after="0" w:line="282" w:lineRule="auto"/>
        <w:tabs>
          <w:tab w:leader="none" w:pos="4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immediately prior to, and immediately after giving effect thereto, no Event of Default under any of </w:t>
      </w:r>
      <w:r>
        <w:rPr>
          <w:rFonts w:ascii="Arial" w:cs="Arial" w:eastAsia="Arial" w:hAnsi="Arial"/>
          <w:sz w:val="18"/>
          <w:szCs w:val="18"/>
          <w:b w:val="1"/>
          <w:bCs w:val="1"/>
          <w:color w:val="auto"/>
        </w:rPr>
        <w:t>Section 11.01(a)</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8"/>
          <w:szCs w:val="18"/>
          <w:color w:val="auto"/>
        </w:rPr>
        <w:t xml:space="preserve"> or </w:t>
      </w:r>
      <w:r>
        <w:rPr>
          <w:rFonts w:ascii="Arial" w:cs="Arial" w:eastAsia="Arial" w:hAnsi="Arial"/>
          <w:sz w:val="18"/>
          <w:szCs w:val="18"/>
          <w:b w:val="1"/>
          <w:bCs w:val="1"/>
          <w:color w:val="auto"/>
        </w:rPr>
        <w:t>(h)</w:t>
      </w:r>
      <w:r>
        <w:rPr>
          <w:rFonts w:ascii="Arial" w:cs="Arial" w:eastAsia="Arial" w:hAnsi="Arial"/>
          <w:sz w:val="18"/>
          <w:szCs w:val="18"/>
          <w:color w:val="auto"/>
        </w:rPr>
        <w:t xml:space="preserve"> shall exist, or would reasonably be expected to result therefrom;</w:t>
      </w:r>
    </w:p>
    <w:p>
      <w:pPr>
        <w:spacing w:after="0" w:line="165" w:lineRule="exact"/>
        <w:rPr>
          <w:rFonts w:ascii="Arial" w:cs="Arial" w:eastAsia="Arial" w:hAnsi="Arial"/>
          <w:sz w:val="18"/>
          <w:szCs w:val="18"/>
          <w:color w:val="auto"/>
        </w:rPr>
      </w:pPr>
    </w:p>
    <w:p>
      <w:pPr>
        <w:ind w:left="180" w:firstLine="4"/>
        <w:spacing w:after="0" w:line="277" w:lineRule="auto"/>
        <w:tabs>
          <w:tab w:leader="none" w:pos="4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Acquisition shall comply in all material respects with all applicable Laws and all applicable Governmental Approvals, on the terms and conditions set forth in the Eyevance Acquisition Agreements;</w:t>
      </w:r>
    </w:p>
    <w:p>
      <w:pPr>
        <w:spacing w:after="0" w:line="170" w:lineRule="exact"/>
        <w:rPr>
          <w:rFonts w:ascii="Arial" w:cs="Arial" w:eastAsia="Arial" w:hAnsi="Arial"/>
          <w:sz w:val="18"/>
          <w:szCs w:val="18"/>
          <w:color w:val="auto"/>
        </w:rPr>
      </w:pPr>
    </w:p>
    <w:p>
      <w:pPr>
        <w:ind w:left="180" w:firstLine="4"/>
        <w:spacing w:after="0" w:line="277" w:lineRule="auto"/>
        <w:tabs>
          <w:tab w:leader="none" w:pos="4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on a Pro Forma Basis after giving effect to such Acquisition, the Borrower and its Subsidiaries shall be in compliance with the financial covenants set forth in </w:t>
      </w:r>
      <w:r>
        <w:rPr>
          <w:rFonts w:ascii="Arial" w:cs="Arial" w:eastAsia="Arial" w:hAnsi="Arial"/>
          <w:sz w:val="18"/>
          <w:szCs w:val="18"/>
          <w:b w:val="1"/>
          <w:bCs w:val="1"/>
          <w:color w:val="auto"/>
        </w:rPr>
        <w:t>Section 10</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180" w:firstLine="4"/>
        <w:spacing w:after="0" w:line="257" w:lineRule="auto"/>
        <w:tabs>
          <w:tab w:leader="none" w:pos="4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Deferred Acquisition Consideration for such Acquisition shall consist solely of (i) the Eyevance Milestone Payments in an aggregate amount not to exceed the sum of the amounts set forth in Sections 1.3(a)(ii) and (iii) of the Eyevance APA and Section 9.2 of the Eyevance License Agreement, (ii) a royalty in respect of VERKAZIA in the amount set forth in Section 9.3 of the Eyevance License Agreement and (iii) a royalty in respect of CATIONORM PLUS in the amount set forth in Section 9.3 of the Eyevance License Agreement;</w:t>
      </w:r>
    </w:p>
    <w:p>
      <w:pPr>
        <w:spacing w:after="0" w:line="187" w:lineRule="exact"/>
        <w:rPr>
          <w:rFonts w:ascii="Arial" w:cs="Arial" w:eastAsia="Arial" w:hAnsi="Arial"/>
          <w:sz w:val="18"/>
          <w:szCs w:val="18"/>
          <w:color w:val="auto"/>
        </w:rPr>
      </w:pPr>
    </w:p>
    <w:p>
      <w:pPr>
        <w:ind w:left="180" w:firstLine="4"/>
        <w:spacing w:after="0" w:line="277" w:lineRule="auto"/>
        <w:tabs>
          <w:tab w:leader="none" w:pos="4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the extent that all or any portion of the purchase price for any such Acquisition (including any Deferred Acquisition Consideration) is paid in Equity Interests, all such Equity Interests shall be Qualified Equity Interests;</w:t>
      </w:r>
    </w:p>
    <w:p>
      <w:pPr>
        <w:spacing w:after="0" w:line="170" w:lineRule="exact"/>
        <w:rPr>
          <w:rFonts w:ascii="Arial" w:cs="Arial" w:eastAsia="Arial" w:hAnsi="Arial"/>
          <w:sz w:val="18"/>
          <w:szCs w:val="18"/>
          <w:color w:val="auto"/>
        </w:rPr>
      </w:pPr>
    </w:p>
    <w:p>
      <w:pPr>
        <w:ind w:left="180" w:firstLine="4"/>
        <w:spacing w:after="0" w:line="342" w:lineRule="auto"/>
        <w:tabs>
          <w:tab w:leader="none" w:pos="411"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 than assets with respect to which the book value of such assets does not exceed $100,000 in the aggregate for such Acquisition, all of the assets acquired in such Acquisition (whether directly or through the Acquisition of any Person) shall be located in the U.S.;</w:t>
      </w:r>
    </w:p>
    <w:p>
      <w:pPr>
        <w:spacing w:after="0" w:line="123" w:lineRule="exact"/>
        <w:rPr>
          <w:rFonts w:ascii="Arial" w:cs="Arial" w:eastAsia="Arial" w:hAnsi="Arial"/>
          <w:sz w:val="16"/>
          <w:szCs w:val="16"/>
          <w:color w:val="auto"/>
        </w:rPr>
      </w:pPr>
    </w:p>
    <w:p>
      <w:pPr>
        <w:jc w:val="both"/>
        <w:ind w:left="180" w:firstLine="4"/>
        <w:spacing w:after="0" w:line="288" w:lineRule="auto"/>
        <w:tabs>
          <w:tab w:leader="none" w:pos="439"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the Borrower shall provide to the Administrative Agent (i) at least three (3) Business Day’s prior written notice of the closing of such Acquisition, together with summaries, prepared in reasonable detail, of all due diligence conducted by or on behalf of the Borrower prior to such Acquisition, in each case subject to customary confidentiality restrictions, (ii) true, correct and complete copies of any amendments, supplements or other modifications to the Eyevance Acquisition Agreements, together with any related documents reasonably requested by the Administrative Agent, (iii) pro forma financial statements of the Borrower and its Subsidiaries (as of the last day of the most recently ended fiscal quarter prior to the date of consummation of such Acquisition for which financial statements are required to be delivered pursuant to </w:t>
      </w:r>
      <w:r>
        <w:rPr>
          <w:rFonts w:ascii="Arial" w:cs="Arial" w:eastAsia="Arial" w:hAnsi="Arial"/>
          <w:sz w:val="16"/>
          <w:szCs w:val="16"/>
          <w:b w:val="1"/>
          <w:bCs w:val="1"/>
          <w:color w:val="auto"/>
        </w:rPr>
        <w:t>Section 8.01(a)</w:t>
      </w:r>
      <w:r>
        <w:rPr>
          <w:rFonts w:ascii="Arial" w:cs="Arial" w:eastAsia="Arial" w:hAnsi="Arial"/>
          <w:sz w:val="16"/>
          <w:szCs w:val="16"/>
          <w:color w:val="auto"/>
        </w:rPr>
        <w:t xml:space="preserve"> or </w:t>
      </w:r>
      <w:r>
        <w:rPr>
          <w:rFonts w:ascii="Arial" w:cs="Arial" w:eastAsia="Arial" w:hAnsi="Arial"/>
          <w:sz w:val="16"/>
          <w:szCs w:val="16"/>
          <w:b w:val="1"/>
          <w:bCs w:val="1"/>
          <w:color w:val="auto"/>
        </w:rPr>
        <w:t>(b)</w:t>
      </w:r>
      <w:r>
        <w:rPr>
          <w:rFonts w:ascii="Arial" w:cs="Arial" w:eastAsia="Arial" w:hAnsi="Arial"/>
          <w:sz w:val="16"/>
          <w:szCs w:val="16"/>
          <w:color w:val="auto"/>
        </w:rPr>
        <w:t>) after giving effect to such Acquisition (iv) subject to customary confidentiality restrictions, any other information reasonably requested (to the extent available), by the Administrative Agent and available to the Obligors and (v) a certificate of a Responsible Officer of the Borrower certifying as to the satisfaction of the requirements in clauses (a) through (g) of this definition of “Eyevance Acquisition” and attaching the items described in clause (g)(ii) and (g)(iii);</w:t>
      </w:r>
    </w:p>
    <w:p>
      <w:pPr>
        <w:spacing w:after="0" w:line="16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74" w:name="page75"/>
    <w:bookmarkEnd w:id="74"/>
    <w:p>
      <w:pPr>
        <w:jc w:val="both"/>
        <w:ind w:left="1300" w:firstLine="4"/>
        <w:spacing w:after="0" w:line="287" w:lineRule="auto"/>
        <w:tabs>
          <w:tab w:leader="none" w:pos="1565"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no Obligor or any of its Subsidiaries (including any acquired Person) shall, in connection with the Eyevance Acquisition, assume or remain liable with respect to (x) any Indebtedness of the related seller or the business, Person or assets acquired, except (i) to the extent permitted pursuant to </w:t>
      </w:r>
      <w:r>
        <w:rPr>
          <w:rFonts w:ascii="Arial" w:cs="Arial" w:eastAsia="Arial" w:hAnsi="Arial"/>
          <w:sz w:val="16"/>
          <w:szCs w:val="16"/>
          <w:b w:val="1"/>
          <w:bCs w:val="1"/>
          <w:color w:val="auto"/>
        </w:rPr>
        <w:t>Section 9.01(i)</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9.01(k)</w:t>
      </w:r>
      <w:r>
        <w:rPr>
          <w:rFonts w:ascii="Arial" w:cs="Arial" w:eastAsia="Arial" w:hAnsi="Arial"/>
          <w:sz w:val="16"/>
          <w:szCs w:val="16"/>
          <w:color w:val="auto"/>
        </w:rPr>
        <w:t xml:space="preserve">, (ii) the Freshkote Royalty and (iii) the Zerivate License Obligations, (y) any Lien on any business, Person or assets acquired, except to the extent permitted pursuant to </w:t>
      </w:r>
      <w:r>
        <w:rPr>
          <w:rFonts w:ascii="Arial" w:cs="Arial" w:eastAsia="Arial" w:hAnsi="Arial"/>
          <w:sz w:val="16"/>
          <w:szCs w:val="16"/>
          <w:b w:val="1"/>
          <w:bCs w:val="1"/>
          <w:color w:val="auto"/>
        </w:rPr>
        <w:t>Section 9.02</w:t>
      </w:r>
      <w:r>
        <w:rPr>
          <w:rFonts w:ascii="Arial" w:cs="Arial" w:eastAsia="Arial" w:hAnsi="Arial"/>
          <w:sz w:val="16"/>
          <w:szCs w:val="16"/>
          <w:color w:val="auto"/>
        </w:rPr>
        <w:t xml:space="preserve">, (z) any other liabilities that are not Indebtedness (including Tax, ERISA and environmental liabilities) and that are not otherwise prohibited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assumed liabilities exceed $5,000,000 in the aggregate (together with assumed liabilities described in clause (i) of the definition of “Permitted Acquisitions”), the Administrative Agent shall have consented in writing to the Eyevance Acquisition (such consent not to be unreasonably delayed, withheld, or conditioned). Any other such Indebtedness, liabilities or Liens not permitted to be assumed, continued or otherwise supported by any Obligor or Subsidiary thereof hereunder shall be paid in full or released within sixty (60) days of the acquisition date (or such longer period of time as agreed by the Administrative Agent in its reasonable discretion) as to the business, Persons or properties being so acquired on or before the consummation of the Eyevance Acquisition; and</w:t>
      </w:r>
    </w:p>
    <w:p>
      <w:pPr>
        <w:spacing w:after="0" w:line="171" w:lineRule="exact"/>
        <w:rPr>
          <w:rFonts w:ascii="Arial" w:cs="Arial" w:eastAsia="Arial" w:hAnsi="Arial"/>
          <w:sz w:val="16"/>
          <w:szCs w:val="16"/>
          <w:color w:val="auto"/>
        </w:rPr>
      </w:pPr>
    </w:p>
    <w:p>
      <w:pPr>
        <w:jc w:val="both"/>
        <w:ind w:left="1300" w:firstLine="4"/>
        <w:spacing w:after="0" w:line="275" w:lineRule="auto"/>
        <w:tabs>
          <w:tab w:leader="none" w:pos="154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Obligors shall promptly take all actions (including, without limitation, the delivery of shares of stock together with undated transfer powers executed in blank and the delivery of control agreements and other instruments, as applicable) as shall be required by the terms of the Security Documents or reasonably requested by the Administrative Agent to create, in favor of the Administrative Agent for the benefit of the Secured Parties, perfected security interests and Liens in such assets and other property (other than Excluded Assets (as defined in the Security Agreement)) of such Obligor as collateral security for the Obligations.</w:t>
      </w:r>
    </w:p>
    <w:p>
      <w:pPr>
        <w:spacing w:after="0" w:line="17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Eyevance Acquisition Agreements</w:t>
      </w:r>
      <w:r>
        <w:rPr>
          <w:rFonts w:ascii="Arial" w:cs="Arial" w:eastAsia="Arial" w:hAnsi="Arial"/>
          <w:sz w:val="16"/>
          <w:szCs w:val="16"/>
          <w:color w:val="auto"/>
        </w:rPr>
        <w:t>” means, collectively, the Eyevance APA, the Eyevance License Agreement, and all other material related documents, in each case, as in effect on the First Amendment Effective Date, or as amended, restated, amended and restated, supplemented or otherwise modified in any manner not materially adverse to the interests of the Administrative Agent or the Lenders in their respective capacities as such, unless consented to in writing by the Administrative Agent and the Lenders; provided, that any increase in the consideration paid, whether in the form of Upfront Payment (as defined in the Eyevance APA), Lumpsum Payment (as defined in the Eyevance License Agreement), Deferred Acquisition Consideration or otherwise shall be deemed materially adverse to the Administrative Agent and the Lenders, in their respective capacities as such.</w:t>
      </w:r>
    </w:p>
    <w:p>
      <w:pPr>
        <w:spacing w:after="0" w:line="164"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Eyevance APA</w:t>
      </w:r>
      <w:r>
        <w:rPr>
          <w:rFonts w:ascii="Arial" w:cs="Arial" w:eastAsia="Arial" w:hAnsi="Arial"/>
          <w:sz w:val="17"/>
          <w:szCs w:val="17"/>
          <w:color w:val="auto"/>
        </w:rPr>
        <w:t>” means the Asset Purchase Agreement, dated as of the First Amendment Effective Date, by and between the Borrower, Harrow Eye, LLC, Harrow IP, LLC and Eyevance Pharmaceuticals LLC, a Delaware limited liability company, (including all schedules, annexes, exhibits and other attachments thereto), as in effect on the First Amendment Effective Date, or as amended, restated, amended and restated, supplemented or otherwise modified in any manner not materially adverse to the interests of the Administrative Agent or the Lenders in their respective capacities as such, unless consented to in writing by the Administrative Agent and the Lenders; provided, that any increase in the consideration paid, whether in the form of Upfront Payment (as defined in the Eyevance APA), Deferred Acquisition Consideration or otherwise shall be deemed materially adverse to the Administrative Agent and the Lenders, in their respective capacities as such.</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5" w:name="page76"/>
    <w:bookmarkEnd w:id="75"/>
    <w:p>
      <w:pPr>
        <w:jc w:val="both"/>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Eyevance License Agreement</w:t>
      </w:r>
      <w:r>
        <w:rPr>
          <w:rFonts w:ascii="Arial" w:cs="Arial" w:eastAsia="Arial" w:hAnsi="Arial"/>
          <w:sz w:val="17"/>
          <w:szCs w:val="17"/>
          <w:color w:val="auto"/>
        </w:rPr>
        <w:t>” means the License Agreement, dated as of the First Amendment Effective Date, by and between the Borrower, Harrow Eye, LLC, Harrow IP, LLC and Santen S.A.S., a corporation organized and existing under the laws of France, (including all schedules, annexes, exhibits and other attachments thereto), as in effect on the First Amendment Effective Date, or as amended, restated, amended and restated, supplemented or otherwise modified in any manner not materially adverse to the interests of the Administrative Agent or the Lenders in their respective capacities as such, unless consented to in writing by the Administrative Agent and the Lenders; provided, that any increase in the consideration paid, whether in the form of Lumpsum Payment (as defined in the Eyevance License Agreement), Deferred Acquisition Consideration or otherwise shall be deemed materially adverse to the Administrative Agent and the Lenders, in their respective capacities as such.</w:t>
      </w:r>
    </w:p>
    <w:p>
      <w:pPr>
        <w:spacing w:after="0" w:line="17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Eyevance Milestone Payments</w:t>
      </w:r>
      <w:r>
        <w:rPr>
          <w:rFonts w:ascii="Arial" w:cs="Arial" w:eastAsia="Arial" w:hAnsi="Arial"/>
          <w:sz w:val="18"/>
          <w:szCs w:val="18"/>
          <w:color w:val="auto"/>
        </w:rPr>
        <w:t>” means, collectively (a) the milestone payments described in Section 1.3(a)(ii) and (iii) of the Eyevance APA and (b) the Milestone Payments (as defined in the Eyevance License Agreement).</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Eyevance Specified Acquisition Agreement Representations</w:t>
      </w:r>
      <w:r>
        <w:rPr>
          <w:rFonts w:ascii="Arial" w:cs="Arial" w:eastAsia="Arial" w:hAnsi="Arial"/>
          <w:sz w:val="18"/>
          <w:szCs w:val="18"/>
          <w:color w:val="auto"/>
        </w:rPr>
        <w:t>” means each of the representations and warranties made by or with respect to Eyevance and the Eyevance Acquired Assets in the Eyevance Acquisition Agreements as are material to the interests of the Lenders, but only to the extent that the Borrower or any of its Subsidiaries has the right to terminate its or their respective obligations under the Eyevance Acquisition Agreements or otherwise decline to close the Eyevance Acquisition as a result of a breach of any such representation and warranty or any such representation and warranty not being accurate.</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Facility</w:t>
      </w:r>
      <w:r>
        <w:rPr>
          <w:rFonts w:ascii="Arial" w:cs="Arial" w:eastAsia="Arial" w:hAnsi="Arial"/>
          <w:sz w:val="18"/>
          <w:szCs w:val="18"/>
          <w:color w:val="auto"/>
        </w:rPr>
        <w:t>” means any real property (including all buildings, fixtures or other improvements located thereon) now, hereafter or heretofore owned, leased or operated by any Obligor or any of its Subsidiaries.</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FD&amp;C Act</w:t>
      </w:r>
      <w:r>
        <w:rPr>
          <w:rFonts w:ascii="Arial" w:cs="Arial" w:eastAsia="Arial" w:hAnsi="Arial"/>
          <w:sz w:val="18"/>
          <w:szCs w:val="18"/>
          <w:color w:val="auto"/>
        </w:rPr>
        <w:t>” means the U.S. Food, Drug and Cosmetic Act, 21 U.S.C. §§ 301 et seq. (or any successor thereto), as amended from time to time, and the rules, regulations and guidelines issued or promulgated thereunder.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FDA</w:t>
      </w:r>
      <w:r>
        <w:rPr>
          <w:rFonts w:ascii="Arial" w:cs="Arial" w:eastAsia="Arial" w:hAnsi="Arial"/>
          <w:sz w:val="18"/>
          <w:szCs w:val="18"/>
          <w:color w:val="auto"/>
        </w:rPr>
        <w:t>” means the U.S. Food and Drug Administration and any successor entity.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6" w:name="page77"/>
    <w:bookmarkEnd w:id="76"/>
    <w:p>
      <w:pPr>
        <w:jc w:val="both"/>
        <w:ind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Federal Funds Effective Rate</w:t>
      </w:r>
      <w:r>
        <w:rPr>
          <w:rFonts w:ascii="Arial" w:cs="Arial" w:eastAsia="Arial" w:hAnsi="Arial"/>
          <w:sz w:val="17"/>
          <w:szCs w:val="17"/>
          <w:color w:val="auto"/>
        </w:rPr>
        <w:t xml:space="preserve">” means, for any day,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such day is not a Business Day, the Federal Funds Effective Rate for such day shall be such rate on such transactions on the next preceding Business Day as so published on the next succeeding Business Day, and (b) if no such rate is so published on such next succeeding Business Day, the Federal Funds Effective Rate for such day shall be the average rate charged to three (3) major banks on such day on such transactions as determined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Federal Funds Effective Rate as so determined would be less than zero, such rate shall be deemed to be zero for the purposes of this Agreement.</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Fee Letter</w:t>
      </w:r>
      <w:r>
        <w:rPr>
          <w:rFonts w:ascii="Arial" w:cs="Arial" w:eastAsia="Arial" w:hAnsi="Arial"/>
          <w:sz w:val="18"/>
          <w:szCs w:val="18"/>
          <w:color w:val="auto"/>
        </w:rPr>
        <w:t>” means the collective reference to the Closing Date Fee Letter and the First Amendment Fee Letter.</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Amendment</w:t>
      </w:r>
      <w:r>
        <w:rPr>
          <w:rFonts w:ascii="Arial" w:cs="Arial" w:eastAsia="Arial" w:hAnsi="Arial"/>
          <w:sz w:val="18"/>
          <w:szCs w:val="18"/>
          <w:color w:val="auto"/>
        </w:rPr>
        <w:t>” means the First Amendment to Credit Agreement and Guaranty, dated as of the First Amendment Effective Date, by and among the Borrower, the Guarantors party thereto, the Lenders Party thereto and the Administrative Agent.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Amendment Effective Date</w:t>
      </w:r>
      <w:r>
        <w:rPr>
          <w:rFonts w:ascii="Arial" w:cs="Arial" w:eastAsia="Arial" w:hAnsi="Arial"/>
          <w:sz w:val="18"/>
          <w:szCs w:val="18"/>
          <w:color w:val="auto"/>
        </w:rPr>
        <w:t>” means July 18, 2023.</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Amendment Fee Letter</w:t>
      </w:r>
      <w:r>
        <w:rPr>
          <w:rFonts w:ascii="Arial" w:cs="Arial" w:eastAsia="Arial" w:hAnsi="Arial"/>
          <w:sz w:val="18"/>
          <w:szCs w:val="18"/>
          <w:color w:val="auto"/>
        </w:rPr>
        <w:t>” means the Fee Letter, dated the First Amendment Effective Date, between the Borrower and the Administrative Agent.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FLAREX</w:t>
      </w:r>
      <w:r>
        <w:rPr>
          <w:rFonts w:ascii="Arial" w:cs="Arial" w:eastAsia="Arial" w:hAnsi="Arial"/>
          <w:sz w:val="16"/>
          <w:szCs w:val="16"/>
          <w:color w:val="auto"/>
        </w:rPr>
        <w:t>” (0.1% fluorometholone acetate ophthalmic suspension) is used to treat certain eye conditions due to inflammation or injury.</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Lender</w:t>
      </w:r>
      <w:r>
        <w:rPr>
          <w:rFonts w:ascii="Arial" w:cs="Arial" w:eastAsia="Arial" w:hAnsi="Arial"/>
          <w:sz w:val="18"/>
          <w:szCs w:val="18"/>
          <w:color w:val="auto"/>
        </w:rPr>
        <w:t>” means a Lender that is not a U.S. Person.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Subsidiary</w:t>
      </w:r>
      <w:r>
        <w:rPr>
          <w:rFonts w:ascii="Arial" w:cs="Arial" w:eastAsia="Arial" w:hAnsi="Arial"/>
          <w:sz w:val="18"/>
          <w:szCs w:val="18"/>
          <w:color w:val="auto"/>
        </w:rPr>
        <w:t>” means any Subsidiary that is not a Domestic Subsidiary.</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Freshkote Royalty</w:t>
      </w:r>
      <w:r>
        <w:rPr>
          <w:rFonts w:ascii="Arial" w:cs="Arial" w:eastAsia="Arial" w:hAnsi="Arial"/>
          <w:sz w:val="17"/>
          <w:szCs w:val="17"/>
          <w:color w:val="auto"/>
        </w:rPr>
        <w:t xml:space="preserve">” means the royalty described in Section 3.1.4(c) of that certain Asset Purchase Agreement, dated as of September 7, 2018, by and between the Borrower, Harrow Eye, LLC, and Harrow IP, LLC, as successors-by-assignment to Eyevance Pharmaceuticals LLC, a Delaware limited liability company, and Focus Laboratories, Inc., an Arkansas corporation, (including all schedules, annexes, exhibits and other attachments thereto), as in effect on the First Amendment Effective Date, or as amended, restated, amended and restated, supplemented or otherwise modified in any manner not materially adverse to the interests of the Administrative Agent or the Lenders in their respective capacities as such, unless consented to in writing by the Administrative Agent and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increase in the amount of such royalty shall be deemed materially adverse to the interests of the Administrative Agent and the Lenders in their respective capacities as such.</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Funding Date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b w:val="1"/>
          <w:bCs w:val="1"/>
          <w:color w:val="auto"/>
        </w:rPr>
        <w:t>Exhibit C</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7" w:name="page78"/>
    <w:bookmarkEnd w:id="77"/>
    <w:p>
      <w:pPr>
        <w:jc w:val="both"/>
        <w:ind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GAAP</w:t>
      </w:r>
      <w:r>
        <w:rPr>
          <w:rFonts w:ascii="Arial" w:cs="Arial" w:eastAsia="Arial" w:hAnsi="Arial"/>
          <w:sz w:val="17"/>
          <w:szCs w:val="17"/>
          <w:color w:val="auto"/>
        </w:rPr>
        <w:t xml:space="preserve">” means generally accepted accounting principles in the United States of America, as in effect from time to time, set forth in the opinions and pronouncements of the Accounting Principles Board and the American Institute of Certified Public Accountants, in the statements and pronouncements of the Financial Accounting Standards Board and in such other statements by such other entity as may be in general use by significant segments of the accounting profession that are applicable to the circumstances as of the date of determination. All references to “GAAP” shall be to GAAP applied consistently with the principles used in the preparation of the financial statements delivered pursuant to </w:t>
      </w:r>
      <w:r>
        <w:rPr>
          <w:rFonts w:ascii="Arial" w:cs="Arial" w:eastAsia="Arial" w:hAnsi="Arial"/>
          <w:sz w:val="17"/>
          <w:szCs w:val="17"/>
          <w:b w:val="1"/>
          <w:bCs w:val="1"/>
          <w:color w:val="auto"/>
        </w:rPr>
        <w:t>Section 6.01(f)</w:t>
      </w:r>
      <w:r>
        <w:rPr>
          <w:rFonts w:ascii="Arial" w:cs="Arial" w:eastAsia="Arial" w:hAnsi="Arial"/>
          <w:sz w:val="17"/>
          <w:szCs w:val="17"/>
          <w:color w:val="auto"/>
        </w:rPr>
        <w:t>.</w:t>
      </w:r>
    </w:p>
    <w:p>
      <w:pPr>
        <w:spacing w:after="0" w:line="17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Approval</w:t>
      </w:r>
      <w:r>
        <w:rPr>
          <w:rFonts w:ascii="Arial" w:cs="Arial" w:eastAsia="Arial" w:hAnsi="Arial"/>
          <w:sz w:val="18"/>
          <w:szCs w:val="18"/>
          <w:color w:val="auto"/>
        </w:rPr>
        <w:t>” means any consent, authorization, approval, order, license, franchise, permit, certification, accreditation, registration, provider or supplier number, HCPCS code, payment status, clearance or exemption that is issued or granted by or from (or pursuant to any act of) any Governmental Authority, including any application or submission related to any of the foregoing.</w:t>
      </w:r>
    </w:p>
    <w:p>
      <w:pPr>
        <w:spacing w:after="0" w:line="1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Authority</w:t>
      </w:r>
      <w:r>
        <w:rPr>
          <w:rFonts w:ascii="Arial" w:cs="Arial" w:eastAsia="Arial" w:hAnsi="Arial"/>
          <w:sz w:val="17"/>
          <w:szCs w:val="17"/>
          <w:color w:val="auto"/>
        </w:rPr>
        <w:t>” means any nation, government, branch of power (whether executive, legislative or judicial), state, province or municipality or other political subdivision thereof and any entity exercising executive, legislative, judicial, monetary, regulatory or administrative functions of or pertaining to government, including without limitation regulatory authorities, governmental departments, agencies, commissions, bureaus, officials, ministers, courts, bodies, boards, tribunals and dispute settlement panels, and other law-, rule- or regulation-making organizations or entities of any state, territory, county, city or other political subdivision of any country, in each case whether U.S., or non-U.S.</w:t>
      </w:r>
    </w:p>
    <w:p>
      <w:pPr>
        <w:spacing w:after="0" w:line="17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Guarantee</w:t>
      </w:r>
      <w:r>
        <w:rPr>
          <w:rFonts w:ascii="Arial" w:cs="Arial" w:eastAsia="Arial" w:hAnsi="Arial"/>
          <w:sz w:val="17"/>
          <w:szCs w:val="17"/>
          <w:color w:val="auto"/>
        </w:rPr>
        <w:t>” of or by any Person (the “</w:t>
      </w:r>
      <w:r>
        <w:rPr>
          <w:rFonts w:ascii="Arial" w:cs="Arial" w:eastAsia="Arial" w:hAnsi="Arial"/>
          <w:sz w:val="17"/>
          <w:szCs w:val="17"/>
          <w:b w:val="1"/>
          <w:bCs w:val="1"/>
          <w:i w:val="1"/>
          <w:iCs w:val="1"/>
          <w:color w:val="auto"/>
        </w:rPr>
        <w:t>guarantor</w:t>
      </w:r>
      <w:r>
        <w:rPr>
          <w:rFonts w:ascii="Arial" w:cs="Arial" w:eastAsia="Arial" w:hAnsi="Arial"/>
          <w:sz w:val="17"/>
          <w:szCs w:val="17"/>
          <w:color w:val="auto"/>
        </w:rPr>
        <w:t>”) means any obligation, contingent or otherwise, of the guarantor guaranteeing or having the economic effect of guaranteeing any Indebtedness or other obligation (the “</w:t>
      </w:r>
      <w:r>
        <w:rPr>
          <w:rFonts w:ascii="Arial" w:cs="Arial" w:eastAsia="Arial" w:hAnsi="Arial"/>
          <w:sz w:val="17"/>
          <w:szCs w:val="17"/>
          <w:b w:val="1"/>
          <w:bCs w:val="1"/>
          <w:i w:val="1"/>
          <w:iCs w:val="1"/>
          <w:color w:val="auto"/>
        </w:rPr>
        <w:t>primary obligations</w:t>
      </w:r>
      <w:r>
        <w:rPr>
          <w:rFonts w:ascii="Arial" w:cs="Arial" w:eastAsia="Arial" w:hAnsi="Arial"/>
          <w:sz w:val="17"/>
          <w:szCs w:val="17"/>
          <w:color w:val="auto"/>
        </w:rPr>
        <w:t>”) of any other Person (the “</w:t>
      </w:r>
      <w:r>
        <w:rPr>
          <w:rFonts w:ascii="Arial" w:cs="Arial" w:eastAsia="Arial" w:hAnsi="Arial"/>
          <w:sz w:val="17"/>
          <w:szCs w:val="17"/>
          <w:b w:val="1"/>
          <w:bCs w:val="1"/>
          <w:i w:val="1"/>
          <w:iCs w:val="1"/>
          <w:color w:val="auto"/>
        </w:rPr>
        <w:t>primary obligor</w:t>
      </w:r>
      <w:r>
        <w:rPr>
          <w:rFonts w:ascii="Arial" w:cs="Arial" w:eastAsia="Arial" w:hAnsi="Arial"/>
          <w:sz w:val="17"/>
          <w:szCs w:val="17"/>
          <w:color w:val="auto"/>
        </w:rPr>
        <w:t xml:space="preserve">”) in any manner, whether directly or indirectly, and including any obligation of the guarantor, direct or indirect, (i) to purchase or pay (or advance or supply funds for the purchase or payment of) such primary obligations or to purchase (or to advance or supply funds for the purchase of) any security for the payment thereof, (ii) to purchase or lease property, securities or services for the purpose of assuring the owner of such primary obligations of the payment thereof, (iii) to maintain working capital, equity capital or any other financial statement condition or liquidity of the primary obligor so as to enable the primary obligor to pay such primary obligations or (iv) as an account party in respect of any letter of credit or letter of guaranty (including any bank guarantee) issued to support such primary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that the term Guarantee shall not include (x) endorsements for collection or deposit and (y) guarantees of operating leases, in each case, in the Ordinary Course.</w:t>
      </w:r>
    </w:p>
    <w:p>
      <w:pPr>
        <w:spacing w:after="0" w:line="177"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Guarantee Assumption Agreement</w:t>
      </w:r>
      <w:r>
        <w:rPr>
          <w:rFonts w:ascii="Arial" w:cs="Arial" w:eastAsia="Arial" w:hAnsi="Arial"/>
          <w:sz w:val="18"/>
          <w:szCs w:val="18"/>
          <w:color w:val="auto"/>
        </w:rPr>
        <w:t xml:space="preserve">” means a Guarantee Assumption Agreement substantially in the form of </w:t>
      </w:r>
      <w:r>
        <w:rPr>
          <w:rFonts w:ascii="Arial" w:cs="Arial" w:eastAsia="Arial" w:hAnsi="Arial"/>
          <w:sz w:val="18"/>
          <w:szCs w:val="18"/>
          <w:b w:val="1"/>
          <w:bCs w:val="1"/>
          <w:color w:val="auto"/>
        </w:rPr>
        <w:t>Exhibit E</w:t>
      </w:r>
      <w:r>
        <w:rPr>
          <w:rFonts w:ascii="Arial" w:cs="Arial" w:eastAsia="Arial" w:hAnsi="Arial"/>
          <w:sz w:val="18"/>
          <w:szCs w:val="18"/>
          <w:color w:val="auto"/>
        </w:rPr>
        <w:t xml:space="preserve"> by an entity that, pursuant to </w:t>
      </w:r>
      <w:r>
        <w:rPr>
          <w:rFonts w:ascii="Arial" w:cs="Arial" w:eastAsia="Arial" w:hAnsi="Arial"/>
          <w:sz w:val="18"/>
          <w:szCs w:val="18"/>
          <w:b w:val="1"/>
          <w:bCs w:val="1"/>
          <w:color w:val="auto"/>
        </w:rPr>
        <w:t>Section 8.11(a)</w:t>
      </w:r>
      <w:r>
        <w:rPr>
          <w:rFonts w:ascii="Arial" w:cs="Arial" w:eastAsia="Arial" w:hAnsi="Arial"/>
          <w:sz w:val="18"/>
          <w:szCs w:val="18"/>
          <w:color w:val="auto"/>
        </w:rPr>
        <w:t>, is required to become a “Subsidiary Guarantor.”</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Guaranteed Obligations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13.01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Guarantor</w:t>
      </w:r>
      <w:r>
        <w:rPr>
          <w:rFonts w:ascii="Arial" w:cs="Arial" w:eastAsia="Arial" w:hAnsi="Arial"/>
          <w:sz w:val="18"/>
          <w:szCs w:val="18"/>
          <w:b w:val="1"/>
          <w:bCs w:val="1"/>
          <w:color w:val="auto"/>
        </w:rPr>
        <w:t xml:space="preserve">” </w:t>
      </w:r>
      <w:r>
        <w:rPr>
          <w:rFonts w:ascii="Arial" w:cs="Arial" w:eastAsia="Arial" w:hAnsi="Arial"/>
          <w:sz w:val="18"/>
          <w:szCs w:val="18"/>
          <w:color w:val="auto"/>
        </w:rPr>
        <w:t>means each Subsidiary Guarantor.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8" w:name="page79"/>
    <w:bookmarkEnd w:id="78"/>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Guaranty</w:t>
      </w:r>
      <w:r>
        <w:rPr>
          <w:rFonts w:ascii="Arial" w:cs="Arial" w:eastAsia="Arial" w:hAnsi="Arial"/>
          <w:sz w:val="18"/>
          <w:szCs w:val="18"/>
          <w:color w:val="auto"/>
        </w:rPr>
        <w:t xml:space="preserve">” means the Guaranty made by the Guarantors under </w:t>
      </w:r>
      <w:r>
        <w:rPr>
          <w:rFonts w:ascii="Arial" w:cs="Arial" w:eastAsia="Arial" w:hAnsi="Arial"/>
          <w:sz w:val="18"/>
          <w:szCs w:val="18"/>
          <w:b w:val="1"/>
          <w:bCs w:val="1"/>
          <w:color w:val="auto"/>
        </w:rPr>
        <w:t>Section 13</w:t>
      </w:r>
      <w:r>
        <w:rPr>
          <w:rFonts w:ascii="Arial" w:cs="Arial" w:eastAsia="Arial" w:hAnsi="Arial"/>
          <w:sz w:val="18"/>
          <w:szCs w:val="18"/>
          <w:color w:val="auto"/>
        </w:rPr>
        <w:t xml:space="preserve"> in favor of the Secured Parties (including any Guaranty assumed by an entity that is required to become a “Subsidiary Guarantor” pursuant to a Guarantee Assumption Agreement).</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Hazardous Material</w:t>
      </w:r>
      <w:r>
        <w:rPr>
          <w:rFonts w:ascii="Arial" w:cs="Arial" w:eastAsia="Arial" w:hAnsi="Arial"/>
          <w:sz w:val="18"/>
          <w:szCs w:val="18"/>
          <w:color w:val="auto"/>
        </w:rPr>
        <w:t>” means any chemical, material or substance, exposure to which is prohibited, limited or regulated by any Governmental Authority or which may or would reasonably be expected to pose a hazard to the health and safety of the owners, occupants or any Persons in the vicinity of any Facility or to the indoor or outdoor environment.</w:t>
      </w:r>
    </w:p>
    <w:p>
      <w:pPr>
        <w:spacing w:after="0" w:line="184"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Hazardous Materials Activity</w:t>
      </w:r>
      <w:r>
        <w:rPr>
          <w:rFonts w:ascii="Arial" w:cs="Arial" w:eastAsia="Arial" w:hAnsi="Arial"/>
          <w:sz w:val="16"/>
          <w:szCs w:val="16"/>
          <w:color w:val="auto"/>
        </w:rPr>
        <w:t>” 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recycling, disposition or handling of any Hazardous Materials, and any investigation, monitoring, corrective action or response action with respect to any of the foregoing.</w:t>
      </w:r>
    </w:p>
    <w:p>
      <w:pPr>
        <w:spacing w:after="0" w:line="157"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Healthcare Laws</w:t>
      </w:r>
      <w:r>
        <w:rPr>
          <w:rFonts w:ascii="Arial" w:cs="Arial" w:eastAsia="Arial" w:hAnsi="Arial"/>
          <w:sz w:val="17"/>
          <w:szCs w:val="17"/>
          <w:color w:val="auto"/>
        </w:rPr>
        <w:t>” means, collectively, all Laws and Product Authorizations applicable to the business, any Product or the Product Commercialization and Development Activities of any Obligor, whether U.S. or non-U.S., regulating the distribution, dispensing, compounding, importation, exportation, quality, manufacturing, sales, marketing, labeling, promotion and provision of and payment for drugs, biological products, or healthcare products, items and services, including, without limitation, the FD&amp;C Act, the Social Security Act, the Federal Anti-Kickback Statute, the federal False Claims Act, the Stark Law, the PDMA, the Physician Payments Sunshine Act, the Civil Monetary Penalties Law, the exclusion laws, the Health Insurance Portability and Accountability Act of 1996 and all rules, regulations and guidance pertaining to or governing the Medicare and Medicaid programs, the TRICARE Program, federal employee health benefit plans and any other government healthcare programs; and all rules, regulations and guidance promulgated under or pursuant to any of the foregoing, including any state and non-U.S. equivalents.</w:t>
      </w:r>
    </w:p>
    <w:p>
      <w:pPr>
        <w:spacing w:after="0" w:line="17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Hedging Agreement</w:t>
      </w:r>
      <w:r>
        <w:rPr>
          <w:rFonts w:ascii="Arial" w:cs="Arial" w:eastAsia="Arial" w:hAnsi="Arial"/>
          <w:sz w:val="18"/>
          <w:szCs w:val="18"/>
          <w:color w:val="auto"/>
        </w:rPr>
        <w:t>” means any interest rate exchange agreement, foreign currency exchange agreement, commodity price protection agreement or other interest or currency exchange rate or commodity price hedging arrangement.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IHEEZO</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Schedule 4</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ILEVRO</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Schedule 4</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Immaterial Subsidiary</w:t>
      </w:r>
      <w:r>
        <w:rPr>
          <w:rFonts w:ascii="Arial" w:cs="Arial" w:eastAsia="Arial" w:hAnsi="Arial"/>
          <w:sz w:val="17"/>
          <w:szCs w:val="17"/>
          <w:color w:val="auto"/>
        </w:rPr>
        <w:t xml:space="preserve">” means any Subsidiary of the Borrower that (i) individually constitutes or holds less than two and one half percent (2.5%) of the Borrower’s consolidated total assets and generates less than two and one half percent (2.5%) of the Borrower’s consolidated total revenue, and (ii) when taken together with all then existing Immaterial Subsidiaries, such Subsidiary and such Immaterial Subsidiaries, in the aggregate, would constitute or hold less than three percent (3%) of the Borrower’s consolidated total assets and generate less than three percent (3%) of the Borrower’s consolidated total revenue, in each case of the foregoing clauses as of the last day of, or for, the most recently ended fiscal period for which financial statements were required to have been delivered pursuant to Section </w:t>
      </w:r>
      <w:r>
        <w:rPr>
          <w:rFonts w:ascii="Arial" w:cs="Arial" w:eastAsia="Arial" w:hAnsi="Arial"/>
          <w:sz w:val="17"/>
          <w:szCs w:val="17"/>
          <w:b w:val="1"/>
          <w:bCs w:val="1"/>
          <w:color w:val="auto"/>
        </w:rPr>
        <w:t>8.01(a) or (b)</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the foregoing, no Subsidiary that owns any Material Intellectual Property shall be an Immaterial Subsidiary.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9" w:name="page80"/>
    <w:bookmarkEnd w:id="79"/>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w:t>
      </w:r>
      <w:r>
        <w:rPr>
          <w:rFonts w:ascii="Arial" w:cs="Arial" w:eastAsia="Arial" w:hAnsi="Arial"/>
          <w:sz w:val="18"/>
          <w:szCs w:val="18"/>
          <w:color w:val="auto"/>
        </w:rPr>
        <w:t>” means (i) (x) an investigational new drug application (as defined in the FD&amp;C Act) that is required to be filed with the FDA before beginning clinical testing in human subjects, or any successor application or procedure and (y) any similar application or functional equivalent relating to any investigational new drug application applicable to or required by any non-U.S. Governmental Authority, and (ii) all supplements and amendments that may be filed with respect to the foregoing.</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Incremental Tranche A Availability Period</w:t>
      </w:r>
      <w:r>
        <w:rPr>
          <w:rFonts w:ascii="Arial" w:cs="Arial" w:eastAsia="Arial" w:hAnsi="Arial"/>
          <w:sz w:val="18"/>
          <w:szCs w:val="18"/>
          <w:color w:val="auto"/>
        </w:rPr>
        <w:t>” has the meaning set forth in the Loans Schedule.</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Incremental Tranche A Commitment</w:t>
      </w:r>
      <w:r>
        <w:rPr>
          <w:rFonts w:ascii="Arial" w:cs="Arial" w:eastAsia="Arial" w:hAnsi="Arial"/>
          <w:sz w:val="18"/>
          <w:szCs w:val="18"/>
          <w:color w:val="auto"/>
        </w:rPr>
        <w:t xml:space="preserve">” means with respect to each Lender, the obligation of such Lender to make Incremental Tranche A Term Loans to the Borrower on the Incremental Tranche A Funding Date in accordance with the terms and conditions of this Agreement, which commitment is in the amount set forth opposite such Lender’s name on </w:t>
      </w:r>
      <w:r>
        <w:rPr>
          <w:rFonts w:ascii="Arial" w:cs="Arial" w:eastAsia="Arial" w:hAnsi="Arial"/>
          <w:sz w:val="18"/>
          <w:szCs w:val="18"/>
          <w:b w:val="1"/>
          <w:bCs w:val="1"/>
          <w:color w:val="auto"/>
        </w:rPr>
        <w:t>Schedule 1</w:t>
      </w:r>
      <w:r>
        <w:rPr>
          <w:rFonts w:ascii="Arial" w:cs="Arial" w:eastAsia="Arial" w:hAnsi="Arial"/>
          <w:sz w:val="18"/>
          <w:szCs w:val="18"/>
          <w:color w:val="auto"/>
        </w:rPr>
        <w:t xml:space="preserve"> under the caption “Incremental Tranche A Commitment”, as such Schedule may be amended from time to time pursuant to an Assignment and Assumption or otherwise. The aggregate amount of Incremental Tranche A Commitments on the First Amendment Effective Date equals $12,500,000.</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Incremental Tranche A Funding Condition</w:t>
      </w:r>
      <w:r>
        <w:rPr>
          <w:rFonts w:ascii="Arial" w:cs="Arial" w:eastAsia="Arial" w:hAnsi="Arial"/>
          <w:sz w:val="18"/>
          <w:szCs w:val="18"/>
          <w:color w:val="auto"/>
        </w:rPr>
        <w:t>” has the meaning set forth in the Loans Schedule.</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Incremental Tranche A Funding Date</w:t>
      </w:r>
      <w:r>
        <w:rPr>
          <w:rFonts w:ascii="Arial" w:cs="Arial" w:eastAsia="Arial" w:hAnsi="Arial"/>
          <w:sz w:val="18"/>
          <w:szCs w:val="18"/>
          <w:color w:val="auto"/>
        </w:rPr>
        <w:t xml:space="preserve">” means the date on or prior to the expiration of the Incremental Tranche A Availability Period on which all conditions precedent set forth in </w:t>
      </w:r>
      <w:r>
        <w:rPr>
          <w:rFonts w:ascii="Arial" w:cs="Arial" w:eastAsia="Arial" w:hAnsi="Arial"/>
          <w:sz w:val="18"/>
          <w:szCs w:val="18"/>
          <w:b w:val="1"/>
          <w:bCs w:val="1"/>
          <w:color w:val="auto"/>
        </w:rPr>
        <w:t>Section 6.03</w:t>
      </w:r>
      <w:r>
        <w:rPr>
          <w:rFonts w:ascii="Arial" w:cs="Arial" w:eastAsia="Arial" w:hAnsi="Arial"/>
          <w:sz w:val="18"/>
          <w:szCs w:val="18"/>
          <w:color w:val="auto"/>
        </w:rPr>
        <w:t xml:space="preserve"> for the borrowing of Incremental Tranche A Term Loans are satisfied or waived in accordance with the terms of this Agreement.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Incremental Tranche A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b w:val="1"/>
          <w:bCs w:val="1"/>
          <w:color w:val="auto"/>
        </w:rPr>
        <w:t>Section 2.01(a)(i)</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Indebtedness</w:t>
      </w:r>
      <w:r>
        <w:rPr>
          <w:rFonts w:ascii="Arial" w:cs="Arial" w:eastAsia="Arial" w:hAnsi="Arial"/>
          <w:sz w:val="16"/>
          <w:szCs w:val="16"/>
          <w:color w:val="auto"/>
        </w:rPr>
        <w:t>” of any Person means, without duplication, (i) all obligations of such Person for borrowed money, (ii) all obligations of such Person evidenced by bonds, debentures, notes, loan agreements or similar instruments, (iii) all obligations of such Person upon which interest charges are customarily paid (excluding interest penalties for late payments under commercial contracts entered into in the Ordinary Course and, for the avoidance of doubt, which commercial contracts do not relate to obligations for borrowed money or purchase money indebtedness), (iv) all obligations of such Person under conditional sale or other title retention agreements relating to property acquired by such Person, (v) all obligations of such Person in respect of the deferred purchase price of property or services (excluding (A) any royalty payments or similar payments based on a percentage of sales under any such license or other agreement, (B) deferred compensation and accounts payable incurred in the Ordinary Course and not overdue by more than sixty (60) days or otherwise being disputed in good faith, and (C) any earn-out obligation until such earn-out obligation appears on such Person’s balance sheet in accordance with GAAP), (vi) all Indebtedness of others secured by (or for which the holder of such Indebtedness has an existing right, contingent or otherwise, to be secured by) any Lien on property owned or acquired by such Person, whether or not the Indebtedness secured thereby has been assumed,</w:t>
      </w:r>
    </w:p>
    <w:p>
      <w:pPr>
        <w:spacing w:after="0" w:line="5" w:lineRule="exact"/>
        <w:rPr>
          <w:sz w:val="20"/>
          <w:szCs w:val="20"/>
          <w:color w:val="auto"/>
        </w:rPr>
      </w:pPr>
    </w:p>
    <w:p>
      <w:pPr>
        <w:jc w:val="both"/>
        <w:ind w:firstLine="8"/>
        <w:spacing w:after="0" w:line="285" w:lineRule="auto"/>
        <w:tabs>
          <w:tab w:leader="none" w:pos="386"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all Guarantees by such Person of Indebtedness of others, (viii) all Capital Lease Obligations of such Person, (ix) all obligations, contingent or otherwise, of such Person as an account party in respect of letters of credit and letters of guaranty, (x) obligations under any Hedging Agreement, currency swaps, forwards, futures or derivatives transactions, (xi) all obligations, contingent or otherwise, of such Person in respect of bankers’ acceptances, (xii) all milestone and similar payments of such Person under any license or other agreements appearing on such Person’s balance sheet in accordance with GAAP (but excluding any such payments based on a percentage of sales under any such license or other agreement), (xiii) any Disqualified Equity Interests of such Person, and (xiv) all other obligations required to be classified as indebtedness of such Person under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Indebtedness shall not include (A) accrued expenses, deferred rent, deferred taxes, deferred compensation or customary obligations under employment agreements, or (B) any accounts payable existing as of the Closing Date that are classified as indebtedness in accordance with GAAP but have been overdue for more than two (2) years prior to the Closing Date and are not subject to collection attempts by the applicable payee, in an amount not to exceed $500,000 in the aggregate.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0" w:name="page81"/>
    <w:bookmarkEnd w:id="80"/>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14.03(b)</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Taxes</w:t>
      </w:r>
      <w:r>
        <w:rPr>
          <w:rFonts w:ascii="Arial" w:cs="Arial" w:eastAsia="Arial" w:hAnsi="Arial"/>
          <w:sz w:val="18"/>
          <w:szCs w:val="18"/>
          <w:color w:val="auto"/>
        </w:rPr>
        <w:t xml:space="preserve">” means (i) Taxes, other than Excluded Taxes, imposed on or with respect to any payment made by or on account of any Obligation and (ii) to the extent not otherwise described in </w:t>
      </w:r>
      <w:r>
        <w:rPr>
          <w:rFonts w:ascii="Arial" w:cs="Arial" w:eastAsia="Arial" w:hAnsi="Arial"/>
          <w:sz w:val="18"/>
          <w:szCs w:val="18"/>
          <w:b w:val="1"/>
          <w:bCs w:val="1"/>
          <w:color w:val="auto"/>
        </w:rPr>
        <w:t>clause (i)</w:t>
      </w:r>
      <w:r>
        <w:rPr>
          <w:rFonts w:ascii="Arial" w:cs="Arial" w:eastAsia="Arial" w:hAnsi="Arial"/>
          <w:sz w:val="18"/>
          <w:szCs w:val="18"/>
          <w:color w:val="auto"/>
        </w:rPr>
        <w:t>, Other Taxes.</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Insolvency Proceeding</w:t>
      </w:r>
      <w:r>
        <w:rPr>
          <w:rFonts w:ascii="Arial" w:cs="Arial" w:eastAsia="Arial" w:hAnsi="Arial"/>
          <w:sz w:val="18"/>
          <w:szCs w:val="18"/>
          <w:color w:val="auto"/>
        </w:rPr>
        <w:t>” means (i) any case, action or proceeding before any court or other Governmental Authority relating to bankruptcy, reorganization, insolvency, administration, re-arrangement, moratorium, liquidation, receivership, examinership, dissolution, winding-up or relief of debtors, or (ii) any general assignment for the benefit of creditors, composition, marshaling of assets for creditors, or other, similar arrangement in respect of any Person’s creditors generally or any substantial portion of such Person’s creditors, in each case undertaken under U.S. federal or state, or foreign law, including the Bankruptcy Code.</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means all intellectual property or proprietary rights anywhere in the world, including all rights in or to Patents, Trademarks, Copyrights, and Technical Information.</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Intercompany Subordination Agreement</w:t>
      </w:r>
      <w:r>
        <w:rPr>
          <w:rFonts w:ascii="Arial" w:cs="Arial" w:eastAsia="Arial" w:hAnsi="Arial"/>
          <w:sz w:val="17"/>
          <w:szCs w:val="17"/>
          <w:color w:val="auto"/>
        </w:rPr>
        <w:t xml:space="preserve">” means a subordination agreement to be executed and delivered by each Obligor and each of its Subsidiaries, pursuant to which all obligations in respect of any Indebtedness owing to any such Person by an Obligor shall be subordinated to the prior payment in full in cash of all Obligations, such agreement to be in substantially the form attached hereto as </w:t>
      </w:r>
      <w:r>
        <w:rPr>
          <w:rFonts w:ascii="Arial" w:cs="Arial" w:eastAsia="Arial" w:hAnsi="Arial"/>
          <w:sz w:val="17"/>
          <w:szCs w:val="17"/>
          <w:b w:val="1"/>
          <w:bCs w:val="1"/>
          <w:color w:val="auto"/>
        </w:rPr>
        <w:t>Exhibit F</w:t>
      </w:r>
      <w:r>
        <w:rPr>
          <w:rFonts w:ascii="Arial" w:cs="Arial" w:eastAsia="Arial" w:hAnsi="Arial"/>
          <w:sz w:val="17"/>
          <w:szCs w:val="17"/>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1" w:name="page82"/>
    <w:bookmarkEnd w:id="81"/>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Period</w:t>
      </w:r>
      <w:r>
        <w:rPr>
          <w:rFonts w:ascii="Arial" w:cs="Arial" w:eastAsia="Arial" w:hAnsi="Arial"/>
          <w:sz w:val="18"/>
          <w:szCs w:val="18"/>
          <w:color w:val="auto"/>
        </w:rPr>
        <w:t>” means (a) the period commencing on and including the Closing Date and ending on and including the immediately subsequent Payment Date and (b) subsequently, each period commencing on and excluding the last day of the previous Interest Period for such Loan and ending on and including the immediately subsequent Payment Date.</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Rate</w:t>
      </w:r>
      <w:r>
        <w:rPr>
          <w:rFonts w:ascii="Arial" w:cs="Arial" w:eastAsia="Arial" w:hAnsi="Arial"/>
          <w:sz w:val="18"/>
          <w:szCs w:val="18"/>
          <w:color w:val="auto"/>
        </w:rPr>
        <w:t xml:space="preserve">” means, for any Interest Period, a rate per annum equal to the sum of (a) the Applicable Margin plus (b) Three-Month Term SOFR, as may be increased pursuant to </w:t>
      </w:r>
      <w:r>
        <w:rPr>
          <w:rFonts w:ascii="Arial" w:cs="Arial" w:eastAsia="Arial" w:hAnsi="Arial"/>
          <w:sz w:val="18"/>
          <w:szCs w:val="18"/>
          <w:b w:val="1"/>
          <w:bCs w:val="1"/>
          <w:color w:val="auto"/>
        </w:rPr>
        <w:t>Section 3.02(b)</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Invention</w:t>
      </w:r>
      <w:r>
        <w:rPr>
          <w:rFonts w:ascii="Arial" w:cs="Arial" w:eastAsia="Arial" w:hAnsi="Arial"/>
          <w:sz w:val="18"/>
          <w:szCs w:val="18"/>
          <w:color w:val="auto"/>
        </w:rPr>
        <w:t>” means any novel, inventive or useful art, apparatus, method, process, machine (including any article or device), manufacture or composition of matter, or any novel, inventive and useful improvement in any art, method, process, machine (including article or device), manufacture or composition of matter.</w:t>
      </w:r>
    </w:p>
    <w:p>
      <w:pPr>
        <w:spacing w:after="0" w:line="184"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Investment</w:t>
      </w:r>
      <w:r>
        <w:rPr>
          <w:rFonts w:ascii="Arial" w:cs="Arial" w:eastAsia="Arial" w:hAnsi="Arial"/>
          <w:sz w:val="17"/>
          <w:szCs w:val="17"/>
          <w:color w:val="auto"/>
        </w:rPr>
        <w:t xml:space="preserve">” means, for any Person: (i) the acquisition (whether for cash, property, services or securities or otherwise) of any debt or Equity Interests, bonds, notes, debentures, partnership or other ownership interests or other securities of any other Person (including any “short sale” or any sale of any securities at a time when such securities are not owned by the Person entering into such sale); (ii) the making of any deposit with, or advance, loan, assumption of debt or other extension of credit to, or capital contribution in any other Person (including the purchase of property from another Person subject to an understanding or agreement, contingent or otherwise, to resell such property to such Person), but excluding any such advance, loan or extension of credit having a term not exceeding ninety (90) days arising in connection with the sale of inventory or supplies by such Person in the Ordinary Course; or (iii) the entering into of any Guarantee of, or other contingent obligation with respect to, Indebtedness or other liability of any other Person and (without duplication) any amount committed to be advanced, lent or extended to such Person. The amount of an Investment shall be the amount actually invested (which, in the case of any Investment constituting the contribution of an asset or property, shall be based on such Person’s good faith estimate of the fair market value of such asset or property at the time such Investment is made), less the amount of cash received or returned for such Investment, without adjustment for subsequent increases or decreases in the value of such Investment or write-ups, write-downs or write-offs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such amount be less than zero or increase any basket or amount pursuant to </w:t>
      </w:r>
      <w:r>
        <w:rPr>
          <w:rFonts w:ascii="Arial" w:cs="Arial" w:eastAsia="Arial" w:hAnsi="Arial"/>
          <w:sz w:val="17"/>
          <w:szCs w:val="17"/>
          <w:b w:val="1"/>
          <w:bCs w:val="1"/>
          <w:color w:val="auto"/>
        </w:rPr>
        <w:t>Section 9.05</w:t>
      </w:r>
      <w:r>
        <w:rPr>
          <w:rFonts w:ascii="Arial" w:cs="Arial" w:eastAsia="Arial" w:hAnsi="Arial"/>
          <w:sz w:val="17"/>
          <w:szCs w:val="17"/>
          <w:color w:val="auto"/>
        </w:rPr>
        <w:t xml:space="preserve"> above the fixed amount set forth therein.</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IOPIDINE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Schedule 4</w:t>
      </w:r>
      <w:r>
        <w:rPr>
          <w:rFonts w:ascii="Arial" w:cs="Arial" w:eastAsia="Arial" w:hAnsi="Arial"/>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IRS</w:t>
      </w:r>
      <w:r>
        <w:rPr>
          <w:rFonts w:ascii="Arial" w:cs="Arial" w:eastAsia="Arial" w:hAnsi="Arial"/>
          <w:sz w:val="16"/>
          <w:szCs w:val="16"/>
          <w:color w:val="auto"/>
        </w:rPr>
        <w:t>” means the U.S. Internal Revenue Service or any successor agency, and to the extent relevant, the U.S. Department of the Treasury.</w:t>
      </w:r>
    </w:p>
    <w:p>
      <w:pPr>
        <w:spacing w:after="0" w:line="24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Joint Venture</w:t>
      </w:r>
      <w:r>
        <w:rPr>
          <w:rFonts w:ascii="Arial" w:cs="Arial" w:eastAsia="Arial" w:hAnsi="Arial"/>
          <w:sz w:val="18"/>
          <w:szCs w:val="18"/>
          <w:color w:val="auto"/>
        </w:rPr>
        <w:t>” means a joint venture, partnership or other similar arrangement, in corporate, partnership or similar legal form with a Person other than Borrower or its Subsidiaries.</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Key Person</w:t>
      </w:r>
      <w:r>
        <w:rPr>
          <w:rFonts w:ascii="Arial" w:cs="Arial" w:eastAsia="Arial" w:hAnsi="Arial"/>
          <w:sz w:val="18"/>
          <w:szCs w:val="18"/>
          <w:color w:val="auto"/>
        </w:rPr>
        <w:t>” means each of the Chief Financial Officer of Borrower, the Chief Executive Officer of Borrower and the Chief Commercial Officer of Borrower, which as of the Closing Date are Andrew Boll, Mark Baum, and John Saharek,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2" w:name="page83"/>
    <w:bookmarkEnd w:id="82"/>
    <w:p>
      <w:pPr>
        <w:jc w:val="both"/>
        <w:ind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Key Person Event</w:t>
      </w:r>
      <w:r>
        <w:rPr>
          <w:rFonts w:ascii="Arial" w:cs="Arial" w:eastAsia="Arial" w:hAnsi="Arial"/>
          <w:sz w:val="16"/>
          <w:szCs w:val="16"/>
          <w:color w:val="auto"/>
        </w:rPr>
        <w:t>” means, at any time, two (2) or more Key Persons cease to be employed by the Borrower, and Borrower shall fail, within one hundred eighty (180) days (or such longer period as the Administrative Agent may accept in its sole discretion) of the date that each such Person ceases to serve in such capacity, to appoint a replacement for such Person reasonably acceptable to the Administrative Agent. A Key Person shall be deemed not employed if they have resigned or provided notice of resignation or any period they are subject to any “gardening” or similar leave.</w:t>
      </w:r>
    </w:p>
    <w:p>
      <w:pPr>
        <w:spacing w:after="0" w:line="15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Landlord Consent</w:t>
      </w:r>
      <w:r>
        <w:rPr>
          <w:rFonts w:ascii="Arial" w:cs="Arial" w:eastAsia="Arial" w:hAnsi="Arial"/>
          <w:sz w:val="18"/>
          <w:szCs w:val="18"/>
          <w:color w:val="auto"/>
        </w:rPr>
        <w:t>” means, with respect to locations in the United States, a Landlord Consent substantially in the form attached to the Security Agreement, or with respect to locations in and outside of the United States, a landlord consent or similar document in form and substance satisfactory to the Administrative Agent.</w:t>
      </w:r>
    </w:p>
    <w:p>
      <w:pPr>
        <w:spacing w:after="0" w:line="184"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Law</w:t>
      </w:r>
      <w:r>
        <w:rPr>
          <w:rFonts w:ascii="Arial" w:cs="Arial" w:eastAsia="Arial" w:hAnsi="Arial"/>
          <w:sz w:val="16"/>
          <w:szCs w:val="16"/>
          <w:color w:val="auto"/>
        </w:rPr>
        <w:t>” means, collectively, all U.S. and non-U.S. federal, state, provincial, territorial, municipal or local statute, treaty, rule, guideline, regulation, ordinance, code or administrative or judicial precedent or authority, including any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Lien</w:t>
      </w:r>
      <w:r>
        <w:rPr>
          <w:rFonts w:ascii="Arial" w:cs="Arial" w:eastAsia="Arial" w:hAnsi="Arial"/>
          <w:sz w:val="17"/>
          <w:szCs w:val="17"/>
          <w:color w:val="auto"/>
        </w:rPr>
        <w:t>” means (a) any mortgage, lien, license, pledge, hypothecation, charge, security interest, or other encumbrance of any kind or character whatsoever, whether or not filed, recorded or otherwise perfected under applicable Law, or any lease, title retention agreement, mortgage, restriction, easement, right-of-way, option or adverse claim (of ownership or possession) (including any conditional sale or other title retention agreement, any lease in the nature thereof, and any other encumbrance on title to real property, any option or other agreement to sell, or give a security interest in, such asset and any filing of or agreement to give any financing statement under the Uniform Commercial Code (or equivalent statutes of any jurisdiction)) or any preferential arrangement that has the practical effect of creating a security interest and (b) in the case of Equity Interests, any purchase option, call or similar right of a third party with respect to such Equity Interests.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Loan</w:t>
      </w:r>
      <w:r>
        <w:rPr>
          <w:rFonts w:ascii="Arial" w:cs="Arial" w:eastAsia="Arial" w:hAnsi="Arial"/>
          <w:sz w:val="18"/>
          <w:szCs w:val="18"/>
          <w:color w:val="auto"/>
        </w:rPr>
        <w:t xml:space="preserve">” means each loan advanced by a Lender pursuant to </w:t>
      </w:r>
      <w:r>
        <w:rPr>
          <w:rFonts w:ascii="Arial" w:cs="Arial" w:eastAsia="Arial" w:hAnsi="Arial"/>
          <w:sz w:val="18"/>
          <w:szCs w:val="18"/>
          <w:b w:val="1"/>
          <w:bCs w:val="1"/>
          <w:color w:val="auto"/>
        </w:rPr>
        <w:t>Section 2.01</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Loan Documents</w:t>
      </w:r>
      <w:r>
        <w:rPr>
          <w:rFonts w:ascii="Arial" w:cs="Arial" w:eastAsia="Arial" w:hAnsi="Arial"/>
          <w:sz w:val="18"/>
          <w:szCs w:val="18"/>
          <w:color w:val="auto"/>
        </w:rPr>
        <w:t>” means, collectively, this Agreement, the Notes, the First Amendment, the Security Documents, the Perfection Certificate, the Closing Date Fee Letter, the First Amendment Fee Letter, any Guarantee Assumption Agreement, the Intercompany Subordination Agreement, and any subordination agreement, intercreditor agreement or other present or future document, instrument, agreement or certificate delivered to the Administrative Agent (for itself or for the benefit of any other Secured Party) in connection with this Agreement or any of the other Loan Documents, in each case, as amended or otherwise modified.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Loans Schedule</w:t>
      </w:r>
      <w:r>
        <w:rPr>
          <w:rFonts w:ascii="Arial" w:cs="Arial" w:eastAsia="Arial" w:hAnsi="Arial"/>
          <w:sz w:val="18"/>
          <w:szCs w:val="18"/>
          <w:color w:val="auto"/>
        </w:rPr>
        <w:t xml:space="preserve">” means </w:t>
      </w:r>
      <w:r>
        <w:rPr>
          <w:rFonts w:ascii="Arial" w:cs="Arial" w:eastAsia="Arial" w:hAnsi="Arial"/>
          <w:sz w:val="18"/>
          <w:szCs w:val="18"/>
          <w:b w:val="1"/>
          <w:bCs w:val="1"/>
          <w:color w:val="auto"/>
        </w:rPr>
        <w:t>Schedule 1</w:t>
      </w:r>
      <w:r>
        <w:rPr>
          <w:rFonts w:ascii="Arial" w:cs="Arial" w:eastAsia="Arial" w:hAnsi="Arial"/>
          <w:sz w:val="18"/>
          <w:szCs w:val="18"/>
          <w:color w:val="auto"/>
        </w:rPr>
        <w:t xml:space="preserve"> attached hereto.</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3" w:name="page84"/>
    <w:bookmarkEnd w:id="83"/>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Loss</w:t>
      </w:r>
      <w:r>
        <w:rPr>
          <w:rFonts w:ascii="Arial" w:cs="Arial" w:eastAsia="Arial" w:hAnsi="Arial"/>
          <w:sz w:val="18"/>
          <w:szCs w:val="18"/>
          <w:color w:val="auto"/>
        </w:rPr>
        <w:t>” means judgments, debts, liabilities, expenses, costs, damages or losses, contingent or otherwise, whether liquidated or unliquidated, matured or unmatured, disputed or undisputed, contractual, legal or equitable, including loss of value, professional fees, including fees and disbursements of legal counsel on a full indemnity basis, and all costs incurred in investigating or pursuing any Claim or any proceeding relating to any Claim.</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Majority Lenders</w:t>
      </w:r>
      <w:r>
        <w:rPr>
          <w:rFonts w:ascii="Arial" w:cs="Arial" w:eastAsia="Arial" w:hAnsi="Arial"/>
          <w:sz w:val="18"/>
          <w:szCs w:val="18"/>
          <w:color w:val="auto"/>
        </w:rPr>
        <w:t xml:space="preserve">” means, at any time, Lenders having at such time in excess of fifty percent (50%) of the aggregate unused Commitments then in effect and the outstanding principal amount of the Loans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that, so long as the Oaktree Lenders own at least twenty-five percent (25%) of the aggregate unused Commitments then in effect and the outstanding principal amount of the Loans at such time, the consent of the Oaktree Lenders shall be required to constitute the Majority Lenders. The Commitments of any Defaulting Lender shall be disregarded in determining Majority Lenders at any time.</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Make-Whole Discounted Value</w:t>
      </w:r>
      <w:r>
        <w:rPr>
          <w:rFonts w:ascii="Arial" w:cs="Arial" w:eastAsia="Arial" w:hAnsi="Arial"/>
          <w:sz w:val="18"/>
          <w:szCs w:val="18"/>
          <w:color w:val="auto"/>
        </w:rPr>
        <w:t>” means the amount obtained by discounting all Make-Whole Remaining Scheduled Payments with respect to the principal amount of such Loan being paid or prepaid to the Maturity Date, as determined by the Administrative Agent at a discount factor equal to the Make-Whole Reinvestment Yield.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Make-Whole Remaining Scheduled Payments</w:t>
      </w:r>
      <w:r>
        <w:rPr>
          <w:rFonts w:ascii="Arial" w:cs="Arial" w:eastAsia="Arial" w:hAnsi="Arial"/>
          <w:sz w:val="18"/>
          <w:szCs w:val="18"/>
          <w:color w:val="auto"/>
        </w:rPr>
        <w:t>” means all interest payments on the principal amount of the Loan being paid or prepaid that would be due on or prior to the Maturity Date with respect to such amount.</w:t>
      </w:r>
    </w:p>
    <w:p>
      <w:pPr>
        <w:spacing w:after="0" w:line="17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Make-Whole Reinvestment Yield</w:t>
      </w:r>
      <w:r>
        <w:rPr>
          <w:rFonts w:ascii="Arial" w:cs="Arial" w:eastAsia="Arial" w:hAnsi="Arial"/>
          <w:sz w:val="18"/>
          <w:szCs w:val="18"/>
          <w:color w:val="auto"/>
        </w:rPr>
        <w:t xml:space="preserve">” means, as determined by the Administrative Agent, 0.50% over the yield to maturity of the most recently issued United States Treasury securities with a constant maturity (as compiled and published in the most recent Federal Reserve Statistical Release H.15 (or is obtainable from the Federal Reserve System’s Data Download Program as of the date of such H.15) that has become publicly available at least two Business Days prior to such date (or, if such Statistical Release is no longer published, any publicly available source of similar market data)) most nearly equal to the period from such date of payment or prepayment to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period from such date payment or prepayment to the Maturity Date is less than one year, the weekly average yield on actually traded United States Treasury securities adjusted to a constant maturity of one year will be used.</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Mandatory Prepayment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3.03(b)(i)(A)</w:t>
      </w:r>
      <w:r>
        <w:rPr>
          <w:rFonts w:ascii="Arial" w:cs="Arial" w:eastAsia="Arial" w:hAnsi="Arial"/>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Margin Stock</w:t>
      </w:r>
      <w:r>
        <w:rPr>
          <w:rFonts w:ascii="Arial" w:cs="Arial" w:eastAsia="Arial" w:hAnsi="Arial"/>
          <w:sz w:val="18"/>
          <w:szCs w:val="18"/>
          <w:color w:val="auto"/>
        </w:rPr>
        <w:t>” means “margin stock” within the meaning of Regulations U and X.</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Adverse Change</w:t>
      </w:r>
      <w:r>
        <w:rPr>
          <w:rFonts w:ascii="Arial" w:cs="Arial" w:eastAsia="Arial" w:hAnsi="Arial"/>
          <w:sz w:val="18"/>
          <w:szCs w:val="18"/>
          <w:color w:val="auto"/>
        </w:rPr>
        <w:t>” and “</w:t>
      </w:r>
      <w:r>
        <w:rPr>
          <w:rFonts w:ascii="Arial" w:cs="Arial" w:eastAsia="Arial" w:hAnsi="Arial"/>
          <w:sz w:val="18"/>
          <w:szCs w:val="18"/>
          <w:b w:val="1"/>
          <w:bCs w:val="1"/>
          <w:i w:val="1"/>
          <w:iCs w:val="1"/>
          <w:color w:val="auto"/>
        </w:rPr>
        <w:t>Material Adverse Effect</w:t>
      </w:r>
      <w:r>
        <w:rPr>
          <w:rFonts w:ascii="Arial" w:cs="Arial" w:eastAsia="Arial" w:hAnsi="Arial"/>
          <w:sz w:val="18"/>
          <w:szCs w:val="18"/>
          <w:color w:val="auto"/>
        </w:rPr>
        <w:t>” mean a material adverse change in or effect on (i) the business, financial performance, operations, financial condition, assets or liabilities of the Borrower and its Subsidiaries taken as a whole, (ii) the ability of the Obligors, taken as a whole, to perform their payment obligations under the Loan Documents, as and when due, (iii) the legality, validity, binding effect or enforceability of any Loan Document or (iv) the rights, remedies and benefits available to, or conferred upon, the Administrative Agent or the Secured Parties under any Loan Document.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4" w:name="page85"/>
    <w:bookmarkEnd w:id="84"/>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Agreement</w:t>
      </w:r>
      <w:r>
        <w:rPr>
          <w:rFonts w:ascii="Arial" w:cs="Arial" w:eastAsia="Arial" w:hAnsi="Arial"/>
          <w:sz w:val="18"/>
          <w:szCs w:val="18"/>
          <w:color w:val="auto"/>
        </w:rPr>
        <w:t>” means any Contract required to be disclosed (including amendments thereto) under regulations promulgated under the Securities Act of 1933 or Securities Exchange Act of 1934, as may be amended.</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Environmental Liability</w:t>
      </w:r>
      <w:r>
        <w:rPr>
          <w:rFonts w:ascii="Arial" w:cs="Arial" w:eastAsia="Arial" w:hAnsi="Arial"/>
          <w:sz w:val="18"/>
          <w:szCs w:val="18"/>
          <w:color w:val="auto"/>
        </w:rPr>
        <w:t>” means any Environmental Liability that has had or would reasonably be expected to have a Material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Adverse Effect.</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Indebtedness</w:t>
      </w:r>
      <w:r>
        <w:rPr>
          <w:rFonts w:ascii="Arial" w:cs="Arial" w:eastAsia="Arial" w:hAnsi="Arial"/>
          <w:sz w:val="18"/>
          <w:szCs w:val="18"/>
          <w:color w:val="auto"/>
        </w:rPr>
        <w:t>” means, at any time (a) the Existing Notes and (b) any other Indebtedness of any Obligor or Subsidiary thereof, the outstanding principal amount of which, individually or in the aggregate, exceeds $5,000,000.</w:t>
      </w:r>
    </w:p>
    <w:p>
      <w:pPr>
        <w:spacing w:after="0" w:line="170"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Material Intellectual Property</w:t>
      </w:r>
      <w:r>
        <w:rPr>
          <w:rFonts w:ascii="Arial" w:cs="Arial" w:eastAsia="Arial" w:hAnsi="Arial"/>
          <w:sz w:val="17"/>
          <w:szCs w:val="17"/>
          <w:color w:val="auto"/>
        </w:rPr>
        <w:t>” means all Intellectual Property, whether currently owned by (or purported to be owned by), or subject to a license, covenant not to sue or similar right or immunity to (or purported to be subject to a license, covenant not to sue or similar right or immunity to) the Borrower or any of its Subsidiaries, or acquired, developed, obtained by, or otherwise subject to a license, covenant not to sue or similar right or immunity to the Borrower or any of its Subsidiaries after the date hereof that is, in each case, material to the current, planned, or anticipated business of the Borrower or any of its Subsidiaries. As of the Closing Date, Material Intellectual Property includes all Intellectual Property material to any Product (including Product Commercialization and Development Activities with respect to such Products).</w:t>
      </w:r>
    </w:p>
    <w:p>
      <w:pPr>
        <w:spacing w:after="0" w:line="17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Product Authorizations</w:t>
      </w:r>
      <w:r>
        <w:rPr>
          <w:rFonts w:ascii="Arial" w:cs="Arial" w:eastAsia="Arial" w:hAnsi="Arial"/>
          <w:sz w:val="18"/>
          <w:szCs w:val="18"/>
          <w:color w:val="auto"/>
        </w:rPr>
        <w:t>” means any and all Product Authorizations, in each case, necessary to be held or maintained by, or for the benefit of, any Obligor or any of its Subsidiaries for any Product Commercialization and Development Activities that is, in each case, material to the current, planned, or anticipated business of the Borrower or any of its Subsidiaries.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Subsidiary</w:t>
      </w:r>
      <w:r>
        <w:rPr>
          <w:rFonts w:ascii="Arial" w:cs="Arial" w:eastAsia="Arial" w:hAnsi="Arial"/>
          <w:sz w:val="18"/>
          <w:szCs w:val="18"/>
          <w:color w:val="auto"/>
        </w:rPr>
        <w:t>” means any Subsidiary of the Borrower that is not an Immaterial Subsidiary.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 means January 19, 2026.</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MAXIDEX</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Schedule 4</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MAXITROL</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Schedule 4</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Medicaid</w:t>
      </w:r>
      <w:r>
        <w:rPr>
          <w:rFonts w:ascii="Arial" w:cs="Arial" w:eastAsia="Arial" w:hAnsi="Arial"/>
          <w:sz w:val="18"/>
          <w:szCs w:val="18"/>
          <w:color w:val="auto"/>
        </w:rPr>
        <w:t>” means that government-sponsored entitlement program under Title XIX, P.L. 89-97 of the Social Security Act, which provides federal grants to states for medical assistance based on specific eligibility criteria, as set forth on Section 1396, et seq. of Title 42 of the United States Code.</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Medicare</w:t>
      </w:r>
      <w:r>
        <w:rPr>
          <w:rFonts w:ascii="Arial" w:cs="Arial" w:eastAsia="Arial" w:hAnsi="Arial"/>
          <w:sz w:val="18"/>
          <w:szCs w:val="18"/>
          <w:color w:val="auto"/>
        </w:rPr>
        <w:t>” means that government-sponsored insurance program under Title XVIII, P.L. 89-97, of the Social Security Act, which provides for a health insurance system for eligible elderly and disabled individuals, as set forth at Section 1395, et seq. of Title 42 of the United States Code.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5" w:name="page86"/>
    <w:bookmarkEnd w:id="85"/>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Melt Note</w:t>
      </w:r>
      <w:r>
        <w:rPr>
          <w:rFonts w:ascii="Arial" w:cs="Arial" w:eastAsia="Arial" w:hAnsi="Arial"/>
          <w:sz w:val="18"/>
          <w:szCs w:val="18"/>
          <w:color w:val="auto"/>
        </w:rPr>
        <w:t>” means that certain Secured Term Note dated September 1, 2021 in the original principal amount of $13,500,000 (as has been and may be further increased by PIK interest) by Melt Pharmaceuticals, Inc. in favor of Borrower.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Minimum Liquidity Amount</w:t>
      </w:r>
      <w:r>
        <w:rPr>
          <w:rFonts w:ascii="Arial" w:cs="Arial" w:eastAsia="Arial" w:hAnsi="Arial"/>
          <w:sz w:val="18"/>
          <w:szCs w:val="18"/>
          <w:color w:val="auto"/>
        </w:rPr>
        <w:t>” means $15,000,000.</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Minimum Net Revenues</w:t>
      </w:r>
      <w:r>
        <w:rPr>
          <w:rFonts w:ascii="Arial" w:cs="Arial" w:eastAsia="Arial" w:hAnsi="Arial"/>
          <w:sz w:val="17"/>
          <w:szCs w:val="17"/>
          <w:color w:val="auto"/>
        </w:rPr>
        <w:t xml:space="preserve">” means, with respect to each date that the Minimum Net Revenues Covenant is tested, (i) if the first TRIESENCE Commercial Batch Release (as defined in the Novartis Purchase Agreement) has not occurred prior to such date for sales and marketing in the United States, the amount set forth on </w:t>
      </w:r>
      <w:r>
        <w:rPr>
          <w:rFonts w:ascii="Arial" w:cs="Arial" w:eastAsia="Arial" w:hAnsi="Arial"/>
          <w:sz w:val="17"/>
          <w:szCs w:val="17"/>
          <w:b w:val="1"/>
          <w:bCs w:val="1"/>
          <w:color w:val="auto"/>
        </w:rPr>
        <w:t>Schedule 2</w:t>
      </w:r>
      <w:r>
        <w:rPr>
          <w:rFonts w:ascii="Arial" w:cs="Arial" w:eastAsia="Arial" w:hAnsi="Arial"/>
          <w:sz w:val="17"/>
          <w:szCs w:val="17"/>
          <w:color w:val="auto"/>
        </w:rPr>
        <w:t xml:space="preserve"> under the caption “Minimum Net Revenues (Excluding TRIESENCE)” and (ii) if the first TRIESENCE Commercial Batch Release (as defined in the Novartis Purchase Agreement) has occurred prior to such date for sales and marketing in the United States, the amount set forth on </w:t>
      </w:r>
      <w:r>
        <w:rPr>
          <w:rFonts w:ascii="Arial" w:cs="Arial" w:eastAsia="Arial" w:hAnsi="Arial"/>
          <w:sz w:val="17"/>
          <w:szCs w:val="17"/>
          <w:b w:val="1"/>
          <w:bCs w:val="1"/>
          <w:color w:val="auto"/>
        </w:rPr>
        <w:t>Schedule 2</w:t>
      </w:r>
      <w:r>
        <w:rPr>
          <w:rFonts w:ascii="Arial" w:cs="Arial" w:eastAsia="Arial" w:hAnsi="Arial"/>
          <w:sz w:val="17"/>
          <w:szCs w:val="17"/>
          <w:color w:val="auto"/>
        </w:rPr>
        <w:t xml:space="preserve"> under the caption “Minimum Net Revenues (Including TRIESENCE)”.</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Minimum Net Revenues Covenant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10.02</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Minimum Net Revenues Cure Right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11.04</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MOXEZA</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Schedule 4</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Multiemployer Plan</w:t>
      </w:r>
      <w:r>
        <w:rPr>
          <w:rFonts w:ascii="Arial" w:cs="Arial" w:eastAsia="Arial" w:hAnsi="Arial"/>
          <w:sz w:val="18"/>
          <w:szCs w:val="18"/>
          <w:color w:val="auto"/>
        </w:rPr>
        <w:t>” means any multiemployer plan, as defined in Section 400l(a)(3) of ERISA, to which any ERISA Affiliate incurs or otherwise has any obligation or liability, contingent or otherwise.</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NATACYN</w:t>
      </w:r>
      <w:r>
        <w:rPr>
          <w:rFonts w:ascii="Arial" w:cs="Arial" w:eastAsia="Arial" w:hAnsi="Arial"/>
          <w:sz w:val="18"/>
          <w:szCs w:val="18"/>
          <w:color w:val="auto"/>
        </w:rPr>
        <w:t>” (5% natamycin) is indicated for the treatment of fungal blepharitis, conjunctivitis, and keratitis caused by susceptible organisms including Fusarium solani keratitis 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NDA</w:t>
      </w:r>
      <w:r>
        <w:rPr>
          <w:rFonts w:ascii="Arial" w:cs="Arial" w:eastAsia="Arial" w:hAnsi="Arial"/>
          <w:sz w:val="18"/>
          <w:szCs w:val="18"/>
          <w:color w:val="auto"/>
        </w:rPr>
        <w:t>” means (i) (x) a new drug application (as defined in the FD&amp;C Act) and (y) any similar application or functional equivalent relating to any new drug application applicable to or required by any non-U.S. country, jurisdiction or Governmental Authority, and (ii) all supplements and amendments that may be filed with respect to any of the foregoing.</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NEVANAC</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Schedule 4</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6" w:name="page87"/>
    <w:bookmarkEnd w:id="86"/>
    <w:p>
      <w:pPr>
        <w:jc w:val="both"/>
        <w:ind w:firstLine="129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Net Cash Proceeds</w:t>
      </w:r>
      <w:r>
        <w:rPr>
          <w:rFonts w:ascii="Arial" w:cs="Arial" w:eastAsia="Arial" w:hAnsi="Arial"/>
          <w:sz w:val="16"/>
          <w:szCs w:val="16"/>
          <w:color w:val="auto"/>
        </w:rPr>
        <w:t xml:space="preserve">” means, (i) with respect to any Casualty Event experienced or suffered by any Obligor or any of its Subsidiaries, the amount of cash proceeds received from time to time by or on behalf of such Person in respect thereof after deducting therefrom only (w) reasonable costs and expenses related thereto incurred by such Obligor or such Subsidiary in connection therewith, (x) Taxes (including transfer Taxes or net income Taxes) paid or reasonably estimated to be payable in connection therewith, (y) reasonable reserves established for liabilities estimated to be payable in respect of such Casualty Event and deposited into escrow with a third party escrow agent on terms reasonably acceptable to the Administrative Agent or set aside in a separate deposit account that is subject to a Control Agreement in favor of the Administrative Agent and (z) any amounts required to be used to prepay Permitted Indebtedness pursuant to </w:t>
      </w:r>
      <w:r>
        <w:rPr>
          <w:rFonts w:ascii="Arial" w:cs="Arial" w:eastAsia="Arial" w:hAnsi="Arial"/>
          <w:sz w:val="16"/>
          <w:szCs w:val="16"/>
          <w:b w:val="1"/>
          <w:bCs w:val="1"/>
          <w:color w:val="auto"/>
        </w:rPr>
        <w:t>Sections 9.01(i) and 9.01(k)</w:t>
      </w:r>
      <w:r>
        <w:rPr>
          <w:rFonts w:ascii="Arial" w:cs="Arial" w:eastAsia="Arial" w:hAnsi="Arial"/>
          <w:sz w:val="16"/>
          <w:szCs w:val="16"/>
          <w:color w:val="auto"/>
        </w:rPr>
        <w:t xml:space="preserve"> secured by the assets subject to such Casualty Event (other than (A) Indebtedness owing to the Administrative Agent or any Lender under this Agreement or the other Loan Documents and (B) Indebtedness assumed by the purchaser of such asset); and (ii) with respect to any Asset Sale by any Obligor or any of its Subsidiaries, the amount of cash proceeds received from time to time by or on behalf of such Person in respect thereof after deducting therefrom only (w) reasonable costs and expenses related thereto incurred by such Obligor or such Subsidiary in connection therewith, (x) Taxes (including transfer Taxes or net income Taxes) paid or reasonably expected to be payable in connection therewith, (y) reasonable reserves established for liabilities estimated to be payable in respect of such Asset Sale and deposited into escrow with a third party escrow agent on terms reasonably acceptable to the Administrative Agent or set aside in a separate deposit account that is subject to a Control Agreement in favor of the Administrative Agent and (z) any amounts required to be used to prepay Permitted Indebtedness pursuant to </w:t>
      </w:r>
      <w:r>
        <w:rPr>
          <w:rFonts w:ascii="Arial" w:cs="Arial" w:eastAsia="Arial" w:hAnsi="Arial"/>
          <w:sz w:val="16"/>
          <w:szCs w:val="16"/>
          <w:b w:val="1"/>
          <w:bCs w:val="1"/>
          <w:color w:val="auto"/>
        </w:rPr>
        <w:t>Sections 9.01(i)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9.01(k) </w:t>
      </w:r>
      <w:r>
        <w:rPr>
          <w:rFonts w:ascii="Arial" w:cs="Arial" w:eastAsia="Arial" w:hAnsi="Arial"/>
          <w:sz w:val="16"/>
          <w:szCs w:val="16"/>
          <w:color w:val="auto"/>
        </w:rPr>
        <w:t>secured by the assets subject to such Asset Sale (other than (A) Indebtedness owing to the Administrative Agent or any Lender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or the other Loan Documents and (B) Indebtedness assumed by the purchaser of such asset);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of </w:t>
      </w:r>
      <w:r>
        <w:rPr>
          <w:rFonts w:ascii="Arial" w:cs="Arial" w:eastAsia="Arial" w:hAnsi="Arial"/>
          <w:sz w:val="16"/>
          <w:szCs w:val="16"/>
          <w:b w:val="1"/>
          <w:bCs w:val="1"/>
          <w:color w:val="auto"/>
        </w:rPr>
        <w:t>clauses (i)</w:t>
      </w:r>
      <w:r>
        <w:rPr>
          <w:rFonts w:ascii="Arial" w:cs="Arial" w:eastAsia="Arial" w:hAnsi="Arial"/>
          <w:sz w:val="16"/>
          <w:szCs w:val="16"/>
          <w:color w:val="auto"/>
        </w:rPr>
        <w:t xml:space="preserve"> and </w:t>
      </w:r>
      <w:r>
        <w:rPr>
          <w:rFonts w:ascii="Arial" w:cs="Arial" w:eastAsia="Arial" w:hAnsi="Arial"/>
          <w:sz w:val="16"/>
          <w:szCs w:val="16"/>
          <w:b w:val="1"/>
          <w:bCs w:val="1"/>
          <w:color w:val="auto"/>
        </w:rPr>
        <w:t>(ii)</w:t>
      </w:r>
      <w:r>
        <w:rPr>
          <w:rFonts w:ascii="Arial" w:cs="Arial" w:eastAsia="Arial" w:hAnsi="Arial"/>
          <w:sz w:val="16"/>
          <w:szCs w:val="16"/>
          <w:color w:val="auto"/>
        </w:rPr>
        <w:t>, costs and expenses shall only be deducted to the extent, that the amounts so deducted are (x) actually paid or payable to a Person that is not an Affiliate of any Obligor or any of its Subsidiaries and (y) properly attributable to such Casualty Event or Asset Sale, as the case may be.</w:t>
      </w:r>
    </w:p>
    <w:p>
      <w:pPr>
        <w:spacing w:after="0" w:line="17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Revenues</w:t>
      </w:r>
      <w:r>
        <w:rPr>
          <w:rFonts w:ascii="Arial" w:cs="Arial" w:eastAsia="Arial" w:hAnsi="Arial"/>
          <w:sz w:val="18"/>
          <w:szCs w:val="18"/>
          <w:color w:val="auto"/>
        </w:rPr>
        <w:t xml:space="preserve">” means, for any period, the consolidated net revenue of Borrower and its Subsidiaries derived from pharmaceutical and device products, as determined in accordance with GAAP (as the same is in effect on the Closing Date and without giving effect to any subsequent amendments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Net Revenues include any upfront and milestone payments or similar non-recurring payment made in connection with any commercial contract received by such Borrower or Subsidiary.</w:t>
      </w:r>
    </w:p>
    <w:p>
      <w:pPr>
        <w:spacing w:after="0" w:line="187"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Net Revenues Cure Payment</w:t>
      </w:r>
      <w:r>
        <w:rPr>
          <w:rFonts w:ascii="Arial" w:cs="Arial" w:eastAsia="Arial" w:hAnsi="Arial"/>
          <w:sz w:val="16"/>
          <w:szCs w:val="16"/>
          <w:color w:val="auto"/>
        </w:rPr>
        <w:t>” means, with respect to any fiscal quarter of the Borrower to which the Minimum Net Revenues Covenant applies, the greatest of (i) the Net Revenues Shortfall Amount, (ii) 10.0% of the outstanding principal amount of the Obligations and (iii) $10,000,000.</w:t>
      </w:r>
    </w:p>
    <w:p>
      <w:pPr>
        <w:spacing w:after="0" w:line="124"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Net Revenues Shortfall Amount</w:t>
      </w:r>
      <w:r>
        <w:rPr>
          <w:rFonts w:ascii="Arial" w:cs="Arial" w:eastAsia="Arial" w:hAnsi="Arial"/>
          <w:sz w:val="17"/>
          <w:szCs w:val="17"/>
          <w:color w:val="auto"/>
        </w:rPr>
        <w:t>” means, with respect to any fiscal quarter of the Borrower to which the Minimum Net Revenues Covenant applies, the amount (if any) by which the Minimum Net Revenues for such fiscal quarter exceed the Net Revenues for such fiscal quarter.</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NJ Reinvestment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3.03(b)(i)(C)</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w:t>
      </w:r>
      <w:r>
        <w:rPr>
          <w:rFonts w:ascii="Arial" w:cs="Arial" w:eastAsia="Arial" w:hAnsi="Arial"/>
          <w:sz w:val="18"/>
          <w:szCs w:val="18"/>
          <w:color w:val="auto"/>
        </w:rPr>
        <w:t xml:space="preserve">” means a promissory note, in substantially the form of </w:t>
      </w:r>
      <w:r>
        <w:rPr>
          <w:rFonts w:ascii="Arial" w:cs="Arial" w:eastAsia="Arial" w:hAnsi="Arial"/>
          <w:sz w:val="18"/>
          <w:szCs w:val="18"/>
          <w:b w:val="1"/>
          <w:bCs w:val="1"/>
          <w:color w:val="auto"/>
        </w:rPr>
        <w:t>Exhibit H</w:t>
      </w:r>
      <w:r>
        <w:rPr>
          <w:rFonts w:ascii="Arial" w:cs="Arial" w:eastAsia="Arial" w:hAnsi="Arial"/>
          <w:sz w:val="18"/>
          <w:szCs w:val="18"/>
          <w:color w:val="auto"/>
        </w:rPr>
        <w:t xml:space="preserve"> hereto, executed and delivered by the Borrower to any Lender in accordance with </w:t>
      </w:r>
      <w:r>
        <w:rPr>
          <w:rFonts w:ascii="Arial" w:cs="Arial" w:eastAsia="Arial" w:hAnsi="Arial"/>
          <w:sz w:val="18"/>
          <w:szCs w:val="18"/>
          <w:b w:val="1"/>
          <w:bCs w:val="1"/>
          <w:color w:val="auto"/>
        </w:rPr>
        <w:t>Section 2.04</w:t>
      </w:r>
      <w:r>
        <w:rPr>
          <w:rFonts w:ascii="Arial" w:cs="Arial" w:eastAsia="Arial" w:hAnsi="Arial"/>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of Intent to Cure Net Revenues Covenant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11.04</w:t>
      </w:r>
      <w:r>
        <w:rPr>
          <w:rFonts w:ascii="Arial" w:cs="Arial" w:eastAsia="Arial" w:hAnsi="Arial"/>
          <w:sz w:val="18"/>
          <w:szCs w:val="18"/>
          <w:color w:val="auto"/>
        </w:rPr>
        <w:t>.</w:t>
      </w:r>
    </w:p>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Novartis Milestone Payment</w:t>
      </w:r>
      <w:r>
        <w:rPr>
          <w:rFonts w:ascii="Arial" w:cs="Arial" w:eastAsia="Arial" w:hAnsi="Arial"/>
          <w:sz w:val="18"/>
          <w:szCs w:val="18"/>
          <w:color w:val="auto"/>
        </w:rPr>
        <w:t>” means the “Additional Consideration” as defined in the Novartis Purchase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7" w:name="page88"/>
    <w:bookmarkEnd w:id="87"/>
    <w:p>
      <w:pPr>
        <w:jc w:val="both"/>
        <w:ind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Novartis Purchase Agreement</w:t>
      </w:r>
      <w:r>
        <w:rPr>
          <w:rFonts w:ascii="Arial" w:cs="Arial" w:eastAsia="Arial" w:hAnsi="Arial"/>
          <w:sz w:val="16"/>
          <w:szCs w:val="16"/>
          <w:color w:val="auto"/>
        </w:rPr>
        <w:t>” means the Asset Purchase Agreement, dated as of December 13, 2022, among the Borrower, Harrow Eye, LLC, Harrow IP, LLC, Novartis Technology, LLC and Novartis Innovative Therapies AG, as in effect on the Closing Date, or as amended, restated, amended and restated, supplemented or otherwise modified in any manner not adverse in any material respect to the Administrative Agent and the Lenders.</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NY UCC</w:t>
      </w:r>
      <w:r>
        <w:rPr>
          <w:rFonts w:ascii="Arial" w:cs="Arial" w:eastAsia="Arial" w:hAnsi="Arial"/>
          <w:sz w:val="18"/>
          <w:szCs w:val="18"/>
          <w:color w:val="auto"/>
        </w:rPr>
        <w:t>” means the UCC as in effect from time to time in the State of New York.</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Oaktree Lender</w:t>
      </w:r>
      <w:r>
        <w:rPr>
          <w:rFonts w:ascii="Arial" w:cs="Arial" w:eastAsia="Arial" w:hAnsi="Arial"/>
          <w:sz w:val="18"/>
          <w:szCs w:val="18"/>
          <w:color w:val="auto"/>
        </w:rPr>
        <w:t>” means any Lender that is an Affiliate or managed fund or account of Oaktree Capital Management, L.P.</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Obligations</w:t>
      </w:r>
      <w:r>
        <w:rPr>
          <w:rFonts w:ascii="Arial" w:cs="Arial" w:eastAsia="Arial" w:hAnsi="Arial"/>
          <w:sz w:val="17"/>
          <w:szCs w:val="17"/>
          <w:color w:val="auto"/>
        </w:rPr>
        <w:t>” means, with respect to any Obligor, all amounts, obligations, liabilities, covenants and duties of every type and description owing by such Obligor to any Secured Party (including all Guaranteed Obligations) or any other indemnitee hereunder or any participant, in each case, arising out of, under, or in connection with, any Loan Document, whether direct or indirect (regardless of whether acquired by assignment), absolute or contingent, due or to become due, whether liquidated or not, now existing or hereafter arising and however acquired, and whether or not evidenced by any instrument or for the payment of money, including, without duplication, (i) if such Obligor is the Borrower, all Loans, (ii) all interest, whether or not accruing after the filing of any petition in bankruptcy or after the commencement of any insolvency, reorganization or similar proceeding, and whether or not a claim for post-filing or post-petition interest is allowed in any such proceeding, and (iii) all other fees, expenses (including fees, charges and disbursement of counsel), interest, Commitment Fees, Yield Protection Premium, Exit Fee, commissions, charges, costs, disbursements, indemnities and reimbursement of amounts paid and other sums chargeable to such Obligor under any Loan Document. Notwithstanding the foregoing, amounts, obligations and liabilities under the Warrants or any other right to invest in the Equity Interests of the Borrower shall not be included in the defined term “Obligations.”</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Obligors</w:t>
      </w:r>
      <w:r>
        <w:rPr>
          <w:rFonts w:ascii="Arial" w:cs="Arial" w:eastAsia="Arial" w:hAnsi="Arial"/>
          <w:sz w:val="17"/>
          <w:szCs w:val="17"/>
          <w:color w:val="auto"/>
        </w:rPr>
        <w:t>” means, collectively, the Borrower and the Subsidiary Guarantors and their respective successors and permitted assigns.</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OFAC</w:t>
      </w:r>
      <w:r>
        <w:rPr>
          <w:rFonts w:ascii="Arial" w:cs="Arial" w:eastAsia="Arial" w:hAnsi="Arial"/>
          <w:sz w:val="18"/>
          <w:szCs w:val="18"/>
          <w:color w:val="auto"/>
        </w:rPr>
        <w:t>” has the meaning assigned to such term in the definition of “Anti-Terrorism Laws”.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Course</w:t>
      </w:r>
      <w:r>
        <w:rPr>
          <w:rFonts w:ascii="Arial" w:cs="Arial" w:eastAsia="Arial" w:hAnsi="Arial"/>
          <w:sz w:val="18"/>
          <w:szCs w:val="18"/>
          <w:color w:val="auto"/>
        </w:rPr>
        <w:t>” means ordinary course of business or ordinary trade activities that are customary for similar businesses in the normal course of their ordinary operations and not while in financial distress.</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Organic Document</w:t>
      </w:r>
      <w:r>
        <w:rPr>
          <w:rFonts w:ascii="Arial" w:cs="Arial" w:eastAsia="Arial" w:hAnsi="Arial"/>
          <w:sz w:val="18"/>
          <w:szCs w:val="18"/>
          <w:color w:val="auto"/>
        </w:rPr>
        <w:t>” means, for any Person, such Person’s formation documents, including, as applicable, its certificate of incorporation, by-laws, certificate of partnership, partnership agreement, certificate of formation, limited liability agreement, operating agreement and all shareholder agreements, voting trusts and similar arrangements applicable to such Person’s Equity Interests, or any equivalent document of any of the foregoing.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8" w:name="page89"/>
    <w:bookmarkEnd w:id="88"/>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b w:val="1"/>
          <w:bCs w:val="1"/>
          <w:color w:val="auto"/>
        </w:rPr>
        <w:t>Section 5.04</w:t>
      </w:r>
      <w:r>
        <w:rPr>
          <w:rFonts w:ascii="Arial" w:cs="Arial" w:eastAsia="Arial" w:hAnsi="Arial"/>
          <w:sz w:val="18"/>
          <w:szCs w:val="18"/>
          <w:color w:val="auto"/>
        </w:rPr>
        <w:t>).</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14.05(e)</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 Register</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14.05(e)</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Patents</w:t>
      </w:r>
      <w:r>
        <w:rPr>
          <w:rFonts w:ascii="Arial" w:cs="Arial" w:eastAsia="Arial" w:hAnsi="Arial"/>
          <w:sz w:val="18"/>
          <w:szCs w:val="18"/>
          <w:color w:val="auto"/>
        </w:rPr>
        <w:t>” means all patents and patent applications, including the Inventions and improvements described and claimed therein, the reissues, divisionals, continuations, renewals, extensions, and continuations in part thereof, and all rights whatsoever accruing thereunder or pertaining to the foregoing throughout the world.</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Patriot Act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14.19</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Payment Date</w:t>
      </w:r>
      <w:r>
        <w:rPr>
          <w:rFonts w:ascii="Arial" w:cs="Arial" w:eastAsia="Arial" w:hAnsi="Arial"/>
          <w:sz w:val="18"/>
          <w:szCs w:val="18"/>
          <w:color w:val="auto"/>
        </w:rPr>
        <w:t>” means (i) the last Business Day of each March, June, September and December of each year, commencing on the first such date to occur after the Closing Date; and (ii) the Maturity Date.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Payment Recipient</w:t>
      </w:r>
      <w:r>
        <w:rPr>
          <w:rFonts w:ascii="Arial" w:cs="Arial" w:eastAsia="Arial" w:hAnsi="Arial"/>
          <w:sz w:val="18"/>
          <w:szCs w:val="18"/>
          <w:color w:val="auto"/>
        </w:rPr>
        <w:t xml:space="preserve">” has the meaning assigned to it in </w:t>
      </w:r>
      <w:r>
        <w:rPr>
          <w:rFonts w:ascii="Arial" w:cs="Arial" w:eastAsia="Arial" w:hAnsi="Arial"/>
          <w:sz w:val="18"/>
          <w:szCs w:val="18"/>
          <w:b w:val="1"/>
          <w:bCs w:val="1"/>
          <w:color w:val="auto"/>
        </w:rPr>
        <w:t>Section 12.13(a)</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Payor</w:t>
      </w:r>
      <w:r>
        <w:rPr>
          <w:rFonts w:ascii="Arial" w:cs="Arial" w:eastAsia="Arial" w:hAnsi="Arial"/>
          <w:sz w:val="17"/>
          <w:szCs w:val="17"/>
          <w:color w:val="auto"/>
        </w:rPr>
        <w:t>” means any health care insurance and other similar programs under which the Obligor or any of its Subsidiaries are directly or indirectly receiving payments, including any federal or state healthcare program, Medicare, Medicaid, the TRICARE program, the Veterans Health Administration, private or commercial insurance programs, third-party administrators, preferred provider organizations, managed care organizations, health maintenance organizations, health plans, self-insured health plans, or any fiscal intermediary or contractor of any of the foregoing.</w:t>
      </w:r>
    </w:p>
    <w:p>
      <w:pPr>
        <w:spacing w:after="0" w:line="17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PBGC</w:t>
      </w:r>
      <w:r>
        <w:rPr>
          <w:rFonts w:ascii="Arial" w:cs="Arial" w:eastAsia="Arial" w:hAnsi="Arial"/>
          <w:sz w:val="18"/>
          <w:szCs w:val="18"/>
          <w:color w:val="auto"/>
        </w:rPr>
        <w:t>” means the United States Pension Benefit Guaranty Corporation referred to and defined in ERISA and any successor entity performing similar functions.</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PDMA</w:t>
      </w:r>
      <w:r>
        <w:rPr>
          <w:rFonts w:ascii="Arial" w:cs="Arial" w:eastAsia="Arial" w:hAnsi="Arial"/>
          <w:sz w:val="17"/>
          <w:szCs w:val="17"/>
          <w:color w:val="auto"/>
        </w:rPr>
        <w:t>” means the Prescription Drug Marketing Act of 1987, 21 U.S.C. §§ 321 et seq. (or any successor thereto), as amended from time to time, and the rules, regulations, guidelines, guidance documents and compliance policy guides issued or promulgated thereunder.</w:t>
      </w:r>
    </w:p>
    <w:p>
      <w:pPr>
        <w:spacing w:after="0" w:line="14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Perfection Certificate</w:t>
      </w:r>
      <w:r>
        <w:rPr>
          <w:rFonts w:ascii="Arial" w:cs="Arial" w:eastAsia="Arial" w:hAnsi="Arial"/>
          <w:sz w:val="18"/>
          <w:szCs w:val="18"/>
          <w:color w:val="auto"/>
        </w:rPr>
        <w:t xml:space="preserve">” means the Perfection Certificate, delivered pursuant to </w:t>
      </w:r>
      <w:r>
        <w:rPr>
          <w:rFonts w:ascii="Arial" w:cs="Arial" w:eastAsia="Arial" w:hAnsi="Arial"/>
          <w:sz w:val="18"/>
          <w:szCs w:val="18"/>
          <w:b w:val="1"/>
          <w:bCs w:val="1"/>
          <w:color w:val="auto"/>
        </w:rPr>
        <w:t>Section 6.01(h)</w:t>
      </w:r>
      <w:r>
        <w:rPr>
          <w:rFonts w:ascii="Arial" w:cs="Arial" w:eastAsia="Arial" w:hAnsi="Arial"/>
          <w:sz w:val="18"/>
          <w:szCs w:val="18"/>
          <w:color w:val="auto"/>
        </w:rPr>
        <w:t xml:space="preserve"> to the Administrative Agent, as amended, restated, supplemented or otherwise modified from time to time.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9" w:name="page90"/>
    <w:bookmarkEnd w:id="89"/>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Acquisition</w:t>
      </w:r>
      <w:r>
        <w:rPr>
          <w:rFonts w:ascii="Arial" w:cs="Arial" w:eastAsia="Arial" w:hAnsi="Arial"/>
          <w:sz w:val="16"/>
          <w:szCs w:val="16"/>
          <w:color w:val="auto"/>
        </w:rPr>
        <w:t>” means any Acquisition by the Borrower or any of its Subsidiaries, whether by purchase, merger or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11" w:lineRule="exact"/>
        <w:rPr>
          <w:sz w:val="20"/>
          <w:szCs w:val="20"/>
          <w:color w:val="auto"/>
        </w:rPr>
      </w:pPr>
    </w:p>
    <w:p>
      <w:pPr>
        <w:ind w:left="1300" w:firstLine="4"/>
        <w:spacing w:after="0" w:line="277" w:lineRule="auto"/>
        <w:tabs>
          <w:tab w:leader="none" w:pos="158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immediately prior to, and immediately after giving effect thereto, no Default or Event of Default shall have occurred and be continuing or would reasonably be expected to result therefrom;</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Acquisition shall comply in all material respects with all applicable Laws and all applicable Governmental Approvals;</w:t>
      </w:r>
    </w:p>
    <w:p>
      <w:pPr>
        <w:spacing w:after="0" w:line="225" w:lineRule="exact"/>
        <w:rPr>
          <w:rFonts w:ascii="Arial" w:cs="Arial" w:eastAsia="Arial" w:hAnsi="Arial"/>
          <w:sz w:val="18"/>
          <w:szCs w:val="18"/>
          <w:color w:val="auto"/>
        </w:rPr>
      </w:pPr>
    </w:p>
    <w:p>
      <w:pPr>
        <w:jc w:val="both"/>
        <w:ind w:left="1300" w:firstLine="4"/>
        <w:spacing w:after="0" w:line="259" w:lineRule="auto"/>
        <w:tabs>
          <w:tab w:leader="none" w:pos="15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in the case of any Acquisition of Equity Interests of another Person, after giving effect to such Acquisition, all Equity Interests of such other Person acquired by any Subsidiary of the Borrower shall be owned, directly or indirectly, beneficially and of record, by the Borrower or any of its Subsidiaries, and the Borrower shall cause such acquired Person to satisfy each of the actions set forth in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8.11 </w:t>
      </w:r>
      <w:r>
        <w:rPr>
          <w:rFonts w:ascii="Arial" w:cs="Arial" w:eastAsia="Arial" w:hAnsi="Arial"/>
          <w:sz w:val="18"/>
          <w:szCs w:val="18"/>
          <w:color w:val="auto"/>
        </w:rPr>
        <w:t>as and when required by such Section;</w:t>
      </w:r>
    </w:p>
    <w:p>
      <w:pPr>
        <w:spacing w:after="0" w:line="186" w:lineRule="exact"/>
        <w:rPr>
          <w:rFonts w:ascii="Arial" w:cs="Arial" w:eastAsia="Arial" w:hAnsi="Arial"/>
          <w:sz w:val="18"/>
          <w:szCs w:val="18"/>
          <w:color w:val="auto"/>
        </w:rPr>
      </w:pPr>
    </w:p>
    <w:p>
      <w:pPr>
        <w:ind w:left="1300" w:firstLine="4"/>
        <w:spacing w:after="0" w:line="277" w:lineRule="auto"/>
        <w:tabs>
          <w:tab w:leader="none" w:pos="15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on a Pro Forma Basis after giving effect to such Acquisition, the Borrower and its Subsidiaries shall be in compliance with the financial covenants set forth in </w:t>
      </w:r>
      <w:r>
        <w:rPr>
          <w:rFonts w:ascii="Arial" w:cs="Arial" w:eastAsia="Arial" w:hAnsi="Arial"/>
          <w:sz w:val="18"/>
          <w:szCs w:val="18"/>
          <w:b w:val="1"/>
          <w:bCs w:val="1"/>
          <w:color w:val="auto"/>
        </w:rPr>
        <w:t>Section 10</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1300" w:firstLine="4"/>
        <w:spacing w:after="0" w:line="273" w:lineRule="auto"/>
        <w:tabs>
          <w:tab w:leader="none" w:pos="1553"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to the extent that all or any portion of the purchase price (including reasonable estimates of any Deferred Acquisition Consideration) for any such Acquisition is paid in cash, the amount thereof shall not exceed (x) $5,000,000 </w:t>
      </w:r>
      <w:r>
        <w:rPr>
          <w:rFonts w:ascii="Arial" w:cs="Arial" w:eastAsia="Arial" w:hAnsi="Arial"/>
          <w:sz w:val="17"/>
          <w:szCs w:val="17"/>
          <w:i w:val="1"/>
          <w:iCs w:val="1"/>
          <w:color w:val="auto"/>
        </w:rPr>
        <w:t>plus</w:t>
      </w:r>
      <w:r>
        <w:rPr>
          <w:rFonts w:ascii="Arial" w:cs="Arial" w:eastAsia="Arial" w:hAnsi="Arial"/>
          <w:sz w:val="17"/>
          <w:szCs w:val="17"/>
          <w:color w:val="auto"/>
        </w:rPr>
        <w:t xml:space="preserve"> (y) the amount of any substantially concurrent contributions to the common equity of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such contribution must be used within thirty (30) days of such contribution to pay the acquisition costs of such Permitted Acquisition, (ii) the Administrative Agent’s prior written consent (which shall not be unreasonably delayed, withheld, or conditioned) shall be required if the amount of any such common equity contribution exceeds $20,000,000 in the aggregate with any other such Acquisitions in any fiscal year;</w:t>
      </w:r>
    </w:p>
    <w:p>
      <w:pPr>
        <w:spacing w:after="0" w:line="177" w:lineRule="exact"/>
        <w:rPr>
          <w:rFonts w:ascii="Arial" w:cs="Arial" w:eastAsia="Arial" w:hAnsi="Arial"/>
          <w:sz w:val="17"/>
          <w:szCs w:val="17"/>
          <w:color w:val="auto"/>
        </w:rPr>
      </w:pPr>
    </w:p>
    <w:p>
      <w:pPr>
        <w:ind w:left="1300" w:firstLine="4"/>
        <w:spacing w:after="0" w:line="277" w:lineRule="auto"/>
        <w:tabs>
          <w:tab w:leader="none" w:pos="153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the extent that all or any portion of the purchase price for any such Acquisition is paid in Equity Interests, all such Equity Interests shall be Qualified Equity Interests;</w:t>
      </w:r>
    </w:p>
    <w:p>
      <w:pPr>
        <w:spacing w:after="0" w:line="170" w:lineRule="exact"/>
        <w:rPr>
          <w:rFonts w:ascii="Arial" w:cs="Arial" w:eastAsia="Arial" w:hAnsi="Arial"/>
          <w:sz w:val="18"/>
          <w:szCs w:val="18"/>
          <w:color w:val="auto"/>
        </w:rPr>
      </w:pPr>
    </w:p>
    <w:p>
      <w:pPr>
        <w:jc w:val="both"/>
        <w:ind w:left="1300" w:firstLine="4"/>
        <w:spacing w:after="0" w:line="311" w:lineRule="auto"/>
        <w:tabs>
          <w:tab w:leader="none" w:pos="1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 any Person acquired in such Acquisition shall be formed or organized, as applicable, in the U.S. or any state thereof, and (ii) other than assets with respect to which the book value of such assets does not exceed $100,000 in the aggregate for such Acquisition, all of the assets acquired in such Acquisition (whether directly or through the Acquisition of any Person) shall be located in the U.S.;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0" w:name="page91"/>
    <w:bookmarkEnd w:id="90"/>
    <w:p>
      <w:pPr>
        <w:jc w:val="both"/>
        <w:ind w:left="1300" w:firstLine="4"/>
        <w:spacing w:after="0" w:line="269" w:lineRule="auto"/>
        <w:tabs>
          <w:tab w:leader="none" w:pos="1607"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in the case of any such Acquisition that has a purchase price (including reasonable estimates of any Deferred Acquisition Consideration) in excess of $5,000,000, (A) the Borrower shall provide to the Administrative Agent (i) at least ten (10) Business Day’s prior written notice of any such Acquisition, together with summaries, prepared in reasonable detail, of all due diligence conducted by or on behalf of the Borrower or the applicable Subsidiary, as applicable, prior to such Acquisition, in each case subject to customary confidentiality restrictions, (ii) subject to customary confidentiality restrictions, a copy of the draft purchase agreement related to the proposed Acquisition (and any related documents reasonably requested by the Administrative Agent), (iii) pro forma financial statements of the Borrower and its Subsidiaries (as of the last day of the most recently ended fiscal quarter prior to the date of consummation of such Acquisition for which financial statements are required to be delivered pursuant to </w:t>
      </w:r>
      <w:r>
        <w:rPr>
          <w:rFonts w:ascii="Arial" w:cs="Arial" w:eastAsia="Arial" w:hAnsi="Arial"/>
          <w:sz w:val="17"/>
          <w:szCs w:val="17"/>
          <w:b w:val="1"/>
          <w:bCs w:val="1"/>
          <w:color w:val="auto"/>
        </w:rPr>
        <w:t>Section 8.01(a)</w:t>
      </w:r>
      <w:r>
        <w:rPr>
          <w:rFonts w:ascii="Arial" w:cs="Arial" w:eastAsia="Arial" w:hAnsi="Arial"/>
          <w:sz w:val="17"/>
          <w:szCs w:val="17"/>
          <w:color w:val="auto"/>
        </w:rPr>
        <w:t xml:space="preserve"> or </w:t>
      </w:r>
      <w:r>
        <w:rPr>
          <w:rFonts w:ascii="Arial" w:cs="Arial" w:eastAsia="Arial" w:hAnsi="Arial"/>
          <w:sz w:val="17"/>
          <w:szCs w:val="17"/>
          <w:b w:val="1"/>
          <w:bCs w:val="1"/>
          <w:color w:val="auto"/>
        </w:rPr>
        <w:t>(b)</w:t>
      </w:r>
      <w:r>
        <w:rPr>
          <w:rFonts w:ascii="Arial" w:cs="Arial" w:eastAsia="Arial" w:hAnsi="Arial"/>
          <w:sz w:val="17"/>
          <w:szCs w:val="17"/>
          <w:color w:val="auto"/>
        </w:rPr>
        <w:t>) after giving effect to such Acquisition, and (iv) subject to customary confidentiality restrictions, any other information reasonably requested (to the extent available), by the Administrative Agent and available to the Obligors and (B) to the extent the cash purchase price exceeds $5,000,000, the Administrative Agent shall have consented in writing to such Acquisition (such consent not to be unreasonably delayed, withheld, or conditioned); and</w:t>
      </w:r>
    </w:p>
    <w:p>
      <w:pPr>
        <w:spacing w:after="0" w:line="178" w:lineRule="exact"/>
        <w:rPr>
          <w:rFonts w:ascii="Arial" w:cs="Arial" w:eastAsia="Arial" w:hAnsi="Arial"/>
          <w:sz w:val="17"/>
          <w:szCs w:val="17"/>
          <w:color w:val="auto"/>
        </w:rPr>
      </w:pPr>
    </w:p>
    <w:p>
      <w:pPr>
        <w:jc w:val="both"/>
        <w:ind w:left="1300" w:firstLine="4"/>
        <w:spacing w:after="0" w:line="269" w:lineRule="auto"/>
        <w:tabs>
          <w:tab w:leader="none" w:pos="15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no Obligor or any of its Subsidiaries (including any acquired Person) shall, in connection with any such Acquisition, assume or remain liable with respect to (x) any Indebtedness of the related seller or the business, Person or assets acquired, except to the extent permitted pursuant to </w:t>
      </w:r>
      <w:r>
        <w:rPr>
          <w:rFonts w:ascii="Arial" w:cs="Arial" w:eastAsia="Arial" w:hAnsi="Arial"/>
          <w:sz w:val="17"/>
          <w:szCs w:val="17"/>
          <w:b w:val="1"/>
          <w:bCs w:val="1"/>
          <w:color w:val="auto"/>
        </w:rPr>
        <w:t>Section 9.01(i)</w:t>
      </w:r>
      <w:r>
        <w:rPr>
          <w:rFonts w:ascii="Arial" w:cs="Arial" w:eastAsia="Arial" w:hAnsi="Arial"/>
          <w:sz w:val="17"/>
          <w:szCs w:val="17"/>
          <w:color w:val="auto"/>
        </w:rPr>
        <w:t xml:space="preserve"> or </w:t>
      </w:r>
      <w:r>
        <w:rPr>
          <w:rFonts w:ascii="Arial" w:cs="Arial" w:eastAsia="Arial" w:hAnsi="Arial"/>
          <w:sz w:val="17"/>
          <w:szCs w:val="17"/>
          <w:b w:val="1"/>
          <w:bCs w:val="1"/>
          <w:color w:val="auto"/>
        </w:rPr>
        <w:t>Section 9.01(k)</w:t>
      </w:r>
      <w:r>
        <w:rPr>
          <w:rFonts w:ascii="Arial" w:cs="Arial" w:eastAsia="Arial" w:hAnsi="Arial"/>
          <w:sz w:val="17"/>
          <w:szCs w:val="17"/>
          <w:color w:val="auto"/>
        </w:rPr>
        <w:t xml:space="preserve">, (y) any Lien on any business, Person or assets acquired, except to the extent permitted pursuant to </w:t>
      </w:r>
      <w:r>
        <w:rPr>
          <w:rFonts w:ascii="Arial" w:cs="Arial" w:eastAsia="Arial" w:hAnsi="Arial"/>
          <w:sz w:val="17"/>
          <w:szCs w:val="17"/>
          <w:b w:val="1"/>
          <w:bCs w:val="1"/>
          <w:color w:val="auto"/>
        </w:rPr>
        <w:t>Section 9.02</w:t>
      </w:r>
      <w:r>
        <w:rPr>
          <w:rFonts w:ascii="Arial" w:cs="Arial" w:eastAsia="Arial" w:hAnsi="Arial"/>
          <w:sz w:val="17"/>
          <w:szCs w:val="17"/>
          <w:color w:val="auto"/>
        </w:rPr>
        <w:t xml:space="preserve">, (z) any other liabilities that are not Indebtedness (including Tax, ERISA and environmental liabilities) and that are not otherwise prohibited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assumed liabilities exceed $5,000,000 in the aggregate (together with assumed liabilities described in clause (h) of the definition of “Eyevance Acquisition”), the Administrative Agent shall have consented in writing to such Acquisition (such consent not to be unreasonably delayed, withheld, or conditioned). Any other such Indebtedness, liabilities or Liens not permitted to be assumed, continued or otherwise supported by any Obligor or Subsidiary thereof hereunder shall be paid in full or released within sixty (60) days of the acquisition date (or such longer period of time as agreed by the Administrative Agent in its reasonable discretion) as to the business, Persons or properties being so acquired on or before the consummation of such Acquisition.</w:t>
      </w:r>
    </w:p>
    <w:p>
      <w:pPr>
        <w:spacing w:after="0" w:line="18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Cash Equivalent Investments</w:t>
      </w:r>
      <w:r>
        <w:rPr>
          <w:rFonts w:ascii="Arial" w:cs="Arial" w:eastAsia="Arial" w:hAnsi="Arial"/>
          <w:sz w:val="18"/>
          <w:szCs w:val="18"/>
          <w:color w:val="auto"/>
        </w:rPr>
        <w:t>” means (i) marketable direct obligations issued or unconditionally guaranteed by the United States or any member states of the European Union or any agency or any state thereof having maturities of not more than two (2) years from the date of acquisition, (ii) commercial paper maturing no more than three-hundred sixty-five (365) days after the date of acquisition thereof and having the highest rating from either Standard &amp; Poor’s Ratings Group or Moody’s Investors Service, Inc., (iii) certificates of deposit maturing no more than one (1) year after issue that are issued by any bank organized under the Laws of the United States, or any state thereof, or the District of Columbia, or any U.S. branch of a foreign bank having, at the date of acquisition thereof, combined capital and surplus of not less than $500,000,000, (iv) any money market or similar funds that exclusively hold any of the foregoing, and (v) any other short term liquid investments approved in writing by the Administrative Agent in its sole discretion.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1" w:name="page92"/>
    <w:bookmarkEnd w:id="91"/>
    <w:p>
      <w:pPr>
        <w:jc w:val="both"/>
        <w:ind w:firstLine="129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Hedging Agreement</w:t>
      </w:r>
      <w:r>
        <w:rPr>
          <w:rFonts w:ascii="Arial" w:cs="Arial" w:eastAsia="Arial" w:hAnsi="Arial"/>
          <w:sz w:val="16"/>
          <w:szCs w:val="16"/>
          <w:color w:val="auto"/>
        </w:rPr>
        <w:t>” means a Hedging Agreement entered into by any Obligor in such Obligor’s Ordinary Course for the purpose of hedging currency risks or interest rate risks (and not for speculative purposes) and (x) with respect to hedging currency risks, in an aggregate notional amount for all such Hedging Agreements not in excess of $10,000,000 and (y) with respect to hedging interest rate risks, in an aggregate notional amount for all such Hedging Agreements not in excess of 100% of the aggregate principal amount of Loans outstanding at such time.</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Indebtedness</w:t>
      </w:r>
      <w:r>
        <w:rPr>
          <w:rFonts w:ascii="Arial" w:cs="Arial" w:eastAsia="Arial" w:hAnsi="Arial"/>
          <w:sz w:val="18"/>
          <w:szCs w:val="18"/>
          <w:color w:val="auto"/>
        </w:rPr>
        <w:t xml:space="preserve">” means any Indebtedness permitted under </w:t>
      </w:r>
      <w:r>
        <w:rPr>
          <w:rFonts w:ascii="Arial" w:cs="Arial" w:eastAsia="Arial" w:hAnsi="Arial"/>
          <w:sz w:val="18"/>
          <w:szCs w:val="18"/>
          <w:b w:val="1"/>
          <w:bCs w:val="1"/>
          <w:color w:val="auto"/>
        </w:rPr>
        <w:t>Section 9.01</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Licenses</w:t>
      </w:r>
      <w:r>
        <w:rPr>
          <w:rFonts w:ascii="Arial" w:cs="Arial" w:eastAsia="Arial" w:hAnsi="Arial"/>
          <w:sz w:val="16"/>
          <w:szCs w:val="16"/>
          <w:color w:val="auto"/>
        </w:rPr>
        <w:t xml:space="preserve">” means: (i) licenses of off-the-shelf software that is commercially available to the public, (ii) non-exclusive intercompany licenses or grants of rights for development, manufacture, production, commercialization (including commercial sales to end users), marketing, promotion, co-promotion, sales or distribution among the Obligors, (iii) any outbound non-exclusive license for the use of Intellectual Property of any Obligor for development, manufacture, production, commercialization (including commercial sales to end users), marketing, promotion, co-promotion, sales or distribution of any Product, in each case, entered into in the Ordinary Course;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each such license or grant described in this clause (iii), (A) no Event of Default has occurred or is continuing at the time such license or grant, or the agreement governing such license or grant is entered into and (B) such license or grant constitutes an Arm’s Length Transaction, the terms of which do not provide for a sale or assignment of Intellectual Property, (iv) any non-exclusive or exclusive license of Intellectual Property or technology or a grant of rights for development, manufacture, production, commercialization (including commercial sales to end users), marketing, co-promotion, sales, or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each such license described in this clause (iv), (A) no Event of Default has occurred or is continuing at the time such license or grant, or the agreement governing such license or grant is entered into, (B) such license or grant constitutes an Arm’s Length Transaction, the terms of which do not provide for a sale or assignment of Intellectual Property, and (C) in the case of any exclusive license, any such license could not result in a legal transfer of the title of the licensed property but may be exclusive in respects other than territory and may be exclusive as to territory only as to discrete geographic areas and/or regions outside of the United States, and (v) other licenses to which the Administrative Agent shall have consented to in writing.</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Liens</w:t>
      </w:r>
      <w:r>
        <w:rPr>
          <w:rFonts w:ascii="Arial" w:cs="Arial" w:eastAsia="Arial" w:hAnsi="Arial"/>
          <w:sz w:val="18"/>
          <w:szCs w:val="18"/>
          <w:color w:val="auto"/>
        </w:rPr>
        <w:t xml:space="preserve">” means any Liens permitted under </w:t>
      </w:r>
      <w:r>
        <w:rPr>
          <w:rFonts w:ascii="Arial" w:cs="Arial" w:eastAsia="Arial" w:hAnsi="Arial"/>
          <w:sz w:val="18"/>
          <w:szCs w:val="18"/>
          <w:b w:val="1"/>
          <w:bCs w:val="1"/>
          <w:color w:val="auto"/>
        </w:rPr>
        <w:t>Section 9.02</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Minority Investments</w:t>
      </w:r>
      <w:r>
        <w:rPr>
          <w:rFonts w:ascii="Arial" w:cs="Arial" w:eastAsia="Arial" w:hAnsi="Arial"/>
          <w:sz w:val="18"/>
          <w:szCs w:val="18"/>
          <w:color w:val="auto"/>
        </w:rPr>
        <w:t>” means the Borrower’s minority Investments in the Equity Interests of each of Eton Pharmaceuticals, Inc., Surface Pharmaceuticals, Inc., and Melt Pharmaceuticals, Inc. in existence as of the Closing Date and, with respect to the Equity Interests of Melt Pharmaceuticals, Inc., any additional Investments received in full or partial satisfaction of the Indebtedness evidenced by the Melt Note (as in existence on the Closing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2" w:name="page93"/>
    <w:bookmarkEnd w:id="92"/>
    <w:p>
      <w:pPr>
        <w:ind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Refinancing</w:t>
      </w:r>
      <w:r>
        <w:rPr>
          <w:rFonts w:ascii="Arial" w:cs="Arial" w:eastAsia="Arial" w:hAnsi="Arial"/>
          <w:sz w:val="16"/>
          <w:szCs w:val="16"/>
          <w:color w:val="auto"/>
        </w:rPr>
        <w:t xml:space="preserve">” means, with respect to any Indebtedness permitted to be refinanced, extended, renewed or replaced hereunder, any refinancings, extensions, renewals and replacements of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refinancing, extension, renewal or replacement shall not</w:t>
      </w:r>
    </w:p>
    <w:p>
      <w:pPr>
        <w:jc w:val="both"/>
        <w:ind w:firstLine="8"/>
        <w:spacing w:after="0" w:line="268" w:lineRule="auto"/>
        <w:tabs>
          <w:tab w:leader="none" w:pos="225"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increase the outstanding principal amount of the Indebtedness being refinanced, extended, renewed or replaced, except by an amount equal to accrued interest, any required prepayment premium, and customary fees and expenses reasonably incurred in connection therewith, (ii) contain terms relating to outstanding principal amount, amortization, maturity, collateral security (if any) or subordination (if any), or other material terms that, taken as a whole, are materially less favorable to the Obligors and their respective Subsidiaries or the Secured Parties than the terms of any agreement or instrument governing such existing Indebtedness, (iii) have an applicable interest rate which does not exceed the greater of (A) the rate of interest of the Indebtedness being replaced and (B) the then applicable market interest rate, (iv) contain any new requirement to grant any Lien or to give any Guarantee that was not an existing requirement of such Indebtedness and (v) after giving effect to such refinancing, extension, renewal or replacement, no Default or Event of Default shall have occurred or would reasonably be expected to occur as a result thereof.</w:t>
      </w:r>
    </w:p>
    <w:p>
      <w:pPr>
        <w:spacing w:after="0" w:line="183"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company, voluntary association, partnership, limited liability company, joint venture, trust, unincorporated organization or Governmental Authority or other entity of whatever nature.</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Plan</w:t>
      </w:r>
      <w:r>
        <w:rPr>
          <w:rFonts w:ascii="Arial" w:cs="Arial" w:eastAsia="Arial" w:hAnsi="Arial"/>
          <w:sz w:val="17"/>
          <w:szCs w:val="17"/>
          <w:color w:val="auto"/>
        </w:rPr>
        <w:t>” means any employee pension benefit plan (as defined in Section 3(2) of ERISA)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Prepayment Price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3.03(a)(i)</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 Forma Basis</w:t>
      </w:r>
      <w:r>
        <w:rPr>
          <w:rFonts w:ascii="Arial" w:cs="Arial" w:eastAsia="Arial" w:hAnsi="Arial"/>
          <w:sz w:val="16"/>
          <w:szCs w:val="16"/>
          <w:color w:val="auto"/>
        </w:rPr>
        <w:t xml:space="preserve">” shall mean, with respect to the calculation of any financial ratio, as of any date, that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will be given to the Transactions, any Acquisition, any issuance, incurrence, assumption or permanent repayment of Indebtedness (including Indebtedness issued, incurred or assumed as a result of, or to finance, any relevant transaction and for which any such financial ratio is being calculated), all sales, transfers and other dispositions or discontinuance of any Subsidiary, line of business or division, or any conversion of a Subsidiary Guarantor to a non-Guarantor Subsidiary or of a non-Guarantor Subsidiary to a Subsidiary Guarantor, in each case that have occurred during the four consecutive fiscal quarter period of the Borrower being used to calculate such financial ratio (the “</w:t>
      </w:r>
      <w:r>
        <w:rPr>
          <w:rFonts w:ascii="Arial" w:cs="Arial" w:eastAsia="Arial" w:hAnsi="Arial"/>
          <w:sz w:val="16"/>
          <w:szCs w:val="16"/>
          <w:b w:val="1"/>
          <w:bCs w:val="1"/>
          <w:i w:val="1"/>
          <w:iCs w:val="1"/>
          <w:color w:val="auto"/>
        </w:rPr>
        <w:t>Reference Period</w:t>
      </w:r>
      <w:r>
        <w:rPr>
          <w:rFonts w:ascii="Arial" w:cs="Arial" w:eastAsia="Arial" w:hAnsi="Arial"/>
          <w:sz w:val="16"/>
          <w:szCs w:val="16"/>
          <w:color w:val="auto"/>
        </w:rPr>
        <w:t>”), or subsequent to the end of the Reference Period but prior to such date or prior to or simultaneously with the event for which a determination under this definition is made (including any such event occurring at an entity that became a Subsidiary after the commencement of the Reference Period), as if each such event occurred on the first day of the Reference Period.</w:t>
      </w:r>
    </w:p>
    <w:p>
      <w:pPr>
        <w:spacing w:after="0" w:line="161" w:lineRule="exact"/>
        <w:rPr>
          <w:sz w:val="20"/>
          <w:szCs w:val="20"/>
          <w:color w:val="auto"/>
        </w:rPr>
      </w:pPr>
    </w:p>
    <w:p>
      <w:pPr>
        <w:jc w:val="both"/>
        <w:ind w:firstLine="129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Product</w:t>
      </w:r>
      <w:r>
        <w:rPr>
          <w:rFonts w:ascii="Arial" w:cs="Arial" w:eastAsia="Arial" w:hAnsi="Arial"/>
          <w:sz w:val="17"/>
          <w:szCs w:val="17"/>
          <w:color w:val="auto"/>
        </w:rPr>
        <w:t xml:space="preserve">” means (i) those pharmaceutical or biological products (and described in reasonable detail) on </w:t>
      </w:r>
      <w:r>
        <w:rPr>
          <w:rFonts w:ascii="Arial" w:cs="Arial" w:eastAsia="Arial" w:hAnsi="Arial"/>
          <w:sz w:val="17"/>
          <w:szCs w:val="17"/>
          <w:b w:val="1"/>
          <w:bCs w:val="1"/>
          <w:color w:val="auto"/>
        </w:rPr>
        <w:t>Schedule 4</w:t>
      </w:r>
      <w:r>
        <w:rPr>
          <w:rFonts w:ascii="Arial" w:cs="Arial" w:eastAsia="Arial" w:hAnsi="Arial"/>
          <w:sz w:val="17"/>
          <w:szCs w:val="17"/>
          <w:color w:val="auto"/>
        </w:rPr>
        <w:t xml:space="preserve"> attached hereto as of the Closing Date, and updated as of the Incremental Tranche A Funding Date, and (ii) any material current or future pharmaceutical or biological product developed, compounded, distributed, dispensed, imported, exported, labeled, promoted, manufactured, licensed, marketed, sold or otherwise commercialized by any Obligor or any of its Subsidiaries, including any such product in development or which may be developed.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3" w:name="page94"/>
    <w:bookmarkEnd w:id="93"/>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Product Authorizations</w:t>
      </w:r>
      <w:r>
        <w:rPr>
          <w:rFonts w:ascii="Arial" w:cs="Arial" w:eastAsia="Arial" w:hAnsi="Arial"/>
          <w:sz w:val="18"/>
          <w:szCs w:val="18"/>
          <w:color w:val="auto"/>
        </w:rPr>
        <w:t>” means any and all Governmental Approvals, whether U.S. or non-U.S. (including all applicable ANDAs, NDAs, BLAs, INDs, Product Standards, supplements, amendments, pre- and post- approvals, governmental price and reimbursement approvals and approvals of applications for regulatory exclusivity) of any Regulatory Authority, in each case, necessary to be held or maintained by, or for the benefit of, any Obligor or any of its Subsidiaries for the ownership, use or commercialization of any Product or for any Product Commercialization and Development Activities with respect thereto in any country or jurisdiction.</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Product Commercialization and Development Activities</w:t>
      </w:r>
      <w:r>
        <w:rPr>
          <w:rFonts w:ascii="Arial" w:cs="Arial" w:eastAsia="Arial" w:hAnsi="Arial"/>
          <w:sz w:val="18"/>
          <w:szCs w:val="18"/>
          <w:color w:val="auto"/>
        </w:rPr>
        <w:t>” means, with respect to any Product, any combination of research, development, testing, manufacture, formulation, import, use, sale, licensing, importation, exportation, shipping, storage, handling, design, labeling, marketing, promotion, supply, distribution, packaging, purchasing or other commercialization activities, receipt of payment in respect of any of the foregoing (including, without limitation, in respect of licensing, royalty or similar payments), or any similar or other activities the purpose of which is to commercially exploit such Product.</w:t>
      </w:r>
    </w:p>
    <w:p>
      <w:pPr>
        <w:spacing w:after="0" w:line="188"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Product Related Information</w:t>
      </w:r>
      <w:r>
        <w:rPr>
          <w:rFonts w:ascii="Arial" w:cs="Arial" w:eastAsia="Arial" w:hAnsi="Arial"/>
          <w:sz w:val="16"/>
          <w:szCs w:val="16"/>
          <w:color w:val="auto"/>
        </w:rPr>
        <w:t>” means, with respect to any Product, all books, records, lists, ledgers, files, manuals, correspondence, reports, plans, drawings, data and other information of every kind (in any form or medium), and all techniques and other know-how, owned or possessed by the Obligors or any of their respective Subsidiaries that are necessary or useful for any Product Commercialization and Development Activities relating to such Product, including (i) brand materials and packaging, customer targeting and other marketing, promotion and sales materials and information, referral, customer, supplier and other contact lists and information, product, business, marketing and sales plans, research, studies and reports, sales, maintenance and production records, training materials and other marketing, sales and promotional information and (ii) clinical data, information included or supporting any Product Authorization, any regulatory filings, updates, notices and correspondence (including adverse event and other pharmacovigilance and other post-marketing reports and information, etc.), technical information, product development and operational data and records, and all other documents, records, files, data and other information, used in connection with the Product Commercialization and Development Activities for such Product.</w:t>
      </w:r>
    </w:p>
    <w:p>
      <w:pPr>
        <w:spacing w:after="0" w:line="16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Product Standards</w:t>
      </w:r>
      <w:r>
        <w:rPr>
          <w:rFonts w:ascii="Arial" w:cs="Arial" w:eastAsia="Arial" w:hAnsi="Arial"/>
          <w:sz w:val="18"/>
          <w:szCs w:val="18"/>
          <w:color w:val="auto"/>
        </w:rPr>
        <w:t>” means all safety, quality and other specifications and standards applicable to any Product, including all pharmaceutical, biological and other standards promulgated by Standards Bodies.</w:t>
      </w:r>
    </w:p>
    <w:p>
      <w:pPr>
        <w:spacing w:after="0" w:line="17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Prohibited Payment</w:t>
      </w:r>
      <w:r>
        <w:rPr>
          <w:rFonts w:ascii="Arial" w:cs="Arial" w:eastAsia="Arial" w:hAnsi="Arial"/>
          <w:sz w:val="16"/>
          <w:szCs w:val="16"/>
          <w:color w:val="auto"/>
        </w:rPr>
        <w:t>” means any bribe, rebate, payoff, influence payment, kickback or other payment or gift of money or anything of value (including meals or entertainment) to any officer, employee or ceremonial office holder of any government or instrumentality thereof, political party or supra-national organization (such as the United Nations), any political candidate, any royal family member or any other person who is connected or associated personally with any of the foregoing that is prohibited under any Law for the purpose of influencing any act or decision of such payee in his official capacity, inducing such payee to do or omit to do any act in violation of his lawful duty, securing any improper advantage or inducing such payee to use his influence with a government or instrumentality thereof to affect or influence any act or decision of such government or instrumentality.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4" w:name="page95"/>
    <w:bookmarkEnd w:id="94"/>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Proportionate Share</w:t>
      </w:r>
      <w:r>
        <w:rPr>
          <w:rFonts w:ascii="Arial" w:cs="Arial" w:eastAsia="Arial" w:hAnsi="Arial"/>
          <w:sz w:val="18"/>
          <w:szCs w:val="18"/>
          <w:color w:val="auto"/>
        </w:rPr>
        <w:t>” means, with respect to any Lender, the percentage obtained by dividing (i) the sum of the Commitments (or, if the Commitments are terminated, the outstanding principal amount of the Loans) of such Lender then in effect by (ii) the sum of the Commitments (or, if the Commitments are terminated, the outstanding principal amount of the Loans) of all Lenders then in effect.</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Equity Interest</w:t>
      </w:r>
      <w:r>
        <w:rPr>
          <w:rFonts w:ascii="Arial" w:cs="Arial" w:eastAsia="Arial" w:hAnsi="Arial"/>
          <w:sz w:val="18"/>
          <w:szCs w:val="18"/>
          <w:color w:val="auto"/>
        </w:rPr>
        <w:t>” means, with respect to any Person, any Equity Interest of such Person that is not a Disqualified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21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Plan</w:t>
      </w:r>
      <w:r>
        <w:rPr>
          <w:rFonts w:ascii="Arial" w:cs="Arial" w:eastAsia="Arial" w:hAnsi="Arial"/>
          <w:sz w:val="18"/>
          <w:szCs w:val="18"/>
          <w:color w:val="auto"/>
        </w:rPr>
        <w:t>” means an employee pension benefit plan (as defined in Section 3(2) of ERISA) other than a Multiemployer Plan (i) that is or was at any time within the preceding five years maintained or sponsored by any Obligor or any ERISA Affiliate thereof or to which any Obligor or any ERISA Affiliate thereof has within the preceding five years ever made, or was within the preceding five years ever obligated to make, contributions, and (ii) that is intended to be tax qualified under Section 401(a) of the Code.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Real Property Security Documents</w:t>
      </w:r>
      <w:r>
        <w:rPr>
          <w:rFonts w:ascii="Arial" w:cs="Arial" w:eastAsia="Arial" w:hAnsi="Arial"/>
          <w:sz w:val="18"/>
          <w:szCs w:val="18"/>
          <w:color w:val="auto"/>
        </w:rPr>
        <w:t>” means any Landlord Consents or Bailee Letters.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Recipient</w:t>
      </w:r>
      <w:r>
        <w:rPr>
          <w:rFonts w:ascii="Arial" w:cs="Arial" w:eastAsia="Arial" w:hAnsi="Arial"/>
          <w:sz w:val="18"/>
          <w:szCs w:val="18"/>
          <w:color w:val="auto"/>
        </w:rPr>
        <w:t>” means any Lender or any other recipient of any payment to be made by or on account of any Obligation.</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Referral Source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7.07(b)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Refinanced Facility</w:t>
      </w:r>
      <w:r>
        <w:rPr>
          <w:rFonts w:ascii="Arial" w:cs="Arial" w:eastAsia="Arial" w:hAnsi="Arial"/>
          <w:sz w:val="18"/>
          <w:szCs w:val="18"/>
          <w:color w:val="auto"/>
        </w:rPr>
        <w:t xml:space="preserve">” means, collectively, the Indebtedness of the Obligors as set forth on </w:t>
      </w:r>
      <w:r>
        <w:rPr>
          <w:rFonts w:ascii="Arial" w:cs="Arial" w:eastAsia="Arial" w:hAnsi="Arial"/>
          <w:sz w:val="18"/>
          <w:szCs w:val="18"/>
          <w:b w:val="1"/>
          <w:bCs w:val="1"/>
          <w:color w:val="auto"/>
        </w:rPr>
        <w:t>Schedule 5</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14.05(d)</w:t>
      </w:r>
      <w:r>
        <w:rPr>
          <w:rFonts w:ascii="Arial" w:cs="Arial" w:eastAsia="Arial" w:hAnsi="Arial"/>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Regulation T</w:t>
      </w:r>
      <w:r>
        <w:rPr>
          <w:rFonts w:ascii="Arial" w:cs="Arial" w:eastAsia="Arial" w:hAnsi="Arial"/>
          <w:sz w:val="18"/>
          <w:szCs w:val="18"/>
          <w:color w:val="auto"/>
        </w:rPr>
        <w:t>” means Regulation T of the Board of Governors of the Federal Reserve System,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Regulation U</w:t>
      </w:r>
      <w:r>
        <w:rPr>
          <w:rFonts w:ascii="Arial" w:cs="Arial" w:eastAsia="Arial" w:hAnsi="Arial"/>
          <w:sz w:val="18"/>
          <w:szCs w:val="18"/>
          <w:color w:val="auto"/>
        </w:rPr>
        <w:t>” means Regulation U of the Board of Governors of the Federal Reserve System,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Regulation X</w:t>
      </w:r>
      <w:r>
        <w:rPr>
          <w:rFonts w:ascii="Arial" w:cs="Arial" w:eastAsia="Arial" w:hAnsi="Arial"/>
          <w:sz w:val="18"/>
          <w:szCs w:val="18"/>
          <w:color w:val="auto"/>
        </w:rPr>
        <w:t>” means Regulation X of the Board of Governors of the Federal Reserve System, as amended.</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Authority</w:t>
      </w:r>
      <w:r>
        <w:rPr>
          <w:rFonts w:ascii="Arial" w:cs="Arial" w:eastAsia="Arial" w:hAnsi="Arial"/>
          <w:sz w:val="18"/>
          <w:szCs w:val="18"/>
          <w:color w:val="auto"/>
        </w:rPr>
        <w:t>” means any Governmental Authority, whether U.S. or non-U.S., that is concerned with or has regulatory or supervisory oversight with respect to any Product or any Product Commercialization and Development Activities relating to any Product, including the FDA and all equivalent Governmental Authorities, whether U.S. or non-U.S.</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Reinvestment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3.03(b)(i)(C)</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Reinvestment Period</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3.03(b)(i)(B)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Parties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14.16</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5" w:name="page96"/>
    <w:bookmarkEnd w:id="9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Resignation Effective Date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12.09</w:t>
      </w:r>
      <w:r>
        <w:rPr>
          <w:rFonts w:ascii="Arial" w:cs="Arial" w:eastAsia="Arial" w:hAnsi="Arial"/>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Resolution Authority</w:t>
      </w:r>
      <w:r>
        <w:rPr>
          <w:rFonts w:ascii="Arial" w:cs="Arial" w:eastAsia="Arial" w:hAnsi="Arial"/>
          <w:sz w:val="17"/>
          <w:szCs w:val="17"/>
          <w:color w:val="auto"/>
        </w:rPr>
        <w:t>” means an EEA Resolution Authority or, with respect to any U.K. Financial Institution, a U.K. Resolution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Authority.</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Responsible Officer</w:t>
      </w:r>
      <w:r>
        <w:rPr>
          <w:rFonts w:ascii="Arial" w:cs="Arial" w:eastAsia="Arial" w:hAnsi="Arial"/>
          <w:sz w:val="18"/>
          <w:szCs w:val="18"/>
          <w:color w:val="auto"/>
        </w:rPr>
        <w:t>” of any Person means each of the president, chief executive officer, chief financial officer, general counsel and similar officer of such Person.</w:t>
      </w:r>
    </w:p>
    <w:p>
      <w:pPr>
        <w:spacing w:after="0" w:line="170"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Payment</w:t>
      </w:r>
      <w:r>
        <w:rPr>
          <w:rFonts w:ascii="Arial" w:cs="Arial" w:eastAsia="Arial" w:hAnsi="Arial"/>
          <w:sz w:val="17"/>
          <w:szCs w:val="17"/>
          <w:color w:val="auto"/>
        </w:rPr>
        <w:t>” means (i) any dividend or other distribution (whether in cash, Equity Interests or other property) with respect to any Equity Interests of any Obligor or any of its Subsidiaries, (ii) any payment (whether in cash, Equity Interests or other property), including any sinking fund or similar deposit, on account of the purchase, redemption, retirement, defeasance, acquisition, cancellation or termination of any such Equity Interests of any Obligor or any of its Subsidiaries, or on account of any return of capital to any Obligor’s stockholders, partners or members (or the equivalent of any thereof), or any option, warrant or other right to acquire any such dividend or other distribution or payment, or (iii) any payment of interest, principal or fees in respect of any Indebtedness owed by any Obligor or any of its Subsidiaries to an Affiliate of any Obligor or to a holder of more than ten percent (10%) of the Equity Interests of any Obligor or any of its Subsidiaries.</w:t>
      </w:r>
    </w:p>
    <w:p>
      <w:pPr>
        <w:spacing w:after="0" w:line="17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Restrictive Agreement</w:t>
      </w:r>
      <w:r>
        <w:rPr>
          <w:rFonts w:ascii="Arial" w:cs="Arial" w:eastAsia="Arial" w:hAnsi="Arial"/>
          <w:sz w:val="18"/>
          <w:szCs w:val="18"/>
          <w:color w:val="auto"/>
        </w:rPr>
        <w:t xml:space="preserve">” means any Contract or other arrangement that prohibits, restricts or imposes any condition upon (i) the ability of any Obligor or any of its Subsidiaries to create, incur or permit to exist any Lien upon any of its properties or assets (other than (x) customary provisions in Contracts restricting the assignment thereof (including, without limitation, any leases and in-bound licenses of Intellectual Property) and (y) restrictions or conditions imposed by any Contract governing secured Permitted Indebtedness permitted under </w:t>
      </w:r>
      <w:r>
        <w:rPr>
          <w:rFonts w:ascii="Arial" w:cs="Arial" w:eastAsia="Arial" w:hAnsi="Arial"/>
          <w:sz w:val="18"/>
          <w:szCs w:val="18"/>
          <w:b w:val="1"/>
          <w:bCs w:val="1"/>
          <w:color w:val="auto"/>
        </w:rPr>
        <w:t>Section 9.01(i)</w:t>
      </w:r>
      <w:r>
        <w:rPr>
          <w:rFonts w:ascii="Arial" w:cs="Arial" w:eastAsia="Arial" w:hAnsi="Arial"/>
          <w:sz w:val="18"/>
          <w:szCs w:val="18"/>
          <w:color w:val="auto"/>
        </w:rPr>
        <w:t>, to the extent that such restrictions or conditions apply only to the property or assets securing such Indebtedness), or (ii) the ability of any Subsidiary of an Obligor to make Restricted Payments to such Obligor or of any Obligor or any of its Subsidiaries to make or repay loans or advances to any other Obligor or to Guarantee Indebtedness of any other Obligor.</w:t>
      </w:r>
    </w:p>
    <w:p>
      <w:pPr>
        <w:spacing w:after="0" w:line="19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Sanction</w:t>
      </w:r>
      <w:r>
        <w:rPr>
          <w:rFonts w:ascii="Arial" w:cs="Arial" w:eastAsia="Arial" w:hAnsi="Arial"/>
          <w:sz w:val="16"/>
          <w:szCs w:val="16"/>
          <w:color w:val="auto"/>
        </w:rPr>
        <w:t>” means any international economic or financial sanction or trade embargo imposed, administered or enforced from time to time by the United States Government (including, without limitation, OFAC), the United Nations Security Council, the European Union or its Member States, His Majesty’s Treasury or other relevant sanctions authority where the Borrower or any of its Subsidiaries is located or conducts business.</w:t>
      </w:r>
    </w:p>
    <w:p>
      <w:pPr>
        <w:spacing w:after="0" w:line="149"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Sanctioned Person</w:t>
      </w:r>
      <w:r>
        <w:rPr>
          <w:rFonts w:ascii="Arial" w:cs="Arial" w:eastAsia="Arial" w:hAnsi="Arial"/>
          <w:sz w:val="17"/>
          <w:szCs w:val="17"/>
          <w:color w:val="auto"/>
        </w:rPr>
        <w:t>” means, at any time, (i) any Person listed in any Sanctions-related list of designated Persons maintained by the United States Government (including, without limitation, OFAC), the United Nations Security Council, the European Union or its Member States, His Majesty’s Treasury or other relevant sanctions authority, (ii) any Person organized or resident in a Designated Jurisdiction or (iii) any Person fifty percent (50%) or more owned or is controlled by any such Person or Persons described in the foregoing clauses (i) or (ii).</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Scheduled Unavailability Date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5.05(a)(ii)</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6" w:name="page97"/>
    <w:bookmarkEnd w:id="96"/>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Secured Parties</w:t>
      </w:r>
      <w:r>
        <w:rPr>
          <w:rFonts w:ascii="Arial" w:cs="Arial" w:eastAsia="Arial" w:hAnsi="Arial"/>
          <w:sz w:val="17"/>
          <w:szCs w:val="17"/>
          <w:color w:val="auto"/>
        </w:rPr>
        <w:t>” means the Lenders, the Administrative Agent and any of their respective permitted transferees or assigns.</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1"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Security Agreement</w:t>
      </w:r>
      <w:r>
        <w:rPr>
          <w:rFonts w:ascii="Arial" w:cs="Arial" w:eastAsia="Arial" w:hAnsi="Arial"/>
          <w:sz w:val="17"/>
          <w:szCs w:val="17"/>
          <w:color w:val="auto"/>
        </w:rPr>
        <w:t xml:space="preserve">” means the Security Agreement, delivered pursuant to </w:t>
      </w:r>
      <w:r>
        <w:rPr>
          <w:rFonts w:ascii="Arial" w:cs="Arial" w:eastAsia="Arial" w:hAnsi="Arial"/>
          <w:sz w:val="17"/>
          <w:szCs w:val="17"/>
          <w:b w:val="1"/>
          <w:bCs w:val="1"/>
          <w:color w:val="auto"/>
        </w:rPr>
        <w:t>Section 6.01(h)</w:t>
      </w:r>
      <w:r>
        <w:rPr>
          <w:rFonts w:ascii="Arial" w:cs="Arial" w:eastAsia="Arial" w:hAnsi="Arial"/>
          <w:sz w:val="17"/>
          <w:szCs w:val="17"/>
          <w:color w:val="auto"/>
        </w:rPr>
        <w:t>, among the Obligors and the Administrative Agent, granting a security interest in the Obligors’ Collateral in favor of the Administrative Agent, for the benefit of the Secured Parties.</w:t>
      </w:r>
    </w:p>
    <w:p>
      <w:pPr>
        <w:spacing w:after="0" w:line="14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Documents</w:t>
      </w:r>
      <w:r>
        <w:rPr>
          <w:rFonts w:ascii="Arial" w:cs="Arial" w:eastAsia="Arial" w:hAnsi="Arial"/>
          <w:sz w:val="18"/>
          <w:szCs w:val="18"/>
          <w:color w:val="auto"/>
        </w:rPr>
        <w:t>” means, collectively, the Security Agreement, each Short-Form IP Security Agreement, each Real Property Security Document, and each other security document, control agreement or financing statement required or recommended to perfect Liens in favor of the Secured Parties for purposes of securing the Obligations.</w:t>
      </w:r>
    </w:p>
    <w:p>
      <w:pPr>
        <w:spacing w:after="0" w:line="18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Short-Form IP Security Agreements</w:t>
      </w:r>
      <w:r>
        <w:rPr>
          <w:rFonts w:ascii="Arial" w:cs="Arial" w:eastAsia="Arial" w:hAnsi="Arial"/>
          <w:sz w:val="17"/>
          <w:szCs w:val="17"/>
          <w:color w:val="auto"/>
        </w:rPr>
        <w:t>” means short-form Copyright, Patent or Trademark (as the case may be) security agreements, substantially in the form of Exhibit C, D and E to the Security Agreement, entered into by one or more Obligors in favor of the Secured Parties, each in form and substance reasonably satisfactory to the Administrative Agent (and as amended, modified or replaced from time to time).</w:t>
      </w:r>
    </w:p>
    <w:p>
      <w:pPr>
        <w:spacing w:after="0" w:line="165"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Solvent</w:t>
      </w:r>
      <w:r>
        <w:rPr>
          <w:rFonts w:ascii="Arial" w:cs="Arial" w:eastAsia="Arial" w:hAnsi="Arial"/>
          <w:sz w:val="16"/>
          <w:szCs w:val="16"/>
          <w:color w:val="auto"/>
        </w:rPr>
        <w:t>” means, as to any Person as of any date of determination, that on such date (i) the fair value of the property of such Person is greater than the total amount of liabilities, including contingent liabilities, of such Person, (ii) the present fair saleable value of such Person is not less than the amount that will be required to pay the probable liability of such Person on its debts as they become absolute and matured in the Ordinary Course, (iii) such Person does not intend to, and does not believe that it will, incur debts or liabilities beyond such Person’s ability to pay such debts and liabilities as they mature in the ordinary course and (iv) such Person is not engaged in a business or transaction, and is not about to engage in a business or transaction, for which such Person’s property would constitute an unreasonably small capital after giving due consideration to the prevailing practice in the industry in which such Person is engaged or is to engage.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Specified Representations</w:t>
      </w:r>
      <w:r>
        <w:rPr>
          <w:rFonts w:ascii="Arial" w:cs="Arial" w:eastAsia="Arial" w:hAnsi="Arial"/>
          <w:sz w:val="18"/>
          <w:szCs w:val="18"/>
          <w:color w:val="auto"/>
        </w:rPr>
        <w:t>” means the representations and warranties set forth in Sections 7.01(i) and (iv), 7.02, 7.03, 7.10, 7.11, 7.20,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7.21 and 7.22.</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Standards Bodies</w:t>
      </w:r>
      <w:r>
        <w:rPr>
          <w:rFonts w:ascii="Arial" w:cs="Arial" w:eastAsia="Arial" w:hAnsi="Arial"/>
          <w:sz w:val="18"/>
          <w:szCs w:val="18"/>
          <w:color w:val="auto"/>
        </w:rPr>
        <w:t>” means any of the organizations that create, sponsor or maintain safety, quality or other standards, including FDA, USP, ISO, ANSI, CEN and SCC and the like.</w:t>
      </w:r>
    </w:p>
    <w:p>
      <w:pPr>
        <w:spacing w:after="0" w:line="170"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any Person (the “</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(i) of which securities or other ownership interests representing more than fifty percent (50%) of the equity or more than fifty percent (50%) of the ordinary voting power or, in the case of a partnership, more than fifty percent (50%) of the general partnership interests are, as of such date, owned, controlled or held, directly or indirectly, or (ii) that is, as of such date, otherwise Controlled, by the parent or one or more direct or indirect subsidiaries of the parent or by the parent and one or more direct or indirect subsidiaries of the parent. Unless otherwise specified, all references herein to a “Subsidiary” or to “Subsidiaries” shall refer to a Subsidiary or Subsidiaries of the Borrower.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7" w:name="page98"/>
    <w:bookmarkEnd w:id="97"/>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 Guarantors</w:t>
      </w:r>
      <w:r>
        <w:rPr>
          <w:rFonts w:ascii="Arial" w:cs="Arial" w:eastAsia="Arial" w:hAnsi="Arial"/>
          <w:sz w:val="18"/>
          <w:szCs w:val="18"/>
          <w:color w:val="auto"/>
        </w:rPr>
        <w:t xml:space="preserve">” means each Subsidiary of the Borrower identified under the caption “SUBSIDIARY GUARANTORS” on the signature pages hereto and each Subsidiary of the Borrower that becomes, or is required to become, a “Subsidiary Guarantor” after the date hereof pursuant to </w:t>
      </w:r>
      <w:r>
        <w:rPr>
          <w:rFonts w:ascii="Arial" w:cs="Arial" w:eastAsia="Arial" w:hAnsi="Arial"/>
          <w:sz w:val="18"/>
          <w:szCs w:val="18"/>
          <w:b w:val="1"/>
          <w:bCs w:val="1"/>
          <w:color w:val="auto"/>
        </w:rPr>
        <w:t>Section 8.11</w:t>
      </w:r>
      <w:r>
        <w:rPr>
          <w:rFonts w:ascii="Arial" w:cs="Arial" w:eastAsia="Arial" w:hAnsi="Arial"/>
          <w:sz w:val="18"/>
          <w:szCs w:val="18"/>
          <w:color w:val="auto"/>
        </w:rPr>
        <w: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Successor Rate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5.05(a)(ii)(B)</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Technical Information</w:t>
      </w:r>
      <w:r>
        <w:rPr>
          <w:rFonts w:ascii="Arial" w:cs="Arial" w:eastAsia="Arial" w:hAnsi="Arial"/>
          <w:sz w:val="18"/>
          <w:szCs w:val="18"/>
          <w:color w:val="auto"/>
        </w:rPr>
        <w:t>” means all (i) Product Related Information and (ii) all other know-how, information of a scientific, technical, or business nature in any form or medium, Invention disclosures, documented research, developmental, demonstration or engineering work, in each case that is proprietary, confidential, or that constitutes trade secrets under applicable Laws.</w:t>
      </w:r>
    </w:p>
    <w:p>
      <w:pPr>
        <w:spacing w:after="0" w:line="18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Term SOFR</w:t>
      </w:r>
      <w:r>
        <w:rPr>
          <w:rFonts w:ascii="Arial" w:cs="Arial" w:eastAsia="Arial" w:hAnsi="Arial"/>
          <w:sz w:val="17"/>
          <w:szCs w:val="17"/>
          <w:color w:val="auto"/>
        </w:rPr>
        <w:t xml:space="preserve">” means for any Interest Period the rate per annum equal to the Term SOFR Screen Rate two U.S. Government Securities Business Days prior to the commencement of such Interest Period with a term equivalent to such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rate is not published prior to 11:00 a.m. on such determination date then Term SOFR means the Term SOFR Screen Rate on the first U.S. Government Securities Business Day immediately prior thereto, in each case,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Credit Spread Adjustment for such Interest Period.</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 SOFR Replacement Date</w:t>
      </w:r>
      <w:r>
        <w:rPr>
          <w:rFonts w:ascii="Arial" w:cs="Arial" w:eastAsia="Arial" w:hAnsi="Arial"/>
          <w:sz w:val="18"/>
          <w:szCs w:val="18"/>
          <w:color w:val="auto"/>
        </w:rPr>
        <w:t xml:space="preserve">” has the meaning assigned to such term in </w:t>
      </w:r>
      <w:r>
        <w:rPr>
          <w:rFonts w:ascii="Arial" w:cs="Arial" w:eastAsia="Arial" w:hAnsi="Arial"/>
          <w:sz w:val="18"/>
          <w:szCs w:val="18"/>
          <w:b w:val="1"/>
          <w:bCs w:val="1"/>
          <w:color w:val="auto"/>
        </w:rPr>
        <w:t>Section 5.05(a)(ii)(A)</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 SOFR Screen Rate</w:t>
      </w:r>
      <w:r>
        <w:rPr>
          <w:rFonts w:ascii="Arial" w:cs="Arial" w:eastAsia="Arial" w:hAnsi="Arial"/>
          <w:sz w:val="18"/>
          <w:szCs w:val="18"/>
          <w:color w:val="auto"/>
        </w:rPr>
        <w:t>” means the forward-looking SOFR term rate administered by CME (or any successor administrator satisfactory to the Administrative Agent) and published on the applicable Bloomberg screen page (or such other commercially available source providing such quotations as may be designated by the Administrative Agent from time to time).</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Conditions</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13.03</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Three-Month Term SOFR</w:t>
      </w:r>
      <w:r>
        <w:rPr>
          <w:rFonts w:ascii="Arial" w:cs="Arial" w:eastAsia="Arial" w:hAnsi="Arial"/>
          <w:sz w:val="17"/>
          <w:szCs w:val="17"/>
          <w:color w:val="auto"/>
        </w:rPr>
        <w:t xml:space="preserve">” means a rate per annum equal to the greater of (i) two and three quarters percent (2.75%) per annum and (ii) the Term SOFR for a three-month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Three-Month Term SOFR as so determined would be greater than six percent (6.00%) per annum, Three-Month Term SOFR shall be deemed to equal six percent (6.00%) per annum for purposes of this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8" w:name="page99"/>
    <w:bookmarkEnd w:id="98"/>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Title IV Plan</w:t>
      </w:r>
      <w:r>
        <w:rPr>
          <w:rFonts w:ascii="Arial" w:cs="Arial" w:eastAsia="Arial" w:hAnsi="Arial"/>
          <w:sz w:val="18"/>
          <w:szCs w:val="18"/>
          <w:color w:val="auto"/>
        </w:rPr>
        <w:t>” means an employee benefit plan (as defined in Section 3(3) of ERISA) other than a Multiemployer Plan (i) that is or was at any time within the preceding five years maintained or sponsored by any Obligor or any ERISA Affiliate thereof or to which any Obligor or any ERISA Affiliate thereof has within the preceding five years ever made, or was within the preceding five years obligated to make, contributions, and (ii) that is or was subject to Section 412 of the Code, Section 302 of ERISA or Title IV of ERISA.</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TOBRADEX ST</w:t>
      </w:r>
      <w:r>
        <w:rPr>
          <w:rFonts w:ascii="Arial" w:cs="Arial" w:eastAsia="Arial" w:hAnsi="Arial"/>
          <w:sz w:val="18"/>
          <w:szCs w:val="18"/>
          <w:color w:val="auto"/>
        </w:rPr>
        <w:t>” (0.3% tobramycin and 0.05% dexamethasone) is a topical antibiotic and corticosteroid combination for steroid-responsive inflammatory ocular conditions for which a corticosteroid is indicated and where superficial bacterial ocular infection or a risk of bacterial ocular infection exists.</w:t>
      </w:r>
    </w:p>
    <w:p>
      <w:pPr>
        <w:spacing w:after="0" w:line="18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Total Debt</w:t>
      </w:r>
      <w:r>
        <w:rPr>
          <w:rFonts w:ascii="Arial" w:cs="Arial" w:eastAsia="Arial" w:hAnsi="Arial"/>
          <w:sz w:val="18"/>
          <w:szCs w:val="18"/>
          <w:color w:val="auto"/>
        </w:rPr>
        <w:t xml:space="preserve">” means, as of any date of determination, the aggregate principal amount of Indebtedness of the Borrower and its Subsidiaries outstanding on such date, determined on a consolidated basis in accordance with GAAP (but excluding the effects of any discounting of Indebtedness resulting from the application of purchase accounting in connection with the Transactions, any Permitted Acquisition or the Eyevance Acquisition), consisting of Indebtedness for borrowed money, Capital Lease Obligations and debt obligations evidenced by bonds, debentures, notes, loan agreements or other similar instruments;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Total Debt shall not include (x) obligations under Hedging Agreements entered into in the Ordinary Course and not for speculative purposes or (y) undrawn letters of credit.</w:t>
      </w:r>
    </w:p>
    <w:p>
      <w:pPr>
        <w:spacing w:after="0" w:line="19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Total Leverage Ratio</w:t>
      </w:r>
      <w:r>
        <w:rPr>
          <w:rFonts w:ascii="Arial" w:cs="Arial" w:eastAsia="Arial" w:hAnsi="Arial"/>
          <w:sz w:val="18"/>
          <w:szCs w:val="18"/>
          <w:color w:val="auto"/>
        </w:rPr>
        <w:t>” means, at any time of determination, the ratio of (a) Total Debt at such time to (b) EBITDA of the Borrower and its Subsidiaries for the four consecutive fiscal quarter period ended as of such date.</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Trademarks</w:t>
      </w:r>
      <w:r>
        <w:rPr>
          <w:rFonts w:ascii="Arial" w:cs="Arial" w:eastAsia="Arial" w:hAnsi="Arial"/>
          <w:sz w:val="17"/>
          <w:szCs w:val="17"/>
          <w:color w:val="auto"/>
        </w:rPr>
        <w:t>” means all trade names, trademarks and service marks, corporate names, logos, Internet domain names and other indicia of origin, in each case, whether or not registered, trademark and service mark registrations, and applications for trademark and service mark registrations, including (i) all renewals of trademark and service mark registrations and (ii) all rights whatsoever accruing thereunder or pertaining thereto throughout the world (including common law rights), together, in each case, with the goodwill associated therewith or symbolized thereby.</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Tranche A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b w:val="1"/>
          <w:bCs w:val="1"/>
          <w:color w:val="auto"/>
        </w:rPr>
        <w:t>Section 2.01(a)(i)</w:t>
      </w:r>
      <w:r>
        <w:rPr>
          <w:rFonts w:ascii="Arial" w:cs="Arial" w:eastAsia="Arial" w:hAnsi="Arial"/>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Tranche B Availability Period</w:t>
      </w:r>
      <w:r>
        <w:rPr>
          <w:rFonts w:ascii="Arial" w:cs="Arial" w:eastAsia="Arial" w:hAnsi="Arial"/>
          <w:sz w:val="18"/>
          <w:szCs w:val="18"/>
          <w:color w:val="auto"/>
        </w:rPr>
        <w:t>” has the meaning set forth in the Loans Schedule.</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Tranche B Commitment</w:t>
      </w:r>
      <w:r>
        <w:rPr>
          <w:rFonts w:ascii="Arial" w:cs="Arial" w:eastAsia="Arial" w:hAnsi="Arial"/>
          <w:sz w:val="18"/>
          <w:szCs w:val="18"/>
          <w:color w:val="auto"/>
        </w:rPr>
        <w:t xml:space="preserve">” means, with respect to each Lender, the obligation of such Lender to make Tranche B Term Loans to the Borrower on the Tranche B Funding Date for Tranche B Term Loans in accordance with the terms and conditions of this Agreement, which commitment is in the amount set forth opposite such Lender’s name on </w:t>
      </w:r>
      <w:r>
        <w:rPr>
          <w:rFonts w:ascii="Arial" w:cs="Arial" w:eastAsia="Arial" w:hAnsi="Arial"/>
          <w:sz w:val="18"/>
          <w:szCs w:val="18"/>
          <w:b w:val="1"/>
          <w:bCs w:val="1"/>
          <w:color w:val="auto"/>
        </w:rPr>
        <w:t>Schedule 1</w:t>
      </w:r>
      <w:r>
        <w:rPr>
          <w:rFonts w:ascii="Arial" w:cs="Arial" w:eastAsia="Arial" w:hAnsi="Arial"/>
          <w:sz w:val="18"/>
          <w:szCs w:val="18"/>
          <w:color w:val="auto"/>
        </w:rPr>
        <w:t xml:space="preserve"> under the caption “Applicable Commitment” for Tranche B Term Loans, as such Schedule may be amended from time to time pursuant to an Assignment and Assumption, pursuant to the following sentence, or otherwise. The aggregate amount of Tranche B Commitments on the date of this Agreement equals $35,000,000;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Tranche B Funding Date does not occur on or prior to March 27, 2024, the Tranche B Commitment shall automatically, and without any further action of any Person, be reduced to $30,000,000, and </w:t>
      </w:r>
      <w:r>
        <w:rPr>
          <w:rFonts w:ascii="Arial" w:cs="Arial" w:eastAsia="Arial" w:hAnsi="Arial"/>
          <w:sz w:val="18"/>
          <w:szCs w:val="18"/>
          <w:b w:val="1"/>
          <w:bCs w:val="1"/>
          <w:color w:val="auto"/>
        </w:rPr>
        <w:t xml:space="preserve">Schedule 1 </w:t>
      </w:r>
      <w:r>
        <w:rPr>
          <w:rFonts w:ascii="Arial" w:cs="Arial" w:eastAsia="Arial" w:hAnsi="Arial"/>
          <w:sz w:val="18"/>
          <w:szCs w:val="18"/>
          <w:color w:val="auto"/>
        </w:rPr>
        <w:t>shall be deemed amended to reflect such reduction, and to reduce each Lender’s Tranche B Commitment set forth in</w:t>
      </w:r>
      <w:r>
        <w:rPr>
          <w:rFonts w:ascii="Arial" w:cs="Arial" w:eastAsia="Arial" w:hAnsi="Arial"/>
          <w:sz w:val="18"/>
          <w:szCs w:val="18"/>
          <w:b w:val="1"/>
          <w:bCs w:val="1"/>
          <w:color w:val="auto"/>
        </w:rPr>
        <w:t xml:space="preserve"> Schedule 1 </w:t>
      </w:r>
      <w:r>
        <w:rPr>
          <w:rFonts w:ascii="Arial" w:cs="Arial" w:eastAsia="Arial" w:hAnsi="Arial"/>
          <w:sz w:val="18"/>
          <w:szCs w:val="18"/>
          <w:color w:val="auto"/>
        </w:rPr>
        <w:t>on a 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basis.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9" w:name="page100"/>
    <w:bookmarkEnd w:id="99"/>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Tranche B Funding Condition</w:t>
      </w:r>
      <w:r>
        <w:rPr>
          <w:rFonts w:ascii="Arial" w:cs="Arial" w:eastAsia="Arial" w:hAnsi="Arial"/>
          <w:sz w:val="18"/>
          <w:szCs w:val="18"/>
          <w:color w:val="auto"/>
        </w:rPr>
        <w:t>” has the meaning set forth in the Loans Schedule.</w:t>
      </w:r>
    </w:p>
    <w:p>
      <w:pPr>
        <w:spacing w:after="0" w:line="225"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Tranche B Funding Date</w:t>
      </w:r>
      <w:r>
        <w:rPr>
          <w:rFonts w:ascii="Arial" w:cs="Arial" w:eastAsia="Arial" w:hAnsi="Arial"/>
          <w:sz w:val="16"/>
          <w:szCs w:val="16"/>
          <w:color w:val="auto"/>
        </w:rPr>
        <w:t xml:space="preserve">” means the date on or prior to the expiration of the Tranche B Availability Period on which all conditions precedent set forth in </w:t>
      </w:r>
      <w:r>
        <w:rPr>
          <w:rFonts w:ascii="Arial" w:cs="Arial" w:eastAsia="Arial" w:hAnsi="Arial"/>
          <w:sz w:val="16"/>
          <w:szCs w:val="16"/>
          <w:b w:val="1"/>
          <w:bCs w:val="1"/>
          <w:color w:val="auto"/>
        </w:rPr>
        <w:t>Section 6.02</w:t>
      </w:r>
      <w:r>
        <w:rPr>
          <w:rFonts w:ascii="Arial" w:cs="Arial" w:eastAsia="Arial" w:hAnsi="Arial"/>
          <w:sz w:val="16"/>
          <w:szCs w:val="16"/>
          <w:color w:val="auto"/>
        </w:rPr>
        <w:t xml:space="preserve"> for the borrowing of Tranche B Term Loans are satisfied or waived in accordance with the terms of this Agreement.</w:t>
      </w:r>
    </w:p>
    <w:p>
      <w:pPr>
        <w:spacing w:after="0" w:line="12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Tranche B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b w:val="1"/>
          <w:bCs w:val="1"/>
          <w:color w:val="auto"/>
        </w:rPr>
        <w:t>Section 2.01(a)(ii)</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means (a) the negotiation, preparation, execution, delivery and performance by each Obligor of this Agreement and the other Loan Documents to which such Obligor is (or is intended to be) a party, the making of the Loans hereunder, and all other transactions contemplated pursuant to this Agreement and the other Loan Documents, including the creation of the Liens pursuant to the Security Documents and (b) the payment of all fees and expenses incurred or paid by the Obligors in connection with the foregoing.</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UCC</w:t>
      </w:r>
      <w:r>
        <w:rPr>
          <w:rFonts w:ascii="Arial" w:cs="Arial" w:eastAsia="Arial" w:hAnsi="Arial"/>
          <w:sz w:val="18"/>
          <w:szCs w:val="18"/>
          <w:color w:val="auto"/>
        </w:rPr>
        <w:t>” means, with respect to any applicable jurisdictions, the Uniform Commercial Code as in effect in such jurisdiction, as may be modified from time to time.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TRIESENCE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Schedule 4</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United States</w:t>
      </w:r>
      <w:r>
        <w:rPr>
          <w:rFonts w:ascii="Arial" w:cs="Arial" w:eastAsia="Arial" w:hAnsi="Arial"/>
          <w:sz w:val="18"/>
          <w:szCs w:val="18"/>
          <w:color w:val="auto"/>
        </w:rPr>
        <w:t>” or “</w:t>
      </w:r>
      <w:r>
        <w:rPr>
          <w:rFonts w:ascii="Arial" w:cs="Arial" w:eastAsia="Arial" w:hAnsi="Arial"/>
          <w:sz w:val="18"/>
          <w:szCs w:val="18"/>
          <w:b w:val="1"/>
          <w:bCs w:val="1"/>
          <w:i w:val="1"/>
          <w:iCs w:val="1"/>
          <w:color w:val="auto"/>
        </w:rPr>
        <w:t>U.S.</w:t>
      </w:r>
      <w:r>
        <w:rPr>
          <w:rFonts w:ascii="Arial" w:cs="Arial" w:eastAsia="Arial" w:hAnsi="Arial"/>
          <w:sz w:val="18"/>
          <w:szCs w:val="18"/>
          <w:color w:val="auto"/>
        </w:rPr>
        <w:t>” means the United States of America, its fifty states and the District of Columbia.</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 Government Securities Business Day</w:t>
      </w:r>
      <w:r>
        <w:rPr>
          <w:rFonts w:ascii="Arial" w:cs="Arial" w:eastAsia="Arial" w:hAnsi="Arial"/>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0" w:name="page101"/>
    <w:bookmarkEnd w:id="100"/>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 Person</w:t>
      </w:r>
      <w:r>
        <w:rPr>
          <w:rFonts w:ascii="Arial" w:cs="Arial" w:eastAsia="Arial" w:hAnsi="Arial"/>
          <w:sz w:val="18"/>
          <w:szCs w:val="18"/>
          <w:color w:val="auto"/>
        </w:rPr>
        <w:t>” means a “United States Person” within the meaning of Section 7701(a)(30) of the Code.</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U.S. Tax Compliance Certificate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5.03(f)(ii)(B)(3)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VCOC Lender</w:t>
      </w:r>
      <w:r>
        <w:rPr>
          <w:rFonts w:ascii="Arial" w:cs="Arial" w:eastAsia="Arial" w:hAnsi="Arial"/>
          <w:sz w:val="18"/>
          <w:szCs w:val="18"/>
          <w:color w:val="auto"/>
        </w:rPr>
        <w:t xml:space="preserve">” has the meaning assigned to such term in </w:t>
      </w:r>
      <w:r>
        <w:rPr>
          <w:rFonts w:ascii="Arial" w:cs="Arial" w:eastAsia="Arial" w:hAnsi="Arial"/>
          <w:sz w:val="18"/>
          <w:szCs w:val="18"/>
          <w:b w:val="1"/>
          <w:bCs w:val="1"/>
          <w:color w:val="auto"/>
        </w:rPr>
        <w:t>Section 8.19</w:t>
      </w:r>
      <w:r>
        <w:rPr>
          <w:rFonts w:ascii="Arial" w:cs="Arial" w:eastAsia="Arial" w:hAnsi="Arial"/>
          <w:sz w:val="18"/>
          <w:szCs w:val="18"/>
          <w:color w:val="auto"/>
        </w:rPr>
        <w:t>.</w:t>
      </w:r>
    </w:p>
    <w:p>
      <w:pPr>
        <w:spacing w:after="0" w:line="22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VERKAZIA</w:t>
      </w:r>
      <w:r>
        <w:rPr>
          <w:rFonts w:ascii="Arial" w:cs="Arial" w:eastAsia="Arial" w:hAnsi="Arial"/>
          <w:sz w:val="18"/>
          <w:szCs w:val="18"/>
          <w:color w:val="auto"/>
        </w:rPr>
        <w:t>” (0.1% cyclosporine ophthalmic emulsion) is an eye drop that helps control the ongoing inflammation of vernal keratoconjunctivitis.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VIGAMOX</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Schedule 4</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w:t>
      </w:r>
      <w:r>
        <w:rPr>
          <w:rFonts w:ascii="Arial" w:cs="Arial" w:eastAsia="Arial" w:hAnsi="Arial"/>
          <w:sz w:val="18"/>
          <w:szCs w:val="18"/>
          <w:color w:val="auto"/>
        </w:rPr>
        <w:t xml:space="preserve">” means each Warrant (if any) delivered pursuant to </w:t>
      </w:r>
      <w:r>
        <w:rPr>
          <w:rFonts w:ascii="Arial" w:cs="Arial" w:eastAsia="Arial" w:hAnsi="Arial"/>
          <w:sz w:val="18"/>
          <w:szCs w:val="18"/>
          <w:b w:val="1"/>
          <w:bCs w:val="1"/>
          <w:color w:val="auto"/>
        </w:rPr>
        <w:t>Section 8.18</w:t>
      </w:r>
      <w:r>
        <w:rPr>
          <w:rFonts w:ascii="Arial" w:cs="Arial" w:eastAsia="Arial" w:hAnsi="Arial"/>
          <w:sz w:val="18"/>
          <w:szCs w:val="18"/>
          <w:color w:val="auto"/>
        </w:rPr>
        <w:t xml:space="preserve"> in substantially the form attached hereto as </w:t>
      </w:r>
      <w:r>
        <w:rPr>
          <w:rFonts w:ascii="Arial" w:cs="Arial" w:eastAsia="Arial" w:hAnsi="Arial"/>
          <w:sz w:val="18"/>
          <w:szCs w:val="18"/>
          <w:b w:val="1"/>
          <w:bCs w:val="1"/>
          <w:color w:val="auto"/>
        </w:rPr>
        <w:t>Exhibit I</w:t>
      </w:r>
      <w:r>
        <w:rPr>
          <w:rFonts w:ascii="Arial" w:cs="Arial" w:eastAsia="Arial" w:hAnsi="Arial"/>
          <w:sz w:val="18"/>
          <w:szCs w:val="18"/>
          <w:color w:val="auto"/>
        </w:rPr>
        <w:t>, as amended, replaced or otherwise modified pursuant to the terms thereof.</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Withholding Agent</w:t>
      </w:r>
      <w:r>
        <w:rPr>
          <w:rFonts w:ascii="Arial" w:cs="Arial" w:eastAsia="Arial" w:hAnsi="Arial"/>
          <w:sz w:val="18"/>
          <w:szCs w:val="18"/>
          <w:color w:val="auto"/>
        </w:rPr>
        <w:t>” means the Borrower and the Administrative Agent.</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Yield Protection Premium</w:t>
      </w:r>
      <w:r>
        <w:rPr>
          <w:rFonts w:ascii="Arial" w:cs="Arial" w:eastAsia="Arial" w:hAnsi="Arial"/>
          <w:sz w:val="18"/>
          <w:szCs w:val="18"/>
          <w:color w:val="auto"/>
        </w:rPr>
        <w:t xml:space="preserve">” means with respect to any prepayment of all or any portion of the Loans, whether by optional or mandatory prepayment, acceleration or otherwise, an amount equal to the Make-Whole Discounted Value of the Make-Whole Remaining Scheduled Payments as calculated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 shall in no event be less than zero.</w:t>
      </w:r>
    </w:p>
    <w:p>
      <w:pPr>
        <w:spacing w:after="0" w:line="184"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Zerivate License Obligations</w:t>
      </w:r>
      <w:r>
        <w:rPr>
          <w:rFonts w:ascii="Arial" w:cs="Arial" w:eastAsia="Arial" w:hAnsi="Arial"/>
          <w:sz w:val="16"/>
          <w:szCs w:val="16"/>
          <w:color w:val="auto"/>
        </w:rPr>
        <w:t xml:space="preserve">” means the royalty and commercial milestone payment obligations described in Sections 3.2 and 3.3 of that certain Exclusive License Agreement, dated as of September 20, 2017, by and between the Borrower, Harrow Eye, LLC, and Harrow IP, LLC, as successors-by-assignment to Eyevance Pharmaceuticals LLC, a Delaware limited liability company, and Nicox Ophthalmics, Inc., a Delaware corporation, (including all schedules, annexes, exhibits and other attachments thereto), as in effect on the First Amendment Effective Date, as amended by that certain First Amendment to Exclusive License Agreement, dated as of August 2, 2019, that certain Second Amendment to Exclusive License Agreement, dated as of June 16, 2020, and as it may be further amended, restated, amended and restated, supplemented or otherwise modified in any manner not materially adverse to the interests of the Administrative Agent or the Lenders in their respective capacities as such, unless consented to in writing by the Administrative Agent and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increase in the amount of any of such royalty or commercial milestone payment obligations shall be deemed materially adverse to the Administrative Agent and the Lenders, in their respective capacities as such.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1" w:name="page102"/>
    <w:bookmarkEnd w:id="101"/>
    <w:p>
      <w:pPr>
        <w:jc w:val="both"/>
        <w:spacing w:after="0" w:line="269" w:lineRule="auto"/>
        <w:rPr>
          <w:sz w:val="20"/>
          <w:szCs w:val="20"/>
          <w:color w:val="auto"/>
        </w:rPr>
      </w:pPr>
      <w:r>
        <w:rPr>
          <w:rFonts w:ascii="Arial" w:cs="Arial" w:eastAsia="Arial" w:hAnsi="Arial"/>
          <w:sz w:val="17"/>
          <w:szCs w:val="17"/>
          <w:b w:val="1"/>
          <w:bCs w:val="1"/>
          <w:i w:val="1"/>
          <w:iCs w:val="1"/>
          <w:color w:val="auto"/>
        </w:rPr>
        <w:t>SECTION 3. Accounting Terms and Principles</w:t>
      </w:r>
      <w:r>
        <w:rPr>
          <w:rFonts w:ascii="Arial" w:cs="Arial" w:eastAsia="Arial" w:hAnsi="Arial"/>
          <w:sz w:val="17"/>
          <w:szCs w:val="17"/>
          <w:color w:val="auto"/>
        </w:rPr>
        <w:t>. Unless otherwise specified, all accounting terms used in each Loan Document shall be interpreted, and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accounting determinations and computations thereunder (including under </w:t>
      </w:r>
      <w:r>
        <w:rPr>
          <w:rFonts w:ascii="Arial" w:cs="Arial" w:eastAsia="Arial" w:hAnsi="Arial"/>
          <w:sz w:val="17"/>
          <w:szCs w:val="17"/>
          <w:b w:val="1"/>
          <w:bCs w:val="1"/>
          <w:color w:val="auto"/>
        </w:rPr>
        <w:t>Section 10</w:t>
      </w:r>
      <w:r>
        <w:rPr>
          <w:rFonts w:ascii="Arial" w:cs="Arial" w:eastAsia="Arial" w:hAnsi="Arial"/>
          <w:sz w:val="17"/>
          <w:szCs w:val="17"/>
          <w:color w:val="auto"/>
        </w:rPr>
        <w:t xml:space="preserve"> and any definitions used in such calculations) shall be made, in accordance with GAAP. Unless otherwise expressly provided, all financial covenants and defined financial terms shall be computed on a consolidated basis for the Borrower and its Subsidiaries, in each case without duplication. If the Borrower requests an amendment to any provision hereof to eliminate the effect of (a) any change in GAAP or the application thereof or (b) the issuance of any new accounting rule or guidance or in the application thereof, in each case, occurring after the date of this Agreement, then the Lenders and Borrower agree that they will negotiate in good faith amendments to the provisions of this Agreement that are directly affected by such change or issuance with the intent of having the respective positions of the Lenders and Borrower after such change or issuance conform as nearly as possible to their respective positions as of the date of this Agreement and, until any such amendments have been agreed upon, (i) the provisions in this Agreement shall be calculated as if no such change or issuance has occurred and (ii) the Borrower shall provide to the Lenders a written reconciliation in form and substance reasonably satisfactory to the Lenders, between calculations of any baskets and other requirements hereunder before and after giving effect to such change or issuance.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SECTION 4. Interpretation</w:t>
      </w:r>
      <w:r>
        <w:rPr>
          <w:rFonts w:ascii="Arial" w:cs="Arial" w:eastAsia="Arial" w:hAnsi="Arial"/>
          <w:sz w:val="16"/>
          <w:szCs w:val="16"/>
          <w:color w:val="auto"/>
        </w:rPr>
        <w:t>. For all purposes of this Agreement, except as otherwise expressly provided herein or unless the context otherwise requires,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color w:val="auto"/>
        </w:rPr>
        <w:t>the terms defined in this Agreement include the plural as well as the singular and vice versa;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color w:val="auto"/>
        </w:rPr>
        <w:t>words importing gender include all genders;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color w:val="auto"/>
        </w:rPr>
        <w:t>any reference to a Section, Annex, Schedule or Exhibit refers to a Section of, or Annex, Schedule or Exhibit to, this Agreement;</w:t>
      </w:r>
    </w:p>
    <w:p>
      <w:pPr>
        <w:spacing w:after="0" w:line="225"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color w:val="auto"/>
        </w:rPr>
        <w:t>any reference to “this Agreement” refers to this Agreement, including all Annexes, Schedules and Exhibits hereto, and the words herein,</w:t>
      </w:r>
      <w:r>
        <w:rPr>
          <w:rFonts w:ascii="Arial" w:cs="Arial" w:eastAsia="Arial" w:hAnsi="Arial"/>
          <w:sz w:val="18"/>
          <w:szCs w:val="18"/>
          <w:b w:val="1"/>
          <w:bCs w:val="1"/>
          <w:color w:val="auto"/>
        </w:rPr>
        <w:t xml:space="preserve"> </w:t>
      </w:r>
      <w:r>
        <w:rPr>
          <w:rFonts w:ascii="Arial" w:cs="Arial" w:eastAsia="Arial" w:hAnsi="Arial"/>
          <w:sz w:val="18"/>
          <w:szCs w:val="18"/>
          <w:color w:val="auto"/>
        </w:rPr>
        <w:t>hereof, hereto and hereunder and words of similar import refer to this Agreement and its Annexes, Schedules and Exhibits as a whole and not to any particular Section, Annex, Schedule, Exhibit or any other subdivision;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color w:val="auto"/>
        </w:rPr>
        <w:t>references to days, months and years refer to calendar days, months and years,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color w:val="auto"/>
        </w:rPr>
        <w:t>all references herein to “include” or “including” shall be deemed to be followed by the words “without limitation”;</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color w:val="auto"/>
        </w:rPr>
        <w:t>the word “from” when used in connection with a period of time means “from and including” and the word “until” means “to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color w:val="auto"/>
        </w:rPr>
        <w:t>the words “asset” and “property” shall be construed to have the same meaning and effect and to refer broadly to any and all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properties, whether tangible or intangible, real or personal, including cash, securities, rights under contractual obligations and permits and any right or interest in any such assets or property;</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color w:val="auto"/>
        </w:rPr>
        <w:t>accounting terms not specifically defined herein (other than “property” and “asset”) shall be construed in accordance with GAAP, subject to</w:t>
      </w:r>
      <w:r>
        <w:rPr>
          <w:rFonts w:ascii="Arial" w:cs="Arial" w:eastAsia="Arial" w:hAnsi="Arial"/>
          <w:sz w:val="18"/>
          <w:szCs w:val="18"/>
          <w:b w:val="1"/>
          <w:bCs w:val="1"/>
          <w:color w:val="auto"/>
        </w:rPr>
        <w:t xml:space="preserve"> Section 1.02</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color w:val="auto"/>
        </w:rPr>
        <w:t>the word “will” shall have the same meaning as the word “shall”;</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color w:val="auto"/>
        </w:rPr>
        <w:t>where any provision in this Agreement or any other Loan Document refers to an action to be taken by any Person, or an action which such</w:t>
      </w:r>
      <w:r>
        <w:rPr>
          <w:rFonts w:ascii="Arial" w:cs="Arial" w:eastAsia="Arial" w:hAnsi="Arial"/>
          <w:sz w:val="18"/>
          <w:szCs w:val="18"/>
          <w:b w:val="1"/>
          <w:bCs w:val="1"/>
          <w:color w:val="auto"/>
        </w:rPr>
        <w:t xml:space="preserve"> </w:t>
      </w:r>
      <w:r>
        <w:rPr>
          <w:rFonts w:ascii="Arial" w:cs="Arial" w:eastAsia="Arial" w:hAnsi="Arial"/>
          <w:sz w:val="18"/>
          <w:szCs w:val="18"/>
          <w:color w:val="auto"/>
        </w:rPr>
        <w:t>Person is prohibited from taking, such provision shall be applicable whether such action is taken directly or, to the knowledge of such Person, indirectly; and</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color w:val="auto"/>
        </w:rPr>
        <w:t>references to any Lien granted or created hereunder or pursuant to any other Loan Document securing any Obligations shall deemed to be a</w:t>
      </w:r>
      <w:r>
        <w:rPr>
          <w:rFonts w:ascii="Arial" w:cs="Arial" w:eastAsia="Arial" w:hAnsi="Arial"/>
          <w:sz w:val="18"/>
          <w:szCs w:val="18"/>
          <w:b w:val="1"/>
          <w:bCs w:val="1"/>
          <w:color w:val="auto"/>
        </w:rPr>
        <w:t xml:space="preserve"> </w:t>
      </w:r>
      <w:r>
        <w:rPr>
          <w:rFonts w:ascii="Arial" w:cs="Arial" w:eastAsia="Arial" w:hAnsi="Arial"/>
          <w:sz w:val="18"/>
          <w:szCs w:val="18"/>
          <w:color w:val="auto"/>
        </w:rPr>
        <w:t>Lien for the benefit of the Secured Parties.</w:t>
      </w:r>
    </w:p>
    <w:p>
      <w:pPr>
        <w:spacing w:after="0" w:line="166" w:lineRule="exact"/>
        <w:rPr>
          <w:sz w:val="20"/>
          <w:szCs w:val="20"/>
          <w:color w:val="auto"/>
        </w:rPr>
      </w:pPr>
    </w:p>
    <w:p>
      <w:pPr>
        <w:ind w:right="500" w:firstLine="1296"/>
        <w:spacing w:after="0" w:line="301" w:lineRule="auto"/>
        <w:rPr>
          <w:sz w:val="20"/>
          <w:szCs w:val="20"/>
          <w:color w:val="auto"/>
        </w:rPr>
      </w:pPr>
      <w:r>
        <w:rPr>
          <w:rFonts w:ascii="Arial" w:cs="Arial" w:eastAsia="Arial" w:hAnsi="Arial"/>
          <w:sz w:val="16"/>
          <w:szCs w:val="16"/>
          <w:color w:val="auto"/>
        </w:rPr>
        <w:t>Unless otherwise expressly provided herein, references to organizational documents, agreements (including the Loan Documents, including any schedules and exhibits thereto) and other contractual instruments shall be deemed to include all subsequent amendments, restatements, extensions, supplements and other modifications thereto permitted by the Loan Documents. Any definition or reference to any Law shall include all statutory and regulatory provisions consolidating, amending, replacing, supplementing or interpreting such Law.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3" w:name="page104"/>
    <w:bookmarkEnd w:id="103"/>
    <w:p>
      <w:pPr>
        <w:jc w:val="both"/>
        <w:ind w:firstLine="1296"/>
        <w:spacing w:after="0" w:line="255" w:lineRule="auto"/>
        <w:rPr>
          <w:sz w:val="20"/>
          <w:szCs w:val="20"/>
          <w:color w:val="auto"/>
        </w:rPr>
      </w:pPr>
      <w:r>
        <w:rPr>
          <w:rFonts w:ascii="Arial" w:cs="Arial" w:eastAsia="Arial" w:hAnsi="Arial"/>
          <w:sz w:val="18"/>
          <w:szCs w:val="18"/>
          <w:color w:val="auto"/>
        </w:rPr>
        <w:t>If any payment required to be made pursuant to the terms and conditions of any Loan Document falls due on a day which is not a Business Day, then such required payment date shall be extended to the immediately following Business Day. For purposes of determining compliance with any covenant (including the computation of any financial covenant) contained herein, Indebtedness of the Obligors and their Subsidiaries will be deemed to be equal to 100% of the outstanding principal amount thereof or payment obligations with respect thereto at the time of determination thereof, or with respect to any Hedging Agreements, the amount that would be payable if the agreement governing such Hedging Agreements were terminated on the date of termination.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SECTION 17. Division</w:t>
      </w:r>
      <w:r>
        <w:rPr>
          <w:rFonts w:ascii="Arial" w:cs="Arial" w:eastAsia="Arial" w:hAnsi="Arial"/>
          <w:sz w:val="18"/>
          <w:szCs w:val="18"/>
          <w:color w:val="auto"/>
        </w:rPr>
        <w:t>. For all purposes under the Loan Documents, in connection with any division or plan of division under Delaware law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comparable event under a different jurisdiction’s laws) (a “</w:t>
      </w:r>
      <w:r>
        <w:rPr>
          <w:rFonts w:ascii="Arial" w:cs="Arial" w:eastAsia="Arial" w:hAnsi="Arial"/>
          <w:sz w:val="18"/>
          <w:szCs w:val="18"/>
          <w:b w:val="1"/>
          <w:bCs w:val="1"/>
          <w:i w:val="1"/>
          <w:iCs w:val="1"/>
          <w:color w:val="auto"/>
        </w:rPr>
        <w:t>Division</w:t>
      </w:r>
      <w:r>
        <w:rPr>
          <w:rFonts w:ascii="Arial" w:cs="Arial" w:eastAsia="Arial" w:hAnsi="Arial"/>
          <w:sz w:val="18"/>
          <w:szCs w:val="18"/>
          <w:color w:val="auto"/>
        </w:rPr>
        <w:t>”), if (a) any asset, right, obligation or liability of any Person becomes the asset, right, obligation or liability of a different Person, then it shall be deemed to have been transferred from the original Person to the subsequent Person, and (b) any new Person comes into existence, such new Person shall be deemed to have been organized on the first date of its existence by the holders of its Equity Interests at such time.</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SECTION 18. Currency Generally</w:t>
      </w:r>
      <w:r>
        <w:rPr>
          <w:rFonts w:ascii="Arial" w:cs="Arial" w:eastAsia="Arial" w:hAnsi="Arial"/>
          <w:sz w:val="18"/>
          <w:szCs w:val="18"/>
          <w:color w:val="auto"/>
        </w:rPr>
        <w:t>. For purposes of determining compliance with</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amount of any Indebtedness or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currency other than Dollars, no Default or Event of Default shall be deemed to have occurred solely as a result of changes in rates of currency exchange occurring after the time such Indebtedness or Investment is incurred, made or acquired (so long as such Indebtedness or Investment, at the time incurred, made or acquired, was permitted hereunder).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color w:val="auto"/>
        </w:rPr>
        <w:t>THE COMMITMENT AND THE LOANS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 Loans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color w:val="auto"/>
        </w:rPr>
        <w:t>On the terms and subject to the conditions of this Agreement, each Lender agrees:</w:t>
      </w:r>
    </w:p>
    <w:p>
      <w:pPr>
        <w:spacing w:after="0" w:line="229" w:lineRule="exact"/>
        <w:rPr>
          <w:sz w:val="20"/>
          <w:szCs w:val="20"/>
          <w:color w:val="auto"/>
        </w:rPr>
      </w:pPr>
    </w:p>
    <w:p>
      <w:pPr>
        <w:jc w:val="both"/>
        <w:ind w:left="1960" w:hanging="656"/>
        <w:spacing w:after="0" w:line="286" w:lineRule="auto"/>
        <w:tabs>
          <w:tab w:leader="none" w:pos="19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make Loans to the Borrower (A) in a principal amount equal to the amount of such Lender’s Closing Date Tranche A Commitment on the Closing Date and (B) in a principal amount equal to the amount of such Lender’s Incremental Tranche A Commitment on the Incremental Tranche A Funding Date (the “</w:t>
      </w:r>
      <w:r>
        <w:rPr>
          <w:rFonts w:ascii="Arial" w:cs="Arial" w:eastAsia="Arial" w:hAnsi="Arial"/>
          <w:sz w:val="17"/>
          <w:szCs w:val="17"/>
          <w:b w:val="1"/>
          <w:bCs w:val="1"/>
          <w:i w:val="1"/>
          <w:iCs w:val="1"/>
          <w:color w:val="auto"/>
        </w:rPr>
        <w:t>Incremental Tranche A Term Loans</w:t>
      </w:r>
      <w:r>
        <w:rPr>
          <w:rFonts w:ascii="Arial" w:cs="Arial" w:eastAsia="Arial" w:hAnsi="Arial"/>
          <w:sz w:val="17"/>
          <w:szCs w:val="17"/>
          <w:color w:val="auto"/>
        </w:rPr>
        <w:t>” and, together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4" w:name="page105"/>
    <w:bookmarkEnd w:id="104"/>
    <w:p>
      <w:pPr>
        <w:ind w:left="1960"/>
        <w:spacing w:after="0"/>
        <w:rPr>
          <w:sz w:val="20"/>
          <w:szCs w:val="20"/>
          <w:color w:val="auto"/>
        </w:rPr>
      </w:pPr>
      <w:r>
        <w:rPr>
          <w:rFonts w:ascii="Arial" w:cs="Arial" w:eastAsia="Arial" w:hAnsi="Arial"/>
          <w:sz w:val="18"/>
          <w:szCs w:val="18"/>
          <w:color w:val="auto"/>
        </w:rPr>
        <w:t>with the Closing Date Tranche A Term Loans, the “</w:t>
      </w:r>
      <w:r>
        <w:rPr>
          <w:rFonts w:ascii="Arial" w:cs="Arial" w:eastAsia="Arial" w:hAnsi="Arial"/>
          <w:sz w:val="18"/>
          <w:szCs w:val="18"/>
          <w:b w:val="1"/>
          <w:bCs w:val="1"/>
          <w:i w:val="1"/>
          <w:iCs w:val="1"/>
          <w:color w:val="auto"/>
        </w:rPr>
        <w:t>Tranche A Term Loans</w:t>
      </w:r>
      <w:r>
        <w:rPr>
          <w:rFonts w:ascii="Arial" w:cs="Arial" w:eastAsia="Arial" w:hAnsi="Arial"/>
          <w:sz w:val="18"/>
          <w:szCs w:val="18"/>
          <w:color w:val="auto"/>
        </w:rPr>
        <w:t>”); and</w:t>
      </w:r>
    </w:p>
    <w:p>
      <w:pPr>
        <w:spacing w:after="0" w:line="225" w:lineRule="exact"/>
        <w:rPr>
          <w:sz w:val="20"/>
          <w:szCs w:val="20"/>
          <w:color w:val="auto"/>
        </w:rPr>
      </w:pPr>
    </w:p>
    <w:p>
      <w:pPr>
        <w:jc w:val="both"/>
        <w:ind w:left="1960" w:hanging="656"/>
        <w:spacing w:after="0" w:line="263" w:lineRule="auto"/>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make Loans to the Borrower in a principal amount equal to the amount of such Lender’s Tranche B Commitment (“</w:t>
      </w:r>
      <w:r>
        <w:rPr>
          <w:rFonts w:ascii="Arial" w:cs="Arial" w:eastAsia="Arial" w:hAnsi="Arial"/>
          <w:sz w:val="18"/>
          <w:szCs w:val="18"/>
          <w:b w:val="1"/>
          <w:bCs w:val="1"/>
          <w:i w:val="1"/>
          <w:iCs w:val="1"/>
          <w:color w:val="auto"/>
        </w:rPr>
        <w:t>Tranche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 Term Loans</w:t>
      </w:r>
      <w:r>
        <w:rPr>
          <w:rFonts w:ascii="Arial" w:cs="Arial" w:eastAsia="Arial" w:hAnsi="Arial"/>
          <w:sz w:val="18"/>
          <w:szCs w:val="18"/>
          <w:color w:val="auto"/>
        </w:rPr>
        <w:t>”), on a date specified by the Borrower in accordance with</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2.02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Tranche B Availability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Tranche B Term Loans.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color w:val="auto"/>
        </w:rPr>
        <w:t>No amounts paid or prepaid with respect to any Loan may be reborrowed.</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color w:val="auto"/>
        </w:rPr>
        <w:t>Any term or provision hereof (or of any other Loan Document) to the contrary notwithstanding, Loans made to the Borrower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denominated solely in Dollars and will be repayable solely in Dollars and no other currency.</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SECTION 24. Borrowing Procedures</w:t>
      </w:r>
      <w:r>
        <w:rPr>
          <w:rFonts w:ascii="Arial" w:cs="Arial" w:eastAsia="Arial" w:hAnsi="Arial"/>
          <w:sz w:val="17"/>
          <w:szCs w:val="17"/>
          <w:color w:val="auto"/>
        </w:rPr>
        <w:t>. At least five (5) Business Days prior any Applicable Funding Date (or such shorter period agreed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Administrative Agent), the Borrower shall deliver to the Administrative Agent an irrevocable Borrowing Notice in the form of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signed by a duly authorized representative of the Borrower (which notice, if received by the Administrative Agent on a day that is not a Business Day or after 10:00 A.M. (Eastern time) on a Business Day, shall be deemed to have been delivered on the next Business Day). Each Borrowing Notice shall be for the full amount of each of the Applicable Commitments and no Borrowing Notice for less than such full amount shall be permitted.</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SECTION 25. Funding of Borrowings</w:t>
      </w:r>
      <w:r>
        <w:rPr>
          <w:rFonts w:ascii="Arial" w:cs="Arial" w:eastAsia="Arial" w:hAnsi="Arial"/>
          <w:sz w:val="18"/>
          <w:szCs w:val="18"/>
          <w:color w:val="auto"/>
        </w:rPr>
        <w:t>. Promptly following receipt of any written Borrowing Notice the Administrative Agent shall advise each Lender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details thereof and of the amount of such Lender’s Loan to be made as part of the requested Borrowing. Each Lender shall make each Loan to be made by it hereunder on the proposed date thereof solely by wire transfer of immediately available funds, by 2:00 p.m. New York City time, to the account of the Administrative Agent most recently designated by it for such purpose by notice to the Lenders. Upon receipt of all funds the Administrative Agent will make such Loans available to the Borrower promptly by wire transfer of the amounts so received, in like funds, to an account designated by the Borrower in the applicable Borrowing Notice.</w:t>
      </w:r>
    </w:p>
    <w:p>
      <w:pPr>
        <w:spacing w:after="0" w:line="192" w:lineRule="exact"/>
        <w:rPr>
          <w:sz w:val="20"/>
          <w:szCs w:val="20"/>
          <w:color w:val="auto"/>
        </w:rPr>
      </w:pPr>
    </w:p>
    <w:p>
      <w:pPr>
        <w:ind w:left="1620" w:hanging="647"/>
        <w:spacing w:after="0" w:line="308" w:lineRule="auto"/>
        <w:tabs>
          <w:tab w:leader="none" w:pos="1600" w:val="left"/>
        </w:tabs>
        <w:rPr>
          <w:sz w:val="20"/>
          <w:szCs w:val="20"/>
          <w:color w:val="auto"/>
        </w:rPr>
      </w:pPr>
      <w:r>
        <w:rPr>
          <w:rFonts w:ascii="Arial" w:cs="Arial" w:eastAsia="Arial" w:hAnsi="Arial"/>
          <w:sz w:val="18"/>
          <w:szCs w:val="18"/>
          <w:b w:val="1"/>
          <w:bCs w:val="1"/>
          <w:i w:val="1"/>
          <w:iCs w:val="1"/>
          <w:color w:val="auto"/>
        </w:rPr>
        <w:t>25.04</w:t>
      </w:r>
      <w:r>
        <w:rPr>
          <w:sz w:val="20"/>
          <w:szCs w:val="20"/>
          <w:color w:val="auto"/>
        </w:rPr>
        <w:tab/>
      </w:r>
      <w:r>
        <w:rPr>
          <w:rFonts w:ascii="Arial" w:cs="Arial" w:eastAsia="Arial" w:hAnsi="Arial"/>
          <w:sz w:val="17"/>
          <w:szCs w:val="17"/>
          <w:b w:val="1"/>
          <w:bCs w:val="1"/>
          <w:i w:val="1"/>
          <w:iCs w:val="1"/>
          <w:color w:val="auto"/>
        </w:rPr>
        <w:t>Notes</w:t>
      </w:r>
      <w:r>
        <w:rPr>
          <w:rFonts w:ascii="Arial" w:cs="Arial" w:eastAsia="Arial" w:hAnsi="Arial"/>
          <w:sz w:val="17"/>
          <w:szCs w:val="17"/>
          <w:color w:val="auto"/>
        </w:rPr>
        <w:t>. If requested by any Lender, the Loan of such Lender shall be evidenced by one or more Notes. The Borrower shall prepare,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execute and deliver to the Lender such promissory note(s) substantially in the form attached hereto as </w:t>
      </w:r>
      <w:r>
        <w:rPr>
          <w:rFonts w:ascii="Arial" w:cs="Arial" w:eastAsia="Arial" w:hAnsi="Arial"/>
          <w:sz w:val="17"/>
          <w:szCs w:val="17"/>
          <w:b w:val="1"/>
          <w:bCs w:val="1"/>
          <w:color w:val="auto"/>
        </w:rPr>
        <w:t>Exhibit H</w:t>
      </w:r>
      <w:r>
        <w:rPr>
          <w:rFonts w:ascii="Arial" w:cs="Arial" w:eastAsia="Arial" w:hAnsi="Arial"/>
          <w:sz w:val="17"/>
          <w:szCs w:val="17"/>
          <w:color w:val="auto"/>
        </w:rPr>
        <w:t>.</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SECTION 26. Use of Proceeds</w:t>
      </w:r>
      <w:r>
        <w:rPr>
          <w:rFonts w:ascii="Arial" w:cs="Arial" w:eastAsia="Arial" w:hAnsi="Arial"/>
          <w:sz w:val="17"/>
          <w:szCs w:val="17"/>
          <w:color w:val="auto"/>
        </w:rPr>
        <w:t>. The Borrower shall use the proceeds of the Closing Date Tranche A Term Loans to refinance the Refinanced Facility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aggregate amount set forth on </w:t>
      </w:r>
      <w:r>
        <w:rPr>
          <w:rFonts w:ascii="Arial" w:cs="Arial" w:eastAsia="Arial" w:hAnsi="Arial"/>
          <w:sz w:val="17"/>
          <w:szCs w:val="17"/>
          <w:b w:val="1"/>
          <w:bCs w:val="1"/>
          <w:color w:val="auto"/>
        </w:rPr>
        <w:t>Schedule 5</w:t>
      </w:r>
      <w:r>
        <w:rPr>
          <w:rFonts w:ascii="Arial" w:cs="Arial" w:eastAsia="Arial" w:hAnsi="Arial"/>
          <w:sz w:val="17"/>
          <w:szCs w:val="17"/>
          <w:color w:val="auto"/>
        </w:rPr>
        <w:t>, and for other working capital and general corporate purposes, including the payment of fees and expenses associated with this Agreement. The Borrower shall use all of the proceeds of the Incremental Tranche A Term Loans to fund (i) the Upfront Payment (as defined in the Eyevance APA), the Lumpsum Payment (as defined in the Eyevance License Agreement) and for the payment of fees and expenses in connection with the Eyevance Acquisition, in each case, substantially concurrently with the funding of the Incremental Tranche A Term Loans on the Incremental Tranche A Funding Date, (ii) the Eyevance Milestone Payments, and (iii) for other working capital and general corporate purposes. The Borrower shall use all of the proceeds of the Tranche B Term Loans to fund a portion of the Novartis Milestone Payment substantially concurrently with the funding of the Tranche B Term Loans on the Tranche B Funding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5" w:name="page106"/>
    <w:bookmarkEnd w:id="105"/>
    <w:p>
      <w:pPr>
        <w:jc w:val="both"/>
        <w:spacing w:after="0" w:line="277" w:lineRule="auto"/>
        <w:rPr>
          <w:sz w:val="20"/>
          <w:szCs w:val="20"/>
          <w:color w:val="auto"/>
        </w:rPr>
      </w:pPr>
      <w:r>
        <w:rPr>
          <w:rFonts w:ascii="Arial" w:cs="Arial" w:eastAsia="Arial" w:hAnsi="Arial"/>
          <w:sz w:val="18"/>
          <w:szCs w:val="18"/>
          <w:b w:val="1"/>
          <w:bCs w:val="1"/>
          <w:i w:val="1"/>
          <w:iCs w:val="1"/>
          <w:color w:val="auto"/>
        </w:rPr>
        <w:t>SECTION 27. Commitment Fees</w:t>
      </w:r>
      <w:r>
        <w:rPr>
          <w:rFonts w:ascii="Arial" w:cs="Arial" w:eastAsia="Arial" w:hAnsi="Arial"/>
          <w:sz w:val="18"/>
          <w:szCs w:val="18"/>
          <w:color w:val="auto"/>
        </w:rPr>
        <w:t>. The Borrower shall pay to the Administrative Agent for the account of the Lenders the Commitment Fee as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Fee Letter.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28. Defaulting Lenders.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29. Adjustments</w:t>
      </w:r>
      <w:r>
        <w:rPr>
          <w:rFonts w:ascii="Arial" w:cs="Arial" w:eastAsia="Arial" w:hAnsi="Arial"/>
          <w:sz w:val="18"/>
          <w:szCs w:val="18"/>
          <w:color w:val="auto"/>
        </w:rPr>
        <w:t>. Notwithstanding anything to the contrary contained in this Agreement, if any Lender becomes a Defaulting Lender, then,</w:t>
      </w:r>
      <w:r>
        <w:rPr>
          <w:rFonts w:ascii="Arial" w:cs="Arial" w:eastAsia="Arial" w:hAnsi="Arial"/>
          <w:sz w:val="18"/>
          <w:szCs w:val="18"/>
          <w:b w:val="1"/>
          <w:bCs w:val="1"/>
          <w:color w:val="auto"/>
        </w:rPr>
        <w:t xml:space="preserve"> </w:t>
      </w:r>
      <w:r>
        <w:rPr>
          <w:rFonts w:ascii="Arial" w:cs="Arial" w:eastAsia="Arial" w:hAnsi="Arial"/>
          <w:sz w:val="18"/>
          <w:szCs w:val="18"/>
          <w:color w:val="auto"/>
        </w:rPr>
        <w:t>until such time as that Lender is no longer a Defaulting Lender, to the extent permitted by applicable Law,</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30. Waivers and Amendment. The Defaulting Lender’s right to approve or disapprove any amendment, waiver or consent with respect to this Agreement shall be restricted as set forth in Section 14.04.</w:t>
      </w:r>
    </w:p>
    <w:p>
      <w:pPr>
        <w:spacing w:after="0" w:line="16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SECTION 31. Reallocation of Payments. Any payment of principal, interest, fees or other amounts received by the Administrative Agent for the account of that Defaulting Lender (whether voluntary or mandatory, at maturity, pursuant to Section 11 or otherwise, and including any amounts made available to the Administrative Agent by that Defaulting Lender pursuant to Section 4.03), shall be applied at such time or times as may be determined by the Administrative Agent as follows: first, to the payment of any amounts owing by that Defaulting Lender to the Administrative Agent hereunder; second, as the Borrower may request (so long as no Default or Event of Default exists), to the funding of any Loan in respect of which that Defaulting Lender has failed to fund its portion thereof as required by this Agreement, as determined by the Administrative Agent; third, if so determined by the Administrative Agent and the Borrower, to be held in a non-interest bearing deposit account and released in order to satisfy obligations of that Defaulting Lender to fund Loans under this Agreement; fourth, to the payment of any amounts owing to the Lenders as a result of any judgment of a court of competent jurisdiction obtained by any Lender against that Defaulting Lender as a result of that Defaulting Lender’s breach of its obligations under this Agreement; fifth,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sixth, to that Defaulting Lender or as otherwise directed by a court of competent jurisdiction; provided, that, if (x) such payment is a payment of the principal amount of any Loans in respect of which that Defaulting Lender has not fully funded its appropriate share and (y) such Loans were made at a time when the conditions set forth in Section 6.02 were satisfied or waived, such payment shall be applied solely to pay the Loans of all non-Defaulting Lenders on a pro rata basis prior to being applied to the payment of any Loans of that Defaulting Lender. Any payments, prepayments, repayments or other amounts paid or payable to a Defaulting Lender that are applied (or held) to pay amounts owed by a Defaulting Lender pursuant to this Section 2.07(a)(ii) shall be deemed paid to and redirected by that Defaulting Lender, and each Lender irrevocably consents hereto.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6" w:name="page107"/>
    <w:bookmarkEnd w:id="106"/>
    <w:p>
      <w:pPr>
        <w:jc w:val="both"/>
        <w:ind w:firstLine="656"/>
        <w:spacing w:after="0" w:line="294" w:lineRule="auto"/>
        <w:tabs>
          <w:tab w:leader="none" w:pos="926"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Defaulting Lender Cure</w:t>
      </w:r>
      <w:r>
        <w:rPr>
          <w:rFonts w:ascii="Arial" w:cs="Arial" w:eastAsia="Arial" w:hAnsi="Arial"/>
          <w:sz w:val="16"/>
          <w:szCs w:val="16"/>
          <w:color w:val="auto"/>
        </w:rPr>
        <w:t>. If the Borrower and the Administrative Agent agree in writing in their sole discretion that a Defaulting Lender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should no longer be deemed to be a Defaulting Lender, the Administrative Agent will so notify the parties hereto, whereupon as of the effective date specified in such notice and subject to any conditions set forth therein, that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no adjustments will be made retroactively with respect to fees accrued or payments made by or on behalf of the Borrower while that Lender was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59" w:lineRule="exact"/>
        <w:rPr>
          <w:rFonts w:ascii="Arial" w:cs="Arial" w:eastAsia="Arial" w:hAnsi="Arial"/>
          <w:sz w:val="16"/>
          <w:szCs w:val="16"/>
          <w:color w:val="auto"/>
        </w:rPr>
      </w:pPr>
    </w:p>
    <w:p>
      <w:pPr>
        <w:jc w:val="both"/>
        <w:ind w:firstLine="656"/>
        <w:spacing w:after="0" w:line="266" w:lineRule="auto"/>
        <w:tabs>
          <w:tab w:leader="none" w:pos="899"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Certain Fees</w:t>
      </w:r>
      <w:r>
        <w:rPr>
          <w:rFonts w:ascii="Arial" w:cs="Arial" w:eastAsia="Arial" w:hAnsi="Arial"/>
          <w:sz w:val="18"/>
          <w:szCs w:val="18"/>
          <w:color w:val="auto"/>
        </w:rPr>
        <w:t>. No Defaulting Lender shall be entitled to receive any Commitment Fee payable under</w:t>
      </w:r>
      <w:r>
        <w:rPr>
          <w:rFonts w:ascii="Arial" w:cs="Arial" w:eastAsia="Arial" w:hAnsi="Arial"/>
          <w:sz w:val="18"/>
          <w:szCs w:val="18"/>
          <w:b w:val="1"/>
          <w:bCs w:val="1"/>
          <w:color w:val="auto"/>
        </w:rPr>
        <w:t xml:space="preserve"> Section 2.06 </w:t>
      </w:r>
      <w:r>
        <w:rPr>
          <w:rFonts w:ascii="Arial" w:cs="Arial" w:eastAsia="Arial" w:hAnsi="Arial"/>
          <w:sz w:val="18"/>
          <w:szCs w:val="18"/>
          <w:color w:val="auto"/>
        </w:rPr>
        <w:t>or any upfront fee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Fee Letter for any period during which that Lender is a Defaulting Lender (and the Borrower shall not be required to pay any such Commitment Fee or upfront fee that otherwise would have been required to have been paid to that Defaulting Lender).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color w:val="auto"/>
        </w:rPr>
        <w:t>PAYMENTS OF PRINCIPAL AND INTEREST, ETC.</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SECTION 33. Scheduled Repayments and Prepayments Generally; Application</w:t>
      </w:r>
      <w:r>
        <w:rPr>
          <w:rFonts w:ascii="Arial" w:cs="Arial" w:eastAsia="Arial" w:hAnsi="Arial"/>
          <w:sz w:val="16"/>
          <w:szCs w:val="16"/>
          <w:color w:val="auto"/>
        </w:rPr>
        <w:t>. The Borrower hereby promises to pay to the Administrative Agent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account of each Lender (as such amounts may in each case be reduced from time to time in accordance with </w:t>
      </w:r>
      <w:r>
        <w:rPr>
          <w:rFonts w:ascii="Arial" w:cs="Arial" w:eastAsia="Arial" w:hAnsi="Arial"/>
          <w:sz w:val="16"/>
          <w:szCs w:val="16"/>
          <w:b w:val="1"/>
          <w:bCs w:val="1"/>
          <w:color w:val="auto"/>
        </w:rPr>
        <w:t>Section 3.03</w:t>
      </w:r>
      <w:r>
        <w:rPr>
          <w:rFonts w:ascii="Arial" w:cs="Arial" w:eastAsia="Arial" w:hAnsi="Arial"/>
          <w:sz w:val="16"/>
          <w:szCs w:val="16"/>
          <w:color w:val="auto"/>
        </w:rPr>
        <w:t>), on the Maturity Date, all outstanding Obligations in full (including, without limitation, the Exit Fee, accrued and unpaid interest, any accrued and unpaid Commitment Fee and any other accrued and unpaid charges thereon and all other obligations due and payable by the Borrower under this Agreement (other than inchoate indemnification obligations for which no claim has been made)). Except as otherwise provided in this Agreement, each payment (including each repayment and prepayment) by the Borrower (other than fees payable pursuant to the Fee Letter) will be deemed to be made ratably in accordance with the Lenders’ Proportionate Shares and applied ratably among each tranche of the Loans. On any date occurring prior to October 21, 2025, that payment or prepayment in full of the Loans hereunder occurs, the Borrower shall pay in full all outstanding Obligations (other than any inchoate indemnification obligations for which no claim has been made), which shall include the Yield Protection Premium, if applicable, any accrued and unpaid Commitment Fee and the Exit Fee. On any date occurring on or after October 21, 2025 to the Maturity Date, that payment or prepayment in full of the Loans hereunder occurs, the Borrower shall pay in full all outstanding Obligations (other than any inchoate indemnification obligations for which no claim has been made), which shall include any accrued and unpaid Commitment Fee and the Exit Fee, but for purposes of clarity, not the Yield Protection Premium.</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t>SECTION 34. Interest</w:t>
      </w:r>
      <w:r>
        <w:rPr>
          <w:rFonts w:ascii="Arial" w:cs="Arial" w:eastAsia="Arial" w:hAnsi="Arial"/>
          <w:sz w:val="18"/>
          <w:szCs w:val="18"/>
          <w:color w:val="auto"/>
        </w:rPr>
        <w:t>.</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35. Interest Generally</w:t>
      </w:r>
      <w:r>
        <w:rPr>
          <w:rFonts w:ascii="Arial" w:cs="Arial" w:eastAsia="Arial" w:hAnsi="Arial"/>
          <w:sz w:val="18"/>
          <w:szCs w:val="18"/>
          <w:color w:val="auto"/>
        </w:rPr>
        <w:t>. The outstanding principal amount of the Loans shall accrue interest from the date made until the date of repayment</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by acceleration or otherwise and whether voluntary or mandatory) at the Interest Rate.</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SECTION 36. Default Interest</w:t>
      </w:r>
      <w:r>
        <w:rPr>
          <w:rFonts w:ascii="Arial" w:cs="Arial" w:eastAsia="Arial" w:hAnsi="Arial"/>
          <w:sz w:val="17"/>
          <w:szCs w:val="17"/>
          <w:color w:val="auto"/>
        </w:rPr>
        <w:t>. Notwithstanding the foregoing, upon the occurrence and during the continuance of any Event of Default, the Interest Rate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increase (i) automatically, in the case of any Event of Default under </w:t>
      </w:r>
      <w:r>
        <w:rPr>
          <w:rFonts w:ascii="Arial" w:cs="Arial" w:eastAsia="Arial" w:hAnsi="Arial"/>
          <w:sz w:val="17"/>
          <w:szCs w:val="17"/>
          <w:b w:val="1"/>
          <w:bCs w:val="1"/>
          <w:color w:val="auto"/>
        </w:rPr>
        <w:t>Section 11.01(a)</w:t>
      </w:r>
      <w:r>
        <w:rPr>
          <w:rFonts w:ascii="Arial" w:cs="Arial" w:eastAsia="Arial" w:hAnsi="Arial"/>
          <w:sz w:val="17"/>
          <w:szCs w:val="17"/>
          <w:color w:val="auto"/>
        </w:rPr>
        <w:t xml:space="preserve">, </w:t>
      </w:r>
      <w:r>
        <w:rPr>
          <w:rFonts w:ascii="Arial" w:cs="Arial" w:eastAsia="Arial" w:hAnsi="Arial"/>
          <w:sz w:val="17"/>
          <w:szCs w:val="17"/>
          <w:b w:val="1"/>
          <w:bCs w:val="1"/>
          <w:color w:val="auto"/>
        </w:rPr>
        <w:t>(b)</w:t>
      </w:r>
      <w:r>
        <w:rPr>
          <w:rFonts w:ascii="Arial" w:cs="Arial" w:eastAsia="Arial" w:hAnsi="Arial"/>
          <w:sz w:val="17"/>
          <w:szCs w:val="17"/>
          <w:color w:val="auto"/>
        </w:rPr>
        <w:t xml:space="preserve"> or </w:t>
      </w:r>
      <w:r>
        <w:rPr>
          <w:rFonts w:ascii="Arial" w:cs="Arial" w:eastAsia="Arial" w:hAnsi="Arial"/>
          <w:sz w:val="17"/>
          <w:szCs w:val="17"/>
          <w:b w:val="1"/>
          <w:bCs w:val="1"/>
          <w:color w:val="auto"/>
        </w:rPr>
        <w:t>(h)</w:t>
      </w:r>
      <w:r>
        <w:rPr>
          <w:rFonts w:ascii="Arial" w:cs="Arial" w:eastAsia="Arial" w:hAnsi="Arial"/>
          <w:sz w:val="17"/>
          <w:szCs w:val="17"/>
          <w:color w:val="auto"/>
        </w:rPr>
        <w:t xml:space="preserve"> and (ii) upon the request of the Majority Lenders, in the case of any other Event of Default, by two percent (2.0%)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(the Interest Rate, as increased pursuant to this </w:t>
      </w:r>
      <w:r>
        <w:rPr>
          <w:rFonts w:ascii="Arial" w:cs="Arial" w:eastAsia="Arial" w:hAnsi="Arial"/>
          <w:sz w:val="17"/>
          <w:szCs w:val="17"/>
          <w:b w:val="1"/>
          <w:bCs w:val="1"/>
          <w:color w:val="auto"/>
        </w:rPr>
        <w:t>Section 3.02(b)</w:t>
      </w:r>
      <w:r>
        <w:rPr>
          <w:rFonts w:ascii="Arial" w:cs="Arial" w:eastAsia="Arial" w:hAnsi="Arial"/>
          <w:sz w:val="17"/>
          <w:szCs w:val="17"/>
          <w:color w:val="auto"/>
        </w:rPr>
        <w:t>, being the “</w:t>
      </w:r>
      <w:r>
        <w:rPr>
          <w:rFonts w:ascii="Arial" w:cs="Arial" w:eastAsia="Arial" w:hAnsi="Arial"/>
          <w:sz w:val="17"/>
          <w:szCs w:val="17"/>
          <w:b w:val="1"/>
          <w:bCs w:val="1"/>
          <w:i w:val="1"/>
          <w:iCs w:val="1"/>
          <w:color w:val="auto"/>
        </w:rPr>
        <w:t>Default Rate</w:t>
      </w:r>
      <w:r>
        <w:rPr>
          <w:rFonts w:ascii="Arial" w:cs="Arial" w:eastAsia="Arial" w:hAnsi="Arial"/>
          <w:sz w:val="17"/>
          <w:szCs w:val="17"/>
          <w:color w:val="auto"/>
        </w:rPr>
        <w:t>”). If any Obligation (including, without limitation, fees, costs and expenses payable hereunder) is not paid when due (giving effect to any applicable grace period) under any applicable Loan Document, the amount thereof shall accrue interest at the Default Rate.</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SECTION 37. Interest Payment Dates</w:t>
      </w:r>
      <w:r>
        <w:rPr>
          <w:rFonts w:ascii="Arial" w:cs="Arial" w:eastAsia="Arial" w:hAnsi="Arial"/>
          <w:sz w:val="18"/>
          <w:szCs w:val="18"/>
          <w:color w:val="auto"/>
        </w:rPr>
        <w:t>. Accrued interest on the Loans shall be payable in arrears on each Payment Date in cash, and upon the payment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prepayment of the Loans (on the principal amount being so paid or prepaid);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interest payable at the Default Rate shall also be payable in cash from time to time on demand by the Administrative Agent.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38. Prepayments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39. Optional Prepayments</w:t>
      </w:r>
      <w:r>
        <w:rPr>
          <w:rFonts w:ascii="Arial" w:cs="Arial" w:eastAsia="Arial" w:hAnsi="Arial"/>
          <w:sz w:val="18"/>
          <w:szCs w:val="18"/>
          <w:color w:val="auto"/>
        </w:rPr>
        <w:t>.</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SECTION 40. Subject to prior written notice pursuant to clause (ii) below, the Borrower shall have the right to optionally prepay in whole or in part the outstanding principal amount of the Loans and/or any tranche thereof (i.e., any of the Tranche A Term Loans and/or the Tranche B Term Loans) on any Business Day for an amount equal to the sum of (A) the aggregate principal amount of the Loans being prepaid, (B) any accrued but unpaid interest on the principal amount of the Loans being prepaid, (C) any applicable Yield Protection Premium, (D) the Exit Fee and (E) any other unpaid amounts then due and owing pursuant to this Agreement and the other Loan Documents (such aggregate amount, the “</w:t>
      </w:r>
      <w:r>
        <w:rPr>
          <w:rFonts w:ascii="Arial" w:cs="Arial" w:eastAsia="Arial" w:hAnsi="Arial"/>
          <w:sz w:val="16"/>
          <w:szCs w:val="16"/>
          <w:b w:val="1"/>
          <w:bCs w:val="1"/>
          <w:i w:val="1"/>
          <w:iCs w:val="1"/>
          <w:color w:val="auto"/>
        </w:rPr>
        <w:t>Prepayment Price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that each partial prepayment of principal of Loans shall be in an aggregate amount at least equal to $5,000,000 and integral multiples of $1,000,000 in excess thereof (or, if less, any remaining outstanding principal amount of the Loans and/or any tranche thereof).</w:t>
      </w:r>
    </w:p>
    <w:p>
      <w:pPr>
        <w:spacing w:after="0" w:line="16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SECTION 41. A notice of optional prepayment shall be effective only if received by the Administrative Agent not later than 2:00 p.m. (Eastern time) on a date not less than three (3) (nor more than five (5)) Business Days prior to the proposed prepayment date;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that a notice of optional prepayment may state that such notice is conditional upon the effectiveness of other credit facilities or the receipt of the proceeds from the issuance of other Indebtedness or the occurrence of some other identifiable event or condition, in which case such notice of prepayment may be revoked by the Borrower (by notice to the Administrative Agent on or prior to the specified date of prepayment) if such condition is not satisfied. Each notice of optional prepayment shall specify the proposed prepayment date, the Prepayment Price, the principal amount to be prepaid, the applicable tranche or tranches to be prepaid (if a partial prepayment) and any conditions to prepayment (if applicable).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SECTION 42. Mandatory Prepayments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43. Mandatory Prepayments for Casualty Events or Asset Sales.</w:t>
      </w:r>
    </w:p>
    <w:p>
      <w:pPr>
        <w:spacing w:after="0" w:line="225" w:lineRule="exact"/>
        <w:rPr>
          <w:sz w:val="20"/>
          <w:szCs w:val="20"/>
          <w:color w:val="auto"/>
        </w:rPr>
      </w:pPr>
    </w:p>
    <w:p>
      <w:pPr>
        <w:jc w:val="both"/>
        <w:ind w:left="1300" w:firstLine="652"/>
        <w:spacing w:after="0" w:line="270" w:lineRule="auto"/>
        <w:tabs>
          <w:tab w:leader="none" w:pos="2246"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Within five (5) Business Days following the receipt of Net Cash Proceeds from the occurrence of any Casualty Event or Asset Sale (other than pursuant to Section 9.09 (a), (b), (c), (d), (e), (f), (i), (m), or (n) or an Asset Sale of the Permitted Minority Investments) for which the Net Cash Proceeds from such individual Casualty Event or Asset Sale exceeds $2,000,000, or which causes the aggregate total of Net Cash Proceeds that have not been applied as a prepayment pursuant to this Section 3.03(b)(i) from all such Casualty Events or Asset Sales to exceed $5,000,000 in any fiscal year, the Borrower shall make a mandatory prepayment of the Loans, together with any accrued but unpaid interest on any principal amount of the Loans being prepaid and any applicable Yield Protection Premium and Exit Fee (collectively, the “</w:t>
      </w:r>
      <w:r>
        <w:rPr>
          <w:rFonts w:ascii="Arial" w:cs="Arial" w:eastAsia="Arial" w:hAnsi="Arial"/>
          <w:sz w:val="17"/>
          <w:szCs w:val="17"/>
          <w:b w:val="1"/>
          <w:bCs w:val="1"/>
          <w:i w:val="1"/>
          <w:iCs w:val="1"/>
          <w:color w:val="auto"/>
        </w:rPr>
        <w:t>Mandatory Prepayment</w:t>
      </w:r>
      <w:r>
        <w:rPr>
          <w:rFonts w:ascii="Arial" w:cs="Arial" w:eastAsia="Arial" w:hAnsi="Arial"/>
          <w:sz w:val="17"/>
          <w:szCs w:val="17"/>
          <w:b w:val="1"/>
          <w:bCs w:val="1"/>
          <w:color w:val="auto"/>
        </w:rPr>
        <w:t>”), which Mandatory Prepayment shall be in an amount equal to one hundred percent (100%) of the Net Cash Proceeds received by the Borrower or any of its Subsidiaries with respect to such Asset Sale or insurance proceeds or condemnation awards in respect of such Casualty Event, as the case may be.</w:t>
      </w:r>
    </w:p>
    <w:p>
      <w:pPr>
        <w:spacing w:after="0" w:line="176" w:lineRule="exact"/>
        <w:rPr>
          <w:rFonts w:ascii="Arial" w:cs="Arial" w:eastAsia="Arial" w:hAnsi="Arial"/>
          <w:sz w:val="17"/>
          <w:szCs w:val="17"/>
          <w:b w:val="1"/>
          <w:bCs w:val="1"/>
          <w:color w:val="auto"/>
        </w:rPr>
      </w:pPr>
    </w:p>
    <w:p>
      <w:pPr>
        <w:jc w:val="both"/>
        <w:ind w:left="1300" w:firstLine="652"/>
        <w:spacing w:after="0" w:line="268" w:lineRule="auto"/>
        <w:tabs>
          <w:tab w:leader="none" w:pos="2254"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Notwithstanding the foregoing Section 3.03(b)(i)(A), so long as no Default has occurred and is continuing or shall immediately result therefrom, if, within five (5) Business Days following the receipt of Net Cash Proceeds from a Casualty Event at or in connection with the Borrower’s manufacturing facility in Ledgewood, New Jersey, a Responsible Officer of the Borrower delivers to the Administrative Agent a written notice to the effect that the Borrower intends to apply the insurance proceeds or condemnation awards in respect of such Casualty Event, to the costs of replacement of the properties or assets that are the subject of such Casualty Event (the “</w:t>
      </w:r>
      <w:r>
        <w:rPr>
          <w:rFonts w:ascii="Arial" w:cs="Arial" w:eastAsia="Arial" w:hAnsi="Arial"/>
          <w:sz w:val="17"/>
          <w:szCs w:val="17"/>
          <w:b w:val="1"/>
          <w:bCs w:val="1"/>
          <w:i w:val="1"/>
          <w:iCs w:val="1"/>
          <w:color w:val="auto"/>
        </w:rPr>
        <w:t>NJ Reinvestment</w:t>
      </w:r>
      <w:r>
        <w:rPr>
          <w:rFonts w:ascii="Arial" w:cs="Arial" w:eastAsia="Arial" w:hAnsi="Arial"/>
          <w:sz w:val="17"/>
          <w:szCs w:val="17"/>
          <w:b w:val="1"/>
          <w:bCs w:val="1"/>
          <w:color w:val="auto"/>
        </w:rPr>
        <w:t xml:space="preserve">”), then such insurance proceeds or condemnation awards in respect of such Casualty Event may be applied for such purpose in lieu of such mandatory prepayment to the extent such insurance proceeds or condemnation awards in respect of such Casualty Event are actually applied for such purposes; </w:t>
      </w:r>
      <w:r>
        <w:rPr>
          <w:rFonts w:ascii="Arial" w:cs="Arial" w:eastAsia="Arial" w:hAnsi="Arial"/>
          <w:sz w:val="17"/>
          <w:szCs w:val="17"/>
          <w:b w:val="1"/>
          <w:bCs w:val="1"/>
          <w:u w:val="single" w:color="auto"/>
          <w:color w:val="auto"/>
        </w:rPr>
        <w:t>provided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further</w:t>
      </w:r>
      <w:r>
        <w:rPr>
          <w:rFonts w:ascii="Arial" w:cs="Arial" w:eastAsia="Arial" w:hAnsi="Arial"/>
          <w:sz w:val="17"/>
          <w:szCs w:val="17"/>
          <w:b w:val="1"/>
          <w:bCs w:val="1"/>
          <w:color w:val="auto"/>
        </w:rPr>
        <w:t>, that in the event that such insurance proceeds or condemnation awards have not been so applied within three hundred and sixty five (365) days following the receipt of such insurance proceeds or condemnation awards (such applicable period, the “</w:t>
      </w:r>
      <w:r>
        <w:rPr>
          <w:rFonts w:ascii="Arial" w:cs="Arial" w:eastAsia="Arial" w:hAnsi="Arial"/>
          <w:sz w:val="17"/>
          <w:szCs w:val="17"/>
          <w:b w:val="1"/>
          <w:bCs w:val="1"/>
          <w:i w:val="1"/>
          <w:iCs w:val="1"/>
          <w:color w:val="auto"/>
        </w:rPr>
        <w:t>Reinvestment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Period</w:t>
      </w:r>
      <w:r>
        <w:rPr>
          <w:rFonts w:ascii="Arial" w:cs="Arial" w:eastAsia="Arial" w:hAnsi="Arial"/>
          <w:sz w:val="17"/>
          <w:szCs w:val="17"/>
          <w:b w:val="1"/>
          <w:bCs w:val="1"/>
          <w:color w:val="auto"/>
        </w:rPr>
        <w:t>”) (or, if the Borrower has entered into a binding commitment prior to the last day of such Reinvestment Period to reinvest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such proceeds no later than ninety five (95) days after the expiry of the Reinvestment Period), the Borrower shall no later than the end of such period make a Mandatory Prepayment (which, for the avoidance of doubt, shall include any accrued but unpaid interest on any principal amount of the Loans being prepaid and any applicable Yield Protection Premium and Exit Fee) in an aggregate amount equal to one hundred percent (100%) of the unused balance of such Net Cash Proceeds received by any Obligor or any of its Subsidiaries with respect to such insurance proceeds or condemnation awards in respect of such Casualty Event.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9" w:name="page110"/>
    <w:bookmarkEnd w:id="109"/>
    <w:p>
      <w:pPr>
        <w:jc w:val="both"/>
        <w:ind w:left="1300" w:firstLine="652"/>
        <w:spacing w:after="0" w:line="285" w:lineRule="auto"/>
        <w:tabs>
          <w:tab w:leader="none" w:pos="2264"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Notwithstanding the foregoing Section 3.03(b)(i)(A), so long as no Default has occurred and is continuing or shall immediately result therefrom, if, within five (5) Business Days following the receipt of Net Cash Proceeds from a Casualty Event (other than at or in connection with the Borrower’s manufacturing facility in Ledgewood, New Jersey), a Responsible Officer of the Borrower delivers to the Administrative Agent a written notice to the effect that the Borrower or the applicable Subsidiary intends to apply the insurance proceeds or condemnation awards in respect of such Casualty Event, to the costs of replacement of the properties or assets that are the subject of such Casualty Event (a “</w:t>
      </w:r>
      <w:r>
        <w:rPr>
          <w:rFonts w:ascii="Arial" w:cs="Arial" w:eastAsia="Arial" w:hAnsi="Arial"/>
          <w:sz w:val="16"/>
          <w:szCs w:val="16"/>
          <w:b w:val="1"/>
          <w:bCs w:val="1"/>
          <w:i w:val="1"/>
          <w:iCs w:val="1"/>
          <w:color w:val="auto"/>
        </w:rPr>
        <w:t>Reinvestment</w:t>
      </w:r>
      <w:r>
        <w:rPr>
          <w:rFonts w:ascii="Arial" w:cs="Arial" w:eastAsia="Arial" w:hAnsi="Arial"/>
          <w:sz w:val="16"/>
          <w:szCs w:val="16"/>
          <w:b w:val="1"/>
          <w:bCs w:val="1"/>
          <w:color w:val="auto"/>
        </w:rPr>
        <w:t xml:space="preserve">”), then such insurance proceeds or condemnation awards in respect of such Casualty Event in an aggregate amount not to exceed $1,500,000 in any fiscal year may be applied for such purpose in lieu of such mandatory prepayment to the extent such insurance proceeds or condemnation awards in respect of such Casualty Event are actually applied for such purposes;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further</w:t>
      </w:r>
      <w:r>
        <w:rPr>
          <w:rFonts w:ascii="Arial" w:cs="Arial" w:eastAsia="Arial" w:hAnsi="Arial"/>
          <w:sz w:val="16"/>
          <w:szCs w:val="16"/>
          <w:b w:val="1"/>
          <w:bCs w:val="1"/>
          <w:color w:val="auto"/>
        </w:rPr>
        <w:t xml:space="preserve">, that if such Casualty Event occurs with respect to any Obligor, such Reinvestment shall be made in the business of an Obligor;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further, that in the event that such insurance proceeds or condemnation awards have not been so applied within the Reinvestment Period (or, if the Borrower or any of its Subsidiaries has entered into a binding commitment prior to the last day of such Reinvestment Period to reinvest such proceeds no later than ninety five (95) days after the expiry of the Reinvestment Period), the Borrower shall no later than the end of such period make a Mandatory Prepayment (which, for the avoidance of doubt, shall include any accrued but unpaid interest on any principal amount of the Loans being prepaid and any applicable Yield Protection Premium and Exit Fee) in an aggregate amount equal to one hundred percent (100%) of the unused balance of such Net Cash Proceeds received by any Obligor or any of its Subsidiaries with respect to such insurance proceeds or condemnation awards in respect of such Casualty Event.</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44. Mandatory Prepayments for Debt Issuances. Immediately upon receipt by any Obligor or any of its Subsidiaries of proceeds from any issuance, incurrence or assumption of Indebtedness other than Indebtedness permitted by Section 9.01, on or after the Closing Date, the Borrower shall prepay the Loans and other Obligations in an amount equal to 100% of the cash proceeds received, </w:t>
      </w:r>
      <w:r>
        <w:rPr>
          <w:rFonts w:ascii="Arial" w:cs="Arial" w:eastAsia="Arial" w:hAnsi="Arial"/>
          <w:sz w:val="18"/>
          <w:szCs w:val="18"/>
          <w:b w:val="1"/>
          <w:bCs w:val="1"/>
          <w:i w:val="1"/>
          <w:iCs w:val="1"/>
          <w:color w:val="auto"/>
        </w:rPr>
        <w:t>plus</w:t>
      </w:r>
      <w:r>
        <w:rPr>
          <w:rFonts w:ascii="Arial" w:cs="Arial" w:eastAsia="Arial" w:hAnsi="Arial"/>
          <w:sz w:val="18"/>
          <w:szCs w:val="18"/>
          <w:b w:val="1"/>
          <w:bCs w:val="1"/>
          <w:color w:val="auto"/>
        </w:rPr>
        <w:t xml:space="preserve"> any accrued but unpaid interest on the principal amount of the Loans being prepaid, the Yield Protection Premium, if applicable, any accrued and unpaid Commitment Fee, and the Exit Fee.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0" w:name="page111"/>
    <w:bookmarkEnd w:id="110"/>
    <w:p>
      <w:pPr>
        <w:jc w:val="both"/>
        <w:spacing w:after="0" w:line="266" w:lineRule="auto"/>
        <w:rPr>
          <w:sz w:val="20"/>
          <w:szCs w:val="20"/>
          <w:color w:val="auto"/>
        </w:rPr>
      </w:pPr>
      <w:r>
        <w:rPr>
          <w:rFonts w:ascii="Arial" w:cs="Arial" w:eastAsia="Arial" w:hAnsi="Arial"/>
          <w:sz w:val="18"/>
          <w:szCs w:val="18"/>
          <w:b w:val="1"/>
          <w:bCs w:val="1"/>
          <w:color w:val="auto"/>
        </w:rPr>
        <w:t>SECTION 45. Mandatory Prepayment for Change of Control. Upon the occurrence of any Change of Control, the Borrower shall prepay all of the Loans and the other Obligations, including any accrued but unpaid interest on the principal amount of the Loans being prepaid, any applicable Yield Protection Premium, any accrued and unpaid Commitment Fee and the Exit Fee.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SECTION 46. Mandatory Prepayment for Net Revenues Cure Payment. Any Net Revenues Cure Payment shall be applied to the prepayment of all outstanding Obligations, including any accrued but unpaid interest on any principal amount of the Loans being prepaid, any applicable Yield Protection Premium, any accrued and unpaid Commitment Fee and the Exit Fee.</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SECTION 47. Notice. A notice of mandatory prepayment shall be effective only if received by the Administrative Agent not later than 2:00 p.m. (New York City time) on a date not less than one (1) Business Day (or such shorter period agreed by the Administrative Agent) prior to the proposed prepayment date. Each notice of mandatory prepayment shall specify the proposed prepayment date, the amount of the mandatory prepayment, the principal amount to be prepaid and the subsection under which the prepayment is required.</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SECTION 48. Application</w:t>
      </w:r>
      <w:r>
        <w:rPr>
          <w:rFonts w:ascii="Arial" w:cs="Arial" w:eastAsia="Arial" w:hAnsi="Arial"/>
          <w:sz w:val="17"/>
          <w:szCs w:val="17"/>
          <w:color w:val="auto"/>
        </w:rPr>
        <w:t>. So long as no Event of Default has occurred and is continuing, any mandatory prepayment made in accordance with</w:t>
      </w:r>
      <w:r>
        <w:rPr>
          <w:rFonts w:ascii="Arial" w:cs="Arial" w:eastAsia="Arial" w:hAnsi="Arial"/>
          <w:sz w:val="17"/>
          <w:szCs w:val="17"/>
          <w:b w:val="1"/>
          <w:bCs w:val="1"/>
          <w:color w:val="auto"/>
        </w:rPr>
        <w:t xml:space="preserve"> Section 3.03(b) </w:t>
      </w:r>
      <w:r>
        <w:rPr>
          <w:rFonts w:ascii="Arial" w:cs="Arial" w:eastAsia="Arial" w:hAnsi="Arial"/>
          <w:sz w:val="17"/>
          <w:szCs w:val="17"/>
          <w:color w:val="auto"/>
        </w:rPr>
        <w:t>shall be applied as follows: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first</w:t>
      </w:r>
      <w:r>
        <w:rPr>
          <w:rFonts w:ascii="Arial" w:cs="Arial" w:eastAsia="Arial" w:hAnsi="Arial"/>
          <w:sz w:val="17"/>
          <w:szCs w:val="17"/>
          <w:color w:val="auto"/>
        </w:rPr>
        <w:t>, to any accrued and unpaid interest, accrued and unpaid Commitment Fee, any applicable Yield Protection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Premium and the Exit Fee; and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prepay the outstanding principal balance of the Loans on a pro rata basis.</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SECTION 49. Yield Protection Premium</w:t>
      </w:r>
      <w:r>
        <w:rPr>
          <w:rFonts w:ascii="Arial" w:cs="Arial" w:eastAsia="Arial" w:hAnsi="Arial"/>
          <w:sz w:val="18"/>
          <w:szCs w:val="18"/>
          <w:color w:val="auto"/>
        </w:rPr>
        <w:t>. Without limiting the foregoing, whenever the Yield Protection Premium is in effect and payable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hereof or any other Loan Document, such Yield Protection Premium shall be payable on each prepayment of all or any portion of the Loans, whether by optional or mandatory prepayment, acceleration or otherwise (other than any prepayment pursuant to any scheduled amortization payment). Notwithstanding the foregoing, no Yield Protection Premium shall be due and payable in connection with a Mandatory Prepayment required hereunder as a result of a Casualty Event.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50. Partial Prepayments</w:t>
      </w:r>
      <w:r>
        <w:rPr>
          <w:rFonts w:ascii="Arial" w:cs="Arial" w:eastAsia="Arial" w:hAnsi="Arial"/>
          <w:sz w:val="18"/>
          <w:szCs w:val="18"/>
          <w:color w:val="auto"/>
        </w:rPr>
        <w:t>. Prepayments shall be accompanied by accrued and unpaid interest and the Exit Fee.</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SECTION 51. Declined Payment</w:t>
      </w:r>
      <w:r>
        <w:rPr>
          <w:rFonts w:ascii="Arial" w:cs="Arial" w:eastAsia="Arial" w:hAnsi="Arial"/>
          <w:sz w:val="17"/>
          <w:szCs w:val="17"/>
          <w:color w:val="auto"/>
        </w:rPr>
        <w:t>. Notwithstanding anything in this</w:t>
      </w:r>
      <w:r>
        <w:rPr>
          <w:rFonts w:ascii="Arial" w:cs="Arial" w:eastAsia="Arial" w:hAnsi="Arial"/>
          <w:sz w:val="17"/>
          <w:szCs w:val="17"/>
          <w:b w:val="1"/>
          <w:bCs w:val="1"/>
          <w:color w:val="auto"/>
        </w:rPr>
        <w:t xml:space="preserve"> Section 3.03 </w:t>
      </w:r>
      <w:r>
        <w:rPr>
          <w:rFonts w:ascii="Arial" w:cs="Arial" w:eastAsia="Arial" w:hAnsi="Arial"/>
          <w:sz w:val="17"/>
          <w:szCs w:val="17"/>
          <w:color w:val="auto"/>
        </w:rPr>
        <w:t>to the contrary, the Oaktree Lender may elect, by notice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Administrative Agent prior to 12:00 p.m. (Eastern Time) at least one (1) Business Day prior to the required prepayment date, to decline all or any portion of any mandatory prepayment of its Loans pursuant to this </w:t>
      </w:r>
      <w:r>
        <w:rPr>
          <w:rFonts w:ascii="Arial" w:cs="Arial" w:eastAsia="Arial" w:hAnsi="Arial"/>
          <w:sz w:val="17"/>
          <w:szCs w:val="17"/>
          <w:b w:val="1"/>
          <w:bCs w:val="1"/>
          <w:color w:val="auto"/>
        </w:rPr>
        <w:t>Section 3.03</w:t>
      </w:r>
      <w:r>
        <w:rPr>
          <w:rFonts w:ascii="Arial" w:cs="Arial" w:eastAsia="Arial" w:hAnsi="Arial"/>
          <w:sz w:val="17"/>
          <w:szCs w:val="17"/>
          <w:color w:val="auto"/>
        </w:rPr>
        <w:t>, in which case the aggregate amount of the prepayment that would have been applied to prepay Loans but was so declined may be retained by the Borrower and used for any purpose not prohibited by this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1" w:name="page112"/>
    <w:bookmarkEnd w:id="111"/>
    <w:p>
      <w:pPr>
        <w:jc w:val="both"/>
        <w:spacing w:after="0" w:line="288" w:lineRule="auto"/>
        <w:rPr>
          <w:sz w:val="20"/>
          <w:szCs w:val="20"/>
          <w:color w:val="auto"/>
        </w:rPr>
      </w:pPr>
      <w:r>
        <w:rPr>
          <w:rFonts w:ascii="Arial" w:cs="Arial" w:eastAsia="Arial" w:hAnsi="Arial"/>
          <w:sz w:val="16"/>
          <w:szCs w:val="16"/>
          <w:b w:val="1"/>
          <w:bCs w:val="1"/>
          <w:i w:val="1"/>
          <w:iCs w:val="1"/>
          <w:color w:val="auto"/>
        </w:rPr>
        <w:t>SECTION 52. Commitment Termination</w:t>
      </w:r>
      <w:r>
        <w:rPr>
          <w:rFonts w:ascii="Arial" w:cs="Arial" w:eastAsia="Arial" w:hAnsi="Arial"/>
          <w:sz w:val="16"/>
          <w:szCs w:val="16"/>
          <w:color w:val="auto"/>
        </w:rPr>
        <w:t>. Each Applicable Commitment shall terminate automatically without further action upon the earlier of (i)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making by the Lenders of the Loans to which such Applicable Commitment relates on the Applicable Funding Date, (ii) with respect to the Incremental Tranche A Commitment, the last day of the Incremental Tranche A Availability Period and (iii) with respect to the Tranche B Commitment, the last day of the Tranche B Availability Period. The Borrower shall have the right at any time or from time to time to terminate in full (but not in part) all of the then outstanding Applicable Commitments with respect to the Incremental Tranche A Term Loans or the Tranche B Term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give the Lender and the Administrative Agent at least three (3) Business Days’ prior written notice of each such termination. Any notice of termination delivered pursuant to this </w:t>
      </w:r>
      <w:r>
        <w:rPr>
          <w:rFonts w:ascii="Arial" w:cs="Arial" w:eastAsia="Arial" w:hAnsi="Arial"/>
          <w:sz w:val="16"/>
          <w:szCs w:val="16"/>
          <w:b w:val="1"/>
          <w:bCs w:val="1"/>
          <w:color w:val="auto"/>
        </w:rPr>
        <w:t>Section 3.04</w:t>
      </w:r>
      <w:r>
        <w:rPr>
          <w:rFonts w:ascii="Arial" w:cs="Arial" w:eastAsia="Arial" w:hAnsi="Arial"/>
          <w:sz w:val="16"/>
          <w:szCs w:val="16"/>
          <w:color w:val="auto"/>
        </w:rPr>
        <w:t xml:space="preserve"> may state that such notice is conditional upon the effectiveness of other credit facilities or the receipt of the proceeds from the issuance of other Indebtedness or the occurrence of some other identifiable event or condition, in which case such notice of termination may be revoked by the Borrower (by written notice to the Administrative Agent on or prior to the specified date of termination) if such condition is not satisfied. The termination of the Incremental Tranche A Commitment or the Tranche B Commitment pursuant to this </w:t>
      </w:r>
      <w:r>
        <w:rPr>
          <w:rFonts w:ascii="Arial" w:cs="Arial" w:eastAsia="Arial" w:hAnsi="Arial"/>
          <w:sz w:val="16"/>
          <w:szCs w:val="16"/>
          <w:b w:val="1"/>
          <w:bCs w:val="1"/>
          <w:color w:val="auto"/>
        </w:rPr>
        <w:t>Section 3.04</w:t>
      </w:r>
      <w:r>
        <w:rPr>
          <w:rFonts w:ascii="Arial" w:cs="Arial" w:eastAsia="Arial" w:hAnsi="Arial"/>
          <w:sz w:val="16"/>
          <w:szCs w:val="16"/>
          <w:color w:val="auto"/>
        </w:rPr>
        <w:t xml:space="preserve"> shall be permanent.</w:t>
      </w:r>
    </w:p>
    <w:p>
      <w:pPr>
        <w:spacing w:after="0" w:line="1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SECTION 53. Exit Fee</w:t>
      </w:r>
      <w:r>
        <w:rPr>
          <w:rFonts w:ascii="Arial" w:cs="Arial" w:eastAsia="Arial" w:hAnsi="Arial"/>
          <w:sz w:val="16"/>
          <w:szCs w:val="16"/>
          <w:color w:val="auto"/>
        </w:rPr>
        <w:t>. Upon any payment or prepayment in full or in part of the Loans hereunder, whether voluntary or involuntary, prior to, on or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Maturity Date or following the acceleration of the Obligations hereunder, including as a result of the commencement of any Insolvency Proceeding, the Borrower shall pay to each of the Lenders for its own account a fee equal to 3.50% of the aggregate principal amount of such Loans to be paid or prepaid (the “</w:t>
      </w:r>
      <w:r>
        <w:rPr>
          <w:rFonts w:ascii="Arial" w:cs="Arial" w:eastAsia="Arial" w:hAnsi="Arial"/>
          <w:sz w:val="16"/>
          <w:szCs w:val="16"/>
          <w:b w:val="1"/>
          <w:bCs w:val="1"/>
          <w:i w:val="1"/>
          <w:iCs w:val="1"/>
          <w:color w:val="auto"/>
        </w:rPr>
        <w:t>Exit Fee</w:t>
      </w:r>
      <w:r>
        <w:rPr>
          <w:rFonts w:ascii="Arial" w:cs="Arial" w:eastAsia="Arial" w:hAnsi="Arial"/>
          <w:sz w:val="16"/>
          <w:szCs w:val="16"/>
          <w:color w:val="auto"/>
        </w:rPr>
        <w:t>”). The Exit Fee shall be earned, due and payable immediately upon any such payment or prepayment, and shall be in addition to any accrued and unpaid interest, reimbursement obligations, Yield Protection Premium or other amounts payable in connection therewith.</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SECTION 54. Original Issue Discount</w:t>
      </w:r>
      <w:r>
        <w:rPr>
          <w:rFonts w:ascii="Arial" w:cs="Arial" w:eastAsia="Arial" w:hAnsi="Arial"/>
          <w:sz w:val="17"/>
          <w:szCs w:val="17"/>
          <w:color w:val="auto"/>
        </w:rPr>
        <w:t>. The Borrower and the Lenders acknowledge that the Loans will be treated as issued with original issue discount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U.S. federal tax purposes, within the meaning of section 1273 of the Code. The issue price, amount of original issue discount, issue date and yield to maturity for the Loans may be obtained by submitting a written request for such information to the Borrower care of Andrew Boll at 102 Woodmont Blvd., Suite 610, Nashville, TN 37205 (which request shall also be sent via email to ). The Borrower and the Lenders agree that, for U.S. federal income tax purposes, pursuant to Treasury Regulation section 1.1275-2(c), each tranche will be treated as a single debt instrument with a single issue price, maturity date, yield to maturity and stated redemption price at maturity for purposes of Section 1271 of the Code.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55. </w:t>
      </w:r>
      <w:r>
        <w:rPr>
          <w:rFonts w:ascii="Arial" w:cs="Arial" w:eastAsia="Arial" w:hAnsi="Arial"/>
          <w:sz w:val="18"/>
          <w:szCs w:val="18"/>
          <w:color w:val="auto"/>
        </w:rPr>
        <w:t>PAYMENTS, ETC.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56. Payments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2" w:name="page113"/>
    <w:bookmarkEnd w:id="112"/>
    <w:p>
      <w:pPr>
        <w:jc w:val="both"/>
        <w:spacing w:after="0" w:line="298" w:lineRule="auto"/>
        <w:rPr>
          <w:sz w:val="20"/>
          <w:szCs w:val="20"/>
          <w:color w:val="auto"/>
        </w:rPr>
      </w:pPr>
      <w:r>
        <w:rPr>
          <w:rFonts w:ascii="Arial" w:cs="Arial" w:eastAsia="Arial" w:hAnsi="Arial"/>
          <w:sz w:val="16"/>
          <w:szCs w:val="16"/>
          <w:b w:val="1"/>
          <w:bCs w:val="1"/>
          <w:color w:val="auto"/>
        </w:rPr>
        <w:t>SECTION 57. Payments Generally</w:t>
      </w:r>
      <w:r>
        <w:rPr>
          <w:rFonts w:ascii="Arial" w:cs="Arial" w:eastAsia="Arial" w:hAnsi="Arial"/>
          <w:sz w:val="16"/>
          <w:szCs w:val="16"/>
          <w:color w:val="auto"/>
        </w:rPr>
        <w:t>. Each payment of principal, interest and other amounts to be made by the Obligors under this Agreement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Loan Document shall be made (i) in Dollars, in immediately available funds, without deduction, set off or counterclaim, to the Administrative Agent, for the account of the respective Lenders to which such payment is owed, to the deposit account of the Administrative Agent designated by the Administrative Agent by notice to the Borrower, and (ii) not later than 2:00 p.m. (Eastern time) on the date on which such payment is due (each such payment made after such time on such due date may, in the Administrative Agent’s discretion, be deemed to have been made on the next succeeding Business Day).</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58. Application of Payments</w:t>
      </w:r>
      <w:r>
        <w:rPr>
          <w:rFonts w:ascii="Arial" w:cs="Arial" w:eastAsia="Arial" w:hAnsi="Arial"/>
          <w:sz w:val="17"/>
          <w:szCs w:val="17"/>
          <w:color w:val="auto"/>
        </w:rPr>
        <w:t>. Notwithstanding anything herein to the contrary, following the occurrence and continuance of an Event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Default, all payments shall be applied as follows:</w:t>
      </w:r>
    </w:p>
    <w:p>
      <w:pPr>
        <w:spacing w:after="0" w:line="207"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SECTION 59. </w:t>
      </w:r>
      <w:r>
        <w:rPr>
          <w:rFonts w:ascii="Arial" w:cs="Arial" w:eastAsia="Arial" w:hAnsi="Arial"/>
          <w:sz w:val="17"/>
          <w:szCs w:val="17"/>
          <w:color w:val="auto"/>
        </w:rPr>
        <w:t>first, to the payment of that portion of the Obligations constituting unpaid fees, indemnities, expenses or other amounts (including fees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disbursements and other charges of counsel payable under </w:t>
      </w:r>
      <w:r>
        <w:rPr>
          <w:rFonts w:ascii="Arial" w:cs="Arial" w:eastAsia="Arial" w:hAnsi="Arial"/>
          <w:sz w:val="17"/>
          <w:szCs w:val="17"/>
          <w:b w:val="1"/>
          <w:bCs w:val="1"/>
          <w:color w:val="auto"/>
        </w:rPr>
        <w:t>Section 14.03</w:t>
      </w:r>
      <w:r>
        <w:rPr>
          <w:rFonts w:ascii="Arial" w:cs="Arial" w:eastAsia="Arial" w:hAnsi="Arial"/>
          <w:sz w:val="17"/>
          <w:szCs w:val="17"/>
          <w:color w:val="auto"/>
        </w:rPr>
        <w:t>) payable to the Administrative Agent in its capacity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wp:posOffset>
            </wp:positionH>
            <wp:positionV relativeFrom="paragraph">
              <wp:posOffset>-198755</wp:posOffset>
            </wp:positionV>
            <wp:extent cx="2159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0" cy="8255"/>
                    </a:xfrm>
                    <a:prstGeom prst="rect">
                      <a:avLst/>
                    </a:prstGeom>
                    <a:noFill/>
                  </pic:spPr>
                </pic:pic>
              </a:graphicData>
            </a:graphic>
          </wp:anchor>
        </w:drawing>
      </w:r>
    </w:p>
    <w:p>
      <w:pPr>
        <w:spacing w:after="0" w:line="1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60. </w:t>
      </w:r>
      <w:r>
        <w:rPr>
          <w:rFonts w:ascii="Arial" w:cs="Arial" w:eastAsia="Arial" w:hAnsi="Arial"/>
          <w:sz w:val="18"/>
          <w:szCs w:val="18"/>
          <w:u w:val="single" w:color="auto"/>
          <w:color w:val="auto"/>
        </w:rPr>
        <w:t>second</w:t>
      </w:r>
      <w:r>
        <w:rPr>
          <w:rFonts w:ascii="Arial" w:cs="Arial" w:eastAsia="Arial" w:hAnsi="Arial"/>
          <w:sz w:val="18"/>
          <w:szCs w:val="18"/>
          <w:color w:val="auto"/>
        </w:rPr>
        <w:t>, to the payment of that portion of the Obligations constituting unpaid fees, indemnities, costs, expenses and other amounts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than principal and interest, but including fees and disbursements and other charges of counsel payable under </w:t>
      </w:r>
      <w:r>
        <w:rPr>
          <w:rFonts w:ascii="Arial" w:cs="Arial" w:eastAsia="Arial" w:hAnsi="Arial"/>
          <w:sz w:val="18"/>
          <w:szCs w:val="18"/>
          <w:b w:val="1"/>
          <w:bCs w:val="1"/>
          <w:color w:val="auto"/>
        </w:rPr>
        <w:t>Section 14.03</w:t>
      </w:r>
      <w:r>
        <w:rPr>
          <w:rFonts w:ascii="Arial" w:cs="Arial" w:eastAsia="Arial" w:hAnsi="Arial"/>
          <w:sz w:val="18"/>
          <w:szCs w:val="18"/>
          <w:color w:val="auto"/>
        </w:rPr>
        <w:t>, any Commitment Fees, Yield Protection Premium and any Exit Fees) payable to the Lenders arising under the Loan Documents, ratably among them in proportion to the respective amounts described in this clause (B) payable to them;</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61. </w:t>
      </w:r>
      <w:r>
        <w:rPr>
          <w:rFonts w:ascii="Arial" w:cs="Arial" w:eastAsia="Arial" w:hAnsi="Arial"/>
          <w:sz w:val="18"/>
          <w:szCs w:val="18"/>
          <w:u w:val="single" w:color="auto"/>
          <w:color w:val="auto"/>
        </w:rPr>
        <w:t>third</w:t>
      </w:r>
      <w:r>
        <w:rPr>
          <w:rFonts w:ascii="Arial" w:cs="Arial" w:eastAsia="Arial" w:hAnsi="Arial"/>
          <w:sz w:val="18"/>
          <w:szCs w:val="18"/>
          <w:color w:val="auto"/>
        </w:rPr>
        <w:t>, to the payment of that portion of the Obligations constituting accrued and unpaid interest on the Loans, ratably among the Lenders in</w:t>
      </w:r>
      <w:r>
        <w:rPr>
          <w:rFonts w:ascii="Arial" w:cs="Arial" w:eastAsia="Arial" w:hAnsi="Arial"/>
          <w:sz w:val="18"/>
          <w:szCs w:val="18"/>
          <w:b w:val="1"/>
          <w:bCs w:val="1"/>
          <w:color w:val="auto"/>
        </w:rPr>
        <w:t xml:space="preserve"> </w:t>
      </w:r>
      <w:r>
        <w:rPr>
          <w:rFonts w:ascii="Arial" w:cs="Arial" w:eastAsia="Arial" w:hAnsi="Arial"/>
          <w:sz w:val="18"/>
          <w:szCs w:val="18"/>
          <w:color w:val="auto"/>
        </w:rPr>
        <w:t>proportion to the respective amounts described in this clause (C) payable to them;</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62. </w:t>
      </w:r>
      <w:r>
        <w:rPr>
          <w:rFonts w:ascii="Arial" w:cs="Arial" w:eastAsia="Arial" w:hAnsi="Arial"/>
          <w:sz w:val="18"/>
          <w:szCs w:val="18"/>
          <w:u w:val="single" w:color="auto"/>
          <w:color w:val="auto"/>
        </w:rPr>
        <w:t>fourth</w:t>
      </w:r>
      <w:r>
        <w:rPr>
          <w:rFonts w:ascii="Arial" w:cs="Arial" w:eastAsia="Arial" w:hAnsi="Arial"/>
          <w:sz w:val="18"/>
          <w:szCs w:val="18"/>
          <w:color w:val="auto"/>
        </w:rPr>
        <w:t>, to the payment of that portion of the Obligations constituting unpaid principal of the Loans, ratably among the Lenders in proportion</w:t>
      </w:r>
      <w:r>
        <w:rPr>
          <w:rFonts w:ascii="Arial" w:cs="Arial" w:eastAsia="Arial" w:hAnsi="Arial"/>
          <w:sz w:val="18"/>
          <w:szCs w:val="18"/>
          <w:b w:val="1"/>
          <w:bCs w:val="1"/>
          <w:color w:val="auto"/>
        </w:rPr>
        <w:t xml:space="preserve"> </w:t>
      </w:r>
      <w:r>
        <w:rPr>
          <w:rFonts w:ascii="Arial" w:cs="Arial" w:eastAsia="Arial" w:hAnsi="Arial"/>
          <w:sz w:val="18"/>
          <w:szCs w:val="18"/>
          <w:color w:val="auto"/>
        </w:rPr>
        <w:t>to the respective amounts described in this clause (D) payable to them;</w:t>
      </w:r>
    </w:p>
    <w:p>
      <w:pPr>
        <w:spacing w:after="0" w:line="162"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SECTION 63. </w:t>
      </w:r>
      <w:r>
        <w:rPr>
          <w:rFonts w:ascii="Arial" w:cs="Arial" w:eastAsia="Arial" w:hAnsi="Arial"/>
          <w:sz w:val="17"/>
          <w:szCs w:val="17"/>
          <w:u w:val="single" w:color="auto"/>
          <w:color w:val="auto"/>
        </w:rPr>
        <w:t>fifth</w:t>
      </w:r>
      <w:r>
        <w:rPr>
          <w:rFonts w:ascii="Arial" w:cs="Arial" w:eastAsia="Arial" w:hAnsi="Arial"/>
          <w:sz w:val="17"/>
          <w:szCs w:val="17"/>
          <w:color w:val="auto"/>
        </w:rPr>
        <w:t>, in reduction of any other Obligation then due and owing, ratably among the Administrative Agent and the Lenders based upon the</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 aggregate amount of all such Obligations owing to them in accordance with the respective amounts thereof then due and payable; and</w:t>
      </w:r>
    </w:p>
    <w:p>
      <w:pPr>
        <w:spacing w:after="0" w:line="14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64. </w:t>
      </w:r>
      <w:r>
        <w:rPr>
          <w:rFonts w:ascii="Arial" w:cs="Arial" w:eastAsia="Arial" w:hAnsi="Arial"/>
          <w:sz w:val="18"/>
          <w:szCs w:val="18"/>
          <w:u w:val="single" w:color="auto"/>
          <w:color w:val="auto"/>
        </w:rPr>
        <w:t>sixth</w:t>
      </w:r>
      <w:r>
        <w:rPr>
          <w:rFonts w:ascii="Arial" w:cs="Arial" w:eastAsia="Arial" w:hAnsi="Arial"/>
          <w:sz w:val="18"/>
          <w:szCs w:val="18"/>
          <w:color w:val="auto"/>
        </w:rPr>
        <w:t>, the balance, if any, after all Obligations have been indefeasibly paid in full, to the Borrower or such other Person as may be lawfully</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or directed by the Borrower to receive the remainder.</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SECTION 65. Non-Business Days</w:t>
      </w:r>
      <w:r>
        <w:rPr>
          <w:rFonts w:ascii="Arial" w:cs="Arial" w:eastAsia="Arial" w:hAnsi="Arial"/>
          <w:sz w:val="17"/>
          <w:szCs w:val="17"/>
          <w:color w:val="auto"/>
        </w:rPr>
        <w:t>. If the due date of any payment under this Agreement (whether in respect of principal, interest, fees, costs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would otherwise fall on a day that is not a Business Day, such date shall be extended to the next succeeding Business Day, and, in the case of any payment accruing interest, interest thereon shall continue to accrue and be payable for the period of such extension;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next succeeding Business Day would fall after the Maturity Date, payment shall be made on the immediately preceding Business Day.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3" w:name="page114"/>
    <w:bookmarkEnd w:id="113"/>
    <w:p>
      <w:pPr>
        <w:jc w:val="both"/>
        <w:spacing w:after="0" w:line="277" w:lineRule="auto"/>
        <w:rPr>
          <w:sz w:val="20"/>
          <w:szCs w:val="20"/>
          <w:color w:val="auto"/>
        </w:rPr>
      </w:pPr>
      <w:r>
        <w:rPr>
          <w:rFonts w:ascii="Arial" w:cs="Arial" w:eastAsia="Arial" w:hAnsi="Arial"/>
          <w:sz w:val="18"/>
          <w:szCs w:val="18"/>
          <w:b w:val="1"/>
          <w:bCs w:val="1"/>
          <w:i w:val="1"/>
          <w:iCs w:val="1"/>
          <w:color w:val="auto"/>
        </w:rPr>
        <w:t>SECTION 66. Computations</w:t>
      </w:r>
      <w:r>
        <w:rPr>
          <w:rFonts w:ascii="Arial" w:cs="Arial" w:eastAsia="Arial" w:hAnsi="Arial"/>
          <w:sz w:val="18"/>
          <w:szCs w:val="18"/>
          <w:color w:val="auto"/>
        </w:rPr>
        <w:t>. All computations of interest and fees hereunder shall be computed on the basis of a year of three hundred and sixty (360)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days and actual days elapsed during the period for which payable.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67. Set-Off</w:t>
      </w:r>
      <w:r>
        <w:rPr>
          <w:rFonts w:ascii="Arial" w:cs="Arial" w:eastAsia="Arial" w:hAnsi="Arial"/>
          <w:sz w:val="18"/>
          <w:szCs w:val="18"/>
          <w:color w:val="auto"/>
        </w:rPr>
        <w:t>.</w:t>
      </w:r>
    </w:p>
    <w:p>
      <w:pPr>
        <w:spacing w:after="0" w:line="2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SECTION 68. Set-Off Generally</w:t>
      </w:r>
      <w:r>
        <w:rPr>
          <w:rFonts w:ascii="Arial" w:cs="Arial" w:eastAsia="Arial" w:hAnsi="Arial"/>
          <w:sz w:val="16"/>
          <w:szCs w:val="16"/>
          <w:color w:val="auto"/>
        </w:rPr>
        <w:t>. Upon the occurrence and during the continuance of any Event of Default, the Administrative Agent, each of the Lenders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each of their Affiliates is hereby authorized at any time and from time to time, to the fullest extent permitted by law, to set off and apply any and all deposits (general or special, time or demand, provisional or final) at any time held and other indebtedness at any time owing by the Administrative Agent, any Lender and any of their Affiliates to or for the credit or the account of any Obligor against any and all of the Obligations, whether or not such Person shall have made any demand and although such obligations may be unmatured; provided,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6"/>
          <w:szCs w:val="16"/>
          <w:b w:val="1"/>
          <w:bCs w:val="1"/>
          <w:color w:val="auto"/>
        </w:rPr>
        <w:t>Section 2.07</w:t>
      </w:r>
      <w:r>
        <w:rPr>
          <w:rFonts w:ascii="Arial" w:cs="Arial" w:eastAsia="Arial" w:hAnsi="Arial"/>
          <w:sz w:val="16"/>
          <w:szCs w:val="16"/>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Any Person exercising rights of set off hereunder agrees promptly to notify the Borrower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 The rights of the Administrative Agent, the Lenders and each of their Affiliates under this </w:t>
      </w:r>
      <w:r>
        <w:rPr>
          <w:rFonts w:ascii="Arial" w:cs="Arial" w:eastAsia="Arial" w:hAnsi="Arial"/>
          <w:sz w:val="16"/>
          <w:szCs w:val="16"/>
          <w:b w:val="1"/>
          <w:bCs w:val="1"/>
          <w:color w:val="auto"/>
        </w:rPr>
        <w:t>Section 4.03</w:t>
      </w:r>
      <w:r>
        <w:rPr>
          <w:rFonts w:ascii="Arial" w:cs="Arial" w:eastAsia="Arial" w:hAnsi="Arial"/>
          <w:sz w:val="16"/>
          <w:szCs w:val="16"/>
          <w:color w:val="auto"/>
        </w:rPr>
        <w:t xml:space="preserve"> are in addition to other rights and remedies (including other rights of set-off) that such Persons may have.</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SECTION 69. Exercise of Rights Not Required</w:t>
      </w:r>
      <w:r>
        <w:rPr>
          <w:rFonts w:ascii="Arial" w:cs="Arial" w:eastAsia="Arial" w:hAnsi="Arial"/>
          <w:sz w:val="18"/>
          <w:szCs w:val="18"/>
          <w:color w:val="auto"/>
        </w:rPr>
        <w:t>. Nothing contained in</w:t>
      </w:r>
      <w:r>
        <w:rPr>
          <w:rFonts w:ascii="Arial" w:cs="Arial" w:eastAsia="Arial" w:hAnsi="Arial"/>
          <w:sz w:val="18"/>
          <w:szCs w:val="18"/>
          <w:b w:val="1"/>
          <w:bCs w:val="1"/>
          <w:color w:val="auto"/>
        </w:rPr>
        <w:t xml:space="preserve"> Section 4.03(a) </w:t>
      </w:r>
      <w:r>
        <w:rPr>
          <w:rFonts w:ascii="Arial" w:cs="Arial" w:eastAsia="Arial" w:hAnsi="Arial"/>
          <w:sz w:val="18"/>
          <w:szCs w:val="18"/>
          <w:color w:val="auto"/>
        </w:rPr>
        <w:t>shall require the Administrative Agent, any Lender or any of their</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to exercise any such right or shall affect the right of such Persons to exercise, and retain the benefits of exercising, any such right with respect to any other indebtedness or obligation of any Obligor.</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SECTION 70. Payments Set Aside. </w:t>
      </w:r>
      <w:r>
        <w:rPr>
          <w:rFonts w:ascii="Arial" w:cs="Arial" w:eastAsia="Arial" w:hAnsi="Arial"/>
          <w:sz w:val="17"/>
          <w:szCs w:val="17"/>
          <w:color w:val="auto"/>
        </w:rPr>
        <w:t>To the extent that any payment by or on behalf of any Obligor is made to the Administrative Agent or any Lender,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Administrative Agent, any Lender or any Affiliate of the foregoing exercises its right of setoff pursuant to this </w:t>
      </w:r>
      <w:r>
        <w:rPr>
          <w:rFonts w:ascii="Arial" w:cs="Arial" w:eastAsia="Arial" w:hAnsi="Arial"/>
          <w:sz w:val="17"/>
          <w:szCs w:val="17"/>
          <w:b w:val="1"/>
          <w:bCs w:val="1"/>
          <w:color w:val="auto"/>
        </w:rPr>
        <w:t>Section 4.03</w:t>
      </w:r>
      <w:r>
        <w:rPr>
          <w:rFonts w:ascii="Arial" w:cs="Arial" w:eastAsia="Arial" w:hAnsi="Arial"/>
          <w:sz w:val="17"/>
          <w:szCs w:val="17"/>
          <w:color w:val="auto"/>
        </w:rPr>
        <w:t>, and such payment or the proceeds of such setoff or any part thereof is subsequently invalidated, declared to be fraudulent or preferential, set aside or required (including pursuant to any settlement entered into by the Administrative Agent, such Lender or such Affiliate in its discretion) to be repaid to a trustee, receiver or any other party, in connection with any Insolvency Proceeding or otherwise, then (i) to the extent of such recovery, the obligation or part thereof originally intended to be satisfied shall be revived and continued in full force and effect as if such payment had not been made or such setoff had not occurred, and (ii)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Effective Rate from time to time in effect.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color w:val="auto"/>
        </w:rPr>
        <w:t>YIELD PROTECTION, TAXES, ETC.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72. Additional Costs</w:t>
      </w:r>
      <w:r>
        <w:rPr>
          <w:rFonts w:ascii="Arial" w:cs="Arial" w:eastAsia="Arial" w:hAnsi="Arial"/>
          <w:sz w:val="18"/>
          <w:szCs w:val="18"/>
          <w:color w:val="auto"/>
        </w:rPr>
        <w:t>.</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SECTION 73. Change in Law Generally</w:t>
      </w:r>
      <w:r>
        <w:rPr>
          <w:rFonts w:ascii="Arial" w:cs="Arial" w:eastAsia="Arial" w:hAnsi="Arial"/>
          <w:sz w:val="16"/>
          <w:szCs w:val="16"/>
          <w:color w:val="auto"/>
        </w:rPr>
        <w:t>. If, on or after the date hereof (or, with respect to any Lender, such later date on which such Lender becomes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party to this Agreement), the adoption of any Law, or any change in any Law, or any change in the interpretation or administration thereof by any court or other Governmental Authority charged with the interpretation or administration thereof, or compliance by the Administrative Agent or any of the Lenders (or its lending office) with any request or directive (whether or not having the force of law) of any such Governmental Authority, shall impose, modify or deem applicable any reserve (including any such requirement imposed by the Board of Governors of the Federal Reserve System), special deposit, contribution, insurance assessment or similar requirement, in each case that becomes effective after the date hereof (or, with respect to any Lender, such later date on which such Lender becomes a party to this Agreement), against assets of, deposits with or for the account of, or credit extended by, a Lender (or its lending office) or shall impose on a Lender (or its lending office) any other condition affecting the Loans or the Commitment, and the result of any of the foregoing is to increase the cost to such Lender of making or maintaining the Loans, or to reduce the amount of any sum received or receivable by such Lender under this Agreement or any other Loan Document, or subject any Lender to any Taxes on its Loan, Commitment or other obligations, or its deposits, reserves, other liabilities or capital (if any) attributable thereto by an amount reasonably deemed by such Lender in good faith to be material (other than (i) Indemnified Taxes, (ii) Taxes described in </w:t>
      </w:r>
      <w:r>
        <w:rPr>
          <w:rFonts w:ascii="Arial" w:cs="Arial" w:eastAsia="Arial" w:hAnsi="Arial"/>
          <w:sz w:val="16"/>
          <w:szCs w:val="16"/>
          <w:b w:val="1"/>
          <w:bCs w:val="1"/>
          <w:color w:val="auto"/>
        </w:rPr>
        <w:t>clauses (ii)</w:t>
      </w:r>
      <w:r>
        <w:rPr>
          <w:rFonts w:ascii="Arial" w:cs="Arial" w:eastAsia="Arial" w:hAnsi="Arial"/>
          <w:sz w:val="16"/>
          <w:szCs w:val="16"/>
          <w:color w:val="auto"/>
        </w:rPr>
        <w:t xml:space="preserve"> through </w:t>
      </w:r>
      <w:r>
        <w:rPr>
          <w:rFonts w:ascii="Arial" w:cs="Arial" w:eastAsia="Arial" w:hAnsi="Arial"/>
          <w:sz w:val="16"/>
          <w:szCs w:val="16"/>
          <w:b w:val="1"/>
          <w:bCs w:val="1"/>
          <w:color w:val="auto"/>
        </w:rPr>
        <w:t>(iv)</w:t>
      </w:r>
      <w:r>
        <w:rPr>
          <w:rFonts w:ascii="Arial" w:cs="Arial" w:eastAsia="Arial" w:hAnsi="Arial"/>
          <w:sz w:val="16"/>
          <w:szCs w:val="16"/>
          <w:color w:val="auto"/>
        </w:rPr>
        <w:t xml:space="preserve"> of the definition of Excluded Taxes and (iii) Connection Income Taxes), then the Borrower shall pay to such Lender, within five (5) Business Days of receipt of the certificate contemplated by </w:t>
      </w:r>
      <w:r>
        <w:rPr>
          <w:rFonts w:ascii="Arial" w:cs="Arial" w:eastAsia="Arial" w:hAnsi="Arial"/>
          <w:sz w:val="16"/>
          <w:szCs w:val="16"/>
          <w:b w:val="1"/>
          <w:bCs w:val="1"/>
          <w:color w:val="auto"/>
        </w:rPr>
        <w:t>Section 5.01(c)</w:t>
      </w:r>
      <w:r>
        <w:rPr>
          <w:rFonts w:ascii="Arial" w:cs="Arial" w:eastAsia="Arial" w:hAnsi="Arial"/>
          <w:sz w:val="16"/>
          <w:szCs w:val="16"/>
          <w:color w:val="auto"/>
        </w:rPr>
        <w:t>, such additional amount or amounts as will compensate such Lender for such increased cost or reduction.</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SECTION 74. Change in Capital Requirements</w:t>
      </w:r>
      <w:r>
        <w:rPr>
          <w:rFonts w:ascii="Arial" w:cs="Arial" w:eastAsia="Arial" w:hAnsi="Arial"/>
          <w:sz w:val="16"/>
          <w:szCs w:val="16"/>
          <w:color w:val="auto"/>
        </w:rPr>
        <w:t>. If a Lender shall have determined that, on or after the date hereof (or, with respect to any Lender,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later date on which such Lender becomes a party to this Agreement), the adoption of any Law regarding capital adequacy, or any change therein, or any change in the interpretation or administration thereof by any Governmental Authority charged with the interpretation or administration thereof, or any request or directive regarding capital adequacy (whether or not having the force of law) of any such Governmental Authority, in each case that becomes effective after the date hereof (or, with respect to any Lender, such later date on which such Lender becomes a party to this Agreement), has or would have the effect of reducing the rate of return on capital of a Lender (or its parent) as a consequence of a Lender’s obligations hereunder or the Loans to a level below that which a Lender (or its parent) could have achieved but for such adoption, change, request or directive by an amount reasonably deemed by it to be material, then the Borrower shall pay to such Lender, within five (5) Business Days of receipt of the certificate contemplated by </w:t>
      </w:r>
      <w:r>
        <w:rPr>
          <w:rFonts w:ascii="Arial" w:cs="Arial" w:eastAsia="Arial" w:hAnsi="Arial"/>
          <w:sz w:val="16"/>
          <w:szCs w:val="16"/>
          <w:b w:val="1"/>
          <w:bCs w:val="1"/>
          <w:color w:val="auto"/>
        </w:rPr>
        <w:t>Section 5.01(c)</w:t>
      </w:r>
      <w:r>
        <w:rPr>
          <w:rFonts w:ascii="Arial" w:cs="Arial" w:eastAsia="Arial" w:hAnsi="Arial"/>
          <w:sz w:val="16"/>
          <w:szCs w:val="16"/>
          <w:color w:val="auto"/>
        </w:rPr>
        <w:t>, such additional amount or amounts as will compensate such Lender (or its parent) for such reduction.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5" w:name="page116"/>
    <w:bookmarkEnd w:id="115"/>
    <w:p>
      <w:pPr>
        <w:jc w:val="both"/>
        <w:spacing w:after="0" w:line="289" w:lineRule="auto"/>
        <w:rPr>
          <w:sz w:val="20"/>
          <w:szCs w:val="20"/>
          <w:color w:val="auto"/>
        </w:rPr>
      </w:pPr>
      <w:r>
        <w:rPr>
          <w:rFonts w:ascii="Arial" w:cs="Arial" w:eastAsia="Arial" w:hAnsi="Arial"/>
          <w:sz w:val="16"/>
          <w:szCs w:val="16"/>
          <w:b w:val="1"/>
          <w:bCs w:val="1"/>
          <w:color w:val="auto"/>
        </w:rPr>
        <w:t>SECTION 75. Notification by Lender</w:t>
      </w:r>
      <w:r>
        <w:rPr>
          <w:rFonts w:ascii="Arial" w:cs="Arial" w:eastAsia="Arial" w:hAnsi="Arial"/>
          <w:sz w:val="16"/>
          <w:szCs w:val="16"/>
          <w:color w:val="auto"/>
        </w:rPr>
        <w:t>. Each Lender promptly will notify the Borrower of any event of which it has knowledge, occurring after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hereof (or, with respect to any Lender, such later date on which such Lender becomes a party to this Agreement), which will entitle such Lender to compensation pursuant to this </w:t>
      </w:r>
      <w:r>
        <w:rPr>
          <w:rFonts w:ascii="Arial" w:cs="Arial" w:eastAsia="Arial" w:hAnsi="Arial"/>
          <w:sz w:val="16"/>
          <w:szCs w:val="16"/>
          <w:b w:val="1"/>
          <w:bCs w:val="1"/>
          <w:color w:val="auto"/>
        </w:rPr>
        <w:t>Section 5.01</w:t>
      </w:r>
      <w:r>
        <w:rPr>
          <w:rFonts w:ascii="Arial" w:cs="Arial" w:eastAsia="Arial" w:hAnsi="Arial"/>
          <w:sz w:val="16"/>
          <w:szCs w:val="16"/>
          <w:color w:val="auto"/>
        </w:rPr>
        <w:t xml:space="preserve">. Before giving any such notice pursuant to this </w:t>
      </w:r>
      <w:r>
        <w:rPr>
          <w:rFonts w:ascii="Arial" w:cs="Arial" w:eastAsia="Arial" w:hAnsi="Arial"/>
          <w:sz w:val="16"/>
          <w:szCs w:val="16"/>
          <w:b w:val="1"/>
          <w:bCs w:val="1"/>
          <w:color w:val="auto"/>
        </w:rPr>
        <w:t>Section 5.01(c)</w:t>
      </w:r>
      <w:r>
        <w:rPr>
          <w:rFonts w:ascii="Arial" w:cs="Arial" w:eastAsia="Arial" w:hAnsi="Arial"/>
          <w:sz w:val="16"/>
          <w:szCs w:val="16"/>
          <w:color w:val="auto"/>
        </w:rPr>
        <w:t xml:space="preserve"> such Lender shall designate a different lending office if such designation (x) will, in the reasonable judgment of such Lender, avoid the need for, or reduce the amount of, such compensation and (y) will not, in the reasonable judgment of such Lender, be materially disadvantageous to such Lender. A certificate of such Lender claiming compensation under this </w:t>
      </w:r>
      <w:r>
        <w:rPr>
          <w:rFonts w:ascii="Arial" w:cs="Arial" w:eastAsia="Arial" w:hAnsi="Arial"/>
          <w:sz w:val="16"/>
          <w:szCs w:val="16"/>
          <w:b w:val="1"/>
          <w:bCs w:val="1"/>
          <w:color w:val="auto"/>
        </w:rPr>
        <w:t>Section 5.01</w:t>
      </w:r>
      <w:r>
        <w:rPr>
          <w:rFonts w:ascii="Arial" w:cs="Arial" w:eastAsia="Arial" w:hAnsi="Arial"/>
          <w:sz w:val="16"/>
          <w:szCs w:val="16"/>
          <w:color w:val="auto"/>
        </w:rPr>
        <w:t xml:space="preserve">, setting forth the additional amount or amounts to be paid to it hereunder, shall be conclusive and binding on the Borrower in the absence of manifest error. The Borrower shall not be required to compensate a Lender pursuant to the foregoing provisions of this </w:t>
      </w:r>
      <w:r>
        <w:rPr>
          <w:rFonts w:ascii="Arial" w:cs="Arial" w:eastAsia="Arial" w:hAnsi="Arial"/>
          <w:sz w:val="16"/>
          <w:szCs w:val="16"/>
          <w:b w:val="1"/>
          <w:bCs w:val="1"/>
          <w:color w:val="auto"/>
        </w:rPr>
        <w:t>Section 5.01</w:t>
      </w:r>
      <w:r>
        <w:rPr>
          <w:rFonts w:ascii="Arial" w:cs="Arial" w:eastAsia="Arial" w:hAnsi="Arial"/>
          <w:sz w:val="16"/>
          <w:szCs w:val="16"/>
          <w:color w:val="auto"/>
        </w:rPr>
        <w:t xml:space="preserve"> for any increased costs incurred or reductions suffered more than six (6)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76. </w:t>
      </w:r>
      <w:r>
        <w:rPr>
          <w:rFonts w:ascii="Arial" w:cs="Arial" w:eastAsia="Arial" w:hAnsi="Arial"/>
          <w:sz w:val="18"/>
          <w:szCs w:val="18"/>
          <w:color w:val="auto"/>
        </w:rPr>
        <w:t>Notwithstanding anything herein to the contrary, (x) the Dodd-Frank Wall Street Reform and Consumer Protection Act and all requests,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constitute a change in Law for all purposes of this </w:t>
      </w:r>
      <w:r>
        <w:rPr>
          <w:rFonts w:ascii="Arial" w:cs="Arial" w:eastAsia="Arial" w:hAnsi="Arial"/>
          <w:sz w:val="18"/>
          <w:szCs w:val="18"/>
          <w:b w:val="1"/>
          <w:bCs w:val="1"/>
          <w:color w:val="auto"/>
        </w:rPr>
        <w:t>Section 5.01</w:t>
      </w:r>
      <w:r>
        <w:rPr>
          <w:rFonts w:ascii="Arial" w:cs="Arial" w:eastAsia="Arial" w:hAnsi="Arial"/>
          <w:sz w:val="18"/>
          <w:szCs w:val="18"/>
          <w:color w:val="auto"/>
        </w:rPr>
        <w:t>, regardless of the date enacted, adopted or issued.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77. [Reserved]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78. Taxes</w:t>
      </w:r>
      <w:r>
        <w:rPr>
          <w:rFonts w:ascii="Arial" w:cs="Arial" w:eastAsia="Arial" w:hAnsi="Arial"/>
          <w:sz w:val="18"/>
          <w:szCs w:val="18"/>
          <w:color w:val="auto"/>
        </w:rPr>
        <w:t>.</w:t>
      </w:r>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SECTION 79. Payments Free of Taxes</w:t>
      </w:r>
      <w:r>
        <w:rPr>
          <w:rFonts w:ascii="Arial" w:cs="Arial" w:eastAsia="Arial" w:hAnsi="Arial"/>
          <w:sz w:val="17"/>
          <w:szCs w:val="17"/>
          <w:color w:val="auto"/>
        </w:rPr>
        <w:t>. Any and all payments by or on account of any Obligation shall be made without deduction or withholding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Taxes, except as required by any Law. If any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Laws and, if such Tax is an Indemnified Tax, then the sum payable by such Obligor shall be increased as necessary so that after such deduction or withholding has been made (including such deductions and withholdings applicable to additional sums payable under this </w:t>
      </w:r>
      <w:r>
        <w:rPr>
          <w:rFonts w:ascii="Arial" w:cs="Arial" w:eastAsia="Arial" w:hAnsi="Arial"/>
          <w:sz w:val="17"/>
          <w:szCs w:val="17"/>
          <w:b w:val="1"/>
          <w:bCs w:val="1"/>
          <w:color w:val="auto"/>
        </w:rPr>
        <w:t>Section 5.03</w:t>
      </w:r>
      <w:r>
        <w:rPr>
          <w:rFonts w:ascii="Arial" w:cs="Arial" w:eastAsia="Arial" w:hAnsi="Arial"/>
          <w:sz w:val="17"/>
          <w:szCs w:val="17"/>
          <w:color w:val="auto"/>
        </w:rPr>
        <w:t>) the applicable Recipient receives an amount equal to the sum it would have received had no such deduction or withholding been made.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6" w:name="page117"/>
    <w:bookmarkEnd w:id="116"/>
    <w:p>
      <w:pPr>
        <w:jc w:val="both"/>
        <w:spacing w:after="0" w:line="282" w:lineRule="auto"/>
        <w:rPr>
          <w:sz w:val="20"/>
          <w:szCs w:val="20"/>
          <w:color w:val="auto"/>
        </w:rPr>
      </w:pPr>
      <w:r>
        <w:rPr>
          <w:rFonts w:ascii="Arial" w:cs="Arial" w:eastAsia="Arial" w:hAnsi="Arial"/>
          <w:sz w:val="18"/>
          <w:szCs w:val="18"/>
          <w:b w:val="1"/>
          <w:bCs w:val="1"/>
          <w:color w:val="auto"/>
        </w:rPr>
        <w:t>SECTION 80. Payment of Other Taxes by the Borrower</w:t>
      </w:r>
      <w:r>
        <w:rPr>
          <w:rFonts w:ascii="Arial" w:cs="Arial" w:eastAsia="Arial" w:hAnsi="Arial"/>
          <w:sz w:val="18"/>
          <w:szCs w:val="18"/>
          <w:color w:val="auto"/>
        </w:rPr>
        <w:t>. The Borrower shall timely pay to the relevant Governmental Authority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Laws, or at the option of the Administrative Agent, timely reimburse it for the payment of any Other Taxes.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81. Evidence of Payments</w:t>
      </w:r>
      <w:r>
        <w:rPr>
          <w:rFonts w:ascii="Arial" w:cs="Arial" w:eastAsia="Arial" w:hAnsi="Arial"/>
          <w:sz w:val="18"/>
          <w:szCs w:val="18"/>
          <w:color w:val="auto"/>
        </w:rPr>
        <w:t>. As soon as practicable after any payment of Taxes by the Borrower to a Governmental Authority pursuant to this</w:t>
      </w:r>
      <w:r>
        <w:rPr>
          <w:rFonts w:ascii="Arial" w:cs="Arial" w:eastAsia="Arial" w:hAnsi="Arial"/>
          <w:sz w:val="18"/>
          <w:szCs w:val="18"/>
          <w:b w:val="1"/>
          <w:bCs w:val="1"/>
          <w:color w:val="auto"/>
        </w:rPr>
        <w:t xml:space="preserve"> Section 5.03</w:t>
      </w:r>
      <w:r>
        <w:rPr>
          <w:rFonts w:ascii="Arial" w:cs="Arial" w:eastAsia="Arial" w:hAnsi="Arial"/>
          <w:sz w:val="18"/>
          <w:szCs w:val="18"/>
          <w:color w:val="auto"/>
        </w:rPr>
        <w:t>, the Borrower shall deliver to the Administrative Agent the original or a certified copy of a receipt issued by such Governmental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such payment, a copy of the return reporting such payment or other evidence of such payment reasonably satisfactory to the Administrative Agent.</w:t>
      </w:r>
    </w:p>
    <w:p>
      <w:pPr>
        <w:spacing w:after="0" w:line="18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SECTION 82. Indemnification by the Borrower</w:t>
      </w:r>
      <w:r>
        <w:rPr>
          <w:rFonts w:ascii="Arial" w:cs="Arial" w:eastAsia="Arial" w:hAnsi="Arial"/>
          <w:sz w:val="17"/>
          <w:szCs w:val="17"/>
          <w:color w:val="auto"/>
        </w:rPr>
        <w:t>. The Borrower shall reimburse and indemnify each Recipient, within ten (10) days after demand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therefor, for the full amount of any Indemnified Taxes (including Indemnified Taxes imposed or asserted on or attributable to amounts payable under this </w:t>
      </w:r>
      <w:r>
        <w:rPr>
          <w:rFonts w:ascii="Arial" w:cs="Arial" w:eastAsia="Arial" w:hAnsi="Arial"/>
          <w:sz w:val="17"/>
          <w:szCs w:val="17"/>
          <w:b w:val="1"/>
          <w:bCs w:val="1"/>
          <w:color w:val="auto"/>
        </w:rPr>
        <w:t>Section 5.03</w:t>
      </w:r>
      <w:r>
        <w:rPr>
          <w:rFonts w:ascii="Arial" w:cs="Arial" w:eastAsia="Arial" w:hAnsi="Arial"/>
          <w:sz w:val="17"/>
          <w:szCs w:val="17"/>
          <w:color w:val="auto"/>
        </w:rPr>
        <w:t>) payable or paid by such Recipient or required to be withheld or deducted from a payment to such Recipient and any reasonable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SECTION 83. Indemnification by the Lender</w:t>
      </w:r>
      <w:r>
        <w:rPr>
          <w:rFonts w:ascii="Arial" w:cs="Arial" w:eastAsia="Arial" w:hAnsi="Arial"/>
          <w:sz w:val="18"/>
          <w:szCs w:val="18"/>
          <w:color w:val="auto"/>
        </w:rPr>
        <w:t>. Each Lender shall severally indemnify the Administrative Agent, within ten (10) days after demand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18"/>
          <w:szCs w:val="18"/>
          <w:b w:val="1"/>
          <w:bCs w:val="1"/>
          <w:color w:val="auto"/>
        </w:rPr>
        <w:t>Section 14.05(e)</w:t>
      </w:r>
      <w:r>
        <w:rPr>
          <w:rFonts w:ascii="Arial" w:cs="Arial" w:eastAsia="Arial" w:hAnsi="Arial"/>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8"/>
          <w:szCs w:val="18"/>
          <w:b w:val="1"/>
          <w:bCs w:val="1"/>
          <w:color w:val="auto"/>
        </w:rPr>
        <w:t>Section 5.03(e)</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84. Status of Lenders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7" w:name="page118"/>
    <w:bookmarkEnd w:id="117"/>
    <w:p>
      <w:pPr>
        <w:jc w:val="both"/>
        <w:spacing w:after="0" w:line="289" w:lineRule="auto"/>
        <w:rPr>
          <w:sz w:val="20"/>
          <w:szCs w:val="20"/>
          <w:color w:val="auto"/>
        </w:rPr>
      </w:pPr>
      <w:r>
        <w:rPr>
          <w:rFonts w:ascii="Arial" w:cs="Arial" w:eastAsia="Arial" w:hAnsi="Arial"/>
          <w:sz w:val="16"/>
          <w:szCs w:val="16"/>
          <w:b w:val="1"/>
          <w:bCs w:val="1"/>
          <w:color w:val="auto"/>
        </w:rPr>
        <w:t>SECTION 85.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Law as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(2) sentences, the completion, execution and submission of such documentation (other than such documentation set forth in Section 5.03(f)(ii)(A), (ii)(B), and (ii)(D)) shall not be required if in such Lender’s reasonable judgment such completion, execution or submission would subject such Lender to any material unreimbursed cost or expense or would materially prejudice the legal or commercial position of such Lender.</w:t>
      </w:r>
    </w:p>
    <w:p>
      <w:pPr>
        <w:spacing w:after="0" w:line="161" w:lineRule="exact"/>
        <w:rPr>
          <w:sz w:val="20"/>
          <w:szCs w:val="20"/>
          <w:color w:val="auto"/>
        </w:rPr>
      </w:pPr>
    </w:p>
    <w:p>
      <w:pPr>
        <w:ind w:left="1560" w:hanging="256"/>
        <w:spacing w:after="0"/>
        <w:tabs>
          <w:tab w:leader="none" w:pos="1560" w:val="left"/>
        </w:tabs>
        <w:numPr>
          <w:ilvl w:val="1"/>
          <w:numId w:val="37"/>
        </w:numPr>
        <w:rPr>
          <w:rFonts w:ascii="Arial" w:cs="Arial" w:eastAsia="Arial" w:hAnsi="Arial"/>
          <w:sz w:val="18"/>
          <w:szCs w:val="18"/>
          <w:color w:val="auto"/>
        </w:rPr>
      </w:pPr>
      <w:r>
        <w:rPr>
          <w:rFonts w:ascii="Arial" w:cs="Arial" w:eastAsia="Arial" w:hAnsi="Arial"/>
          <w:sz w:val="18"/>
          <w:szCs w:val="18"/>
          <w:b w:val="1"/>
          <w:bCs w:val="1"/>
          <w:color w:val="auto"/>
        </w:rPr>
        <w:t>Without limiting the generality of the foregoing, in the event that the Borrower is a U.S. Person:</w:t>
      </w:r>
    </w:p>
    <w:p>
      <w:pPr>
        <w:spacing w:after="0" w:line="229" w:lineRule="exact"/>
        <w:rPr>
          <w:rFonts w:ascii="Arial" w:cs="Arial" w:eastAsia="Arial" w:hAnsi="Arial"/>
          <w:sz w:val="18"/>
          <w:szCs w:val="18"/>
          <w:color w:val="auto"/>
        </w:rPr>
      </w:pPr>
    </w:p>
    <w:p>
      <w:pPr>
        <w:jc w:val="both"/>
        <w:ind w:firstLine="1952"/>
        <w:spacing w:after="0" w:line="311" w:lineRule="auto"/>
        <w:tabs>
          <w:tab w:leader="none" w:pos="2248" w:val="left"/>
        </w:tabs>
        <w:numPr>
          <w:ilvl w:val="2"/>
          <w:numId w:val="37"/>
        </w:numPr>
        <w:rPr>
          <w:rFonts w:ascii="Arial" w:cs="Arial" w:eastAsia="Arial" w:hAnsi="Arial"/>
          <w:sz w:val="16"/>
          <w:szCs w:val="16"/>
          <w:color w:val="010000"/>
        </w:rPr>
      </w:pPr>
      <w:r>
        <w:rPr>
          <w:rFonts w:ascii="Arial" w:cs="Arial" w:eastAsia="Arial" w:hAnsi="Arial"/>
          <w:sz w:val="16"/>
          <w:szCs w:val="16"/>
          <w:color w:val="auto"/>
        </w:rPr>
        <w:t>any Lender that is a U.S. Person shall deliver to the Borrower and the Administrative Agent on or about the date on which such Lender becomes a Lender under this Agreement (and from time to time thereafter upon the reasonable request of the Borrower or the Administrative Agent), executed copies of IRS Form W-9 (or successor form) certifying that such Lender is exempt from U.S. federal backup withholding tax;</w:t>
      </w:r>
    </w:p>
    <w:p>
      <w:pPr>
        <w:spacing w:after="0" w:line="148" w:lineRule="exact"/>
        <w:rPr>
          <w:rFonts w:ascii="Arial" w:cs="Arial" w:eastAsia="Arial" w:hAnsi="Arial"/>
          <w:sz w:val="16"/>
          <w:szCs w:val="16"/>
          <w:color w:val="010000"/>
        </w:rPr>
      </w:pPr>
    </w:p>
    <w:p>
      <w:pPr>
        <w:jc w:val="both"/>
        <w:ind w:firstLine="1952"/>
        <w:spacing w:after="0" w:line="259" w:lineRule="auto"/>
        <w:tabs>
          <w:tab w:leader="none" w:pos="2240" w:val="left"/>
        </w:tabs>
        <w:numPr>
          <w:ilvl w:val="2"/>
          <w:numId w:val="37"/>
        </w:numPr>
        <w:rPr>
          <w:rFonts w:ascii="Arial" w:cs="Arial" w:eastAsia="Arial" w:hAnsi="Arial"/>
          <w:sz w:val="18"/>
          <w:szCs w:val="18"/>
          <w:color w:val="010000"/>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whichever of the following is applicable:</w:t>
      </w:r>
    </w:p>
    <w:p>
      <w:pPr>
        <w:spacing w:after="0" w:line="186" w:lineRule="exact"/>
        <w:rPr>
          <w:rFonts w:ascii="Arial" w:cs="Arial" w:eastAsia="Arial" w:hAnsi="Arial"/>
          <w:sz w:val="18"/>
          <w:szCs w:val="18"/>
          <w:color w:val="010000"/>
        </w:rPr>
      </w:pPr>
    </w:p>
    <w:p>
      <w:pPr>
        <w:ind w:left="2860" w:hanging="260"/>
        <w:spacing w:after="0"/>
        <w:tabs>
          <w:tab w:leader="none" w:pos="2860" w:val="left"/>
        </w:tabs>
        <w:numPr>
          <w:ilvl w:val="3"/>
          <w:numId w:val="37"/>
        </w:numPr>
        <w:rPr>
          <w:rFonts w:ascii="Arial" w:cs="Arial" w:eastAsia="Arial" w:hAnsi="Arial"/>
          <w:sz w:val="16"/>
          <w:szCs w:val="16"/>
          <w:color w:val="010000"/>
        </w:rPr>
      </w:pPr>
      <w:r>
        <w:rPr>
          <w:rFonts w:ascii="Arial" w:cs="Arial" w:eastAsia="Arial" w:hAnsi="Arial"/>
          <w:sz w:val="16"/>
          <w:szCs w:val="16"/>
          <w:color w:val="auto"/>
        </w:rPr>
        <w:t>in the case of a Foreign Lender claiming the benefits of an income tax treaty to which the United States is a party</w:t>
      </w:r>
    </w:p>
    <w:p>
      <w:pPr>
        <w:spacing w:after="0" w:line="46" w:lineRule="exact"/>
        <w:rPr>
          <w:rFonts w:ascii="Arial" w:cs="Arial" w:eastAsia="Arial" w:hAnsi="Arial"/>
          <w:sz w:val="16"/>
          <w:szCs w:val="16"/>
          <w:color w:val="010000"/>
        </w:rPr>
      </w:pPr>
    </w:p>
    <w:p>
      <w:pPr>
        <w:jc w:val="both"/>
        <w:ind w:firstLine="8"/>
        <w:spacing w:after="0" w:line="295" w:lineRule="auto"/>
        <w:tabs>
          <w:tab w:leader="none" w:pos="275"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with respect to payments of interest under any Loan Document, executed copies of IRS Form W-8BEN or IRS Form W-8BEN-E as applicable (or successor forms) establishing an exemption from, or reduction of, U.S. federal withholding Tax pursuant to the “interest” article of such tax treaty and (y) with respect to any other applicable payments under any Loan Document, IRS Form W-8BEN or IRS Form W-8BEN-E as applicable (or successor forms) establishing an exemption from, or reduction of, U.S. federal withholding Tax pursuant to the “business profits” or “other income” article of such tax treaty;</w:t>
      </w:r>
    </w:p>
    <w:p>
      <w:pPr>
        <w:spacing w:after="0" w:line="161" w:lineRule="exact"/>
        <w:rPr>
          <w:rFonts w:ascii="Arial" w:cs="Arial" w:eastAsia="Arial" w:hAnsi="Arial"/>
          <w:sz w:val="16"/>
          <w:szCs w:val="16"/>
          <w:color w:val="auto"/>
        </w:rPr>
      </w:pPr>
    </w:p>
    <w:p>
      <w:pPr>
        <w:ind w:left="2860" w:hanging="260"/>
        <w:spacing w:after="0"/>
        <w:tabs>
          <w:tab w:leader="none" w:pos="2860" w:val="left"/>
        </w:tabs>
        <w:numPr>
          <w:ilvl w:val="3"/>
          <w:numId w:val="38"/>
        </w:numPr>
        <w:rPr>
          <w:rFonts w:ascii="Arial" w:cs="Arial" w:eastAsia="Arial" w:hAnsi="Arial"/>
          <w:sz w:val="18"/>
          <w:szCs w:val="18"/>
          <w:color w:val="010000"/>
        </w:rPr>
      </w:pPr>
      <w:r>
        <w:rPr>
          <w:rFonts w:ascii="Arial" w:cs="Arial" w:eastAsia="Arial" w:hAnsi="Arial"/>
          <w:sz w:val="18"/>
          <w:szCs w:val="18"/>
          <w:color w:val="auto"/>
        </w:rPr>
        <w:t>executed copies of IRS Form W-8ECI (or successor form);</w:t>
      </w:r>
    </w:p>
    <w:p>
      <w:pPr>
        <w:spacing w:after="0" w:line="225" w:lineRule="exact"/>
        <w:rPr>
          <w:rFonts w:ascii="Arial" w:cs="Arial" w:eastAsia="Arial" w:hAnsi="Arial"/>
          <w:sz w:val="18"/>
          <w:szCs w:val="18"/>
          <w:color w:val="010000"/>
        </w:rPr>
      </w:pPr>
    </w:p>
    <w:p>
      <w:pPr>
        <w:jc w:val="both"/>
        <w:ind w:firstLine="2600"/>
        <w:spacing w:after="0" w:line="257" w:lineRule="auto"/>
        <w:tabs>
          <w:tab w:leader="none" w:pos="2851" w:val="left"/>
        </w:tabs>
        <w:numPr>
          <w:ilvl w:val="3"/>
          <w:numId w:val="38"/>
        </w:numPr>
        <w:rPr>
          <w:rFonts w:ascii="Arial" w:cs="Arial" w:eastAsia="Arial" w:hAnsi="Arial"/>
          <w:sz w:val="18"/>
          <w:szCs w:val="18"/>
          <w:color w:val="010000"/>
        </w:rPr>
      </w:pPr>
      <w:r>
        <w:rPr>
          <w:rFonts w:ascii="Arial" w:cs="Arial" w:eastAsia="Arial" w:hAnsi="Arial"/>
          <w:sz w:val="18"/>
          <w:szCs w:val="18"/>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8"/>
          <w:szCs w:val="18"/>
          <w:b w:val="1"/>
          <w:bCs w:val="1"/>
          <w:color w:val="auto"/>
        </w:rPr>
        <w:t>Exhibit J-1</w:t>
      </w:r>
      <w:r>
        <w:rPr>
          <w:rFonts w:ascii="Arial" w:cs="Arial" w:eastAsia="Arial" w:hAnsi="Arial"/>
          <w:sz w:val="18"/>
          <w:szCs w:val="18"/>
          <w:color w:val="auto"/>
        </w:rPr>
        <w:t xml:space="preserve">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Arial" w:cs="Arial" w:eastAsia="Arial" w:hAnsi="Arial"/>
          <w:sz w:val="18"/>
          <w:szCs w:val="18"/>
          <w:b w:val="1"/>
          <w:bCs w:val="1"/>
          <w:i w:val="1"/>
          <w:iCs w:val="1"/>
          <w:color w:val="auto"/>
        </w:rPr>
        <w:t>U.S. Tax Compliance Certificate</w:t>
      </w:r>
      <w:r>
        <w:rPr>
          <w:rFonts w:ascii="Arial" w:cs="Arial" w:eastAsia="Arial" w:hAnsi="Arial"/>
          <w:sz w:val="18"/>
          <w:szCs w:val="18"/>
          <w:color w:val="auto"/>
        </w:rPr>
        <w:t>”) and (y) executed copies of IRS Form W-8BEN or IRS Form W-8BEN-E as applicable (or successor forms);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8" w:name="page119"/>
    <w:bookmarkEnd w:id="118"/>
    <w:p>
      <w:pPr>
        <w:jc w:val="both"/>
        <w:ind w:firstLine="2600"/>
        <w:spacing w:after="0" w:line="296" w:lineRule="auto"/>
        <w:tabs>
          <w:tab w:leader="none" w:pos="2854" w:val="left"/>
        </w:tabs>
        <w:numPr>
          <w:ilvl w:val="1"/>
          <w:numId w:val="39"/>
        </w:numPr>
        <w:rPr>
          <w:rFonts w:ascii="Arial" w:cs="Arial" w:eastAsia="Arial" w:hAnsi="Arial"/>
          <w:sz w:val="16"/>
          <w:szCs w:val="16"/>
          <w:color w:val="010000"/>
        </w:rPr>
      </w:pPr>
      <w:r>
        <w:rPr>
          <w:rFonts w:ascii="Arial" w:cs="Arial" w:eastAsia="Arial" w:hAnsi="Arial"/>
          <w:sz w:val="16"/>
          <w:szCs w:val="16"/>
          <w:color w:val="auto"/>
        </w:rPr>
        <w:t xml:space="preserve">to the extent a Foreign Lender is not the beneficial owner, executed copies of IRS Form W-8IMY, accompanied by IRS Form W-8ECI, IRS Form W-8BEN or IRS Form W-8BEN-E (or successor form), a U.S. Tax Compliance Certificate, substantially in the form of </w:t>
      </w:r>
      <w:r>
        <w:rPr>
          <w:rFonts w:ascii="Arial" w:cs="Arial" w:eastAsia="Arial" w:hAnsi="Arial"/>
          <w:sz w:val="16"/>
          <w:szCs w:val="16"/>
          <w:b w:val="1"/>
          <w:bCs w:val="1"/>
          <w:color w:val="auto"/>
        </w:rPr>
        <w:t xml:space="preserve">Exhibit J-2 </w:t>
      </w:r>
      <w:r>
        <w:rPr>
          <w:rFonts w:ascii="Arial" w:cs="Arial" w:eastAsia="Arial" w:hAnsi="Arial"/>
          <w:sz w:val="16"/>
          <w:szCs w:val="16"/>
          <w:color w:val="auto"/>
        </w:rPr>
        <w:t>or</w:t>
      </w:r>
      <w:r>
        <w:rPr>
          <w:rFonts w:ascii="Arial" w:cs="Arial" w:eastAsia="Arial" w:hAnsi="Arial"/>
          <w:sz w:val="16"/>
          <w:szCs w:val="16"/>
          <w:b w:val="1"/>
          <w:bCs w:val="1"/>
          <w:color w:val="auto"/>
        </w:rPr>
        <w:t xml:space="preserve"> J-3</w:t>
      </w:r>
      <w:r>
        <w:rPr>
          <w:rFonts w:ascii="Arial" w:cs="Arial" w:eastAsia="Arial" w:hAnsi="Arial"/>
          <w:sz w:val="16"/>
          <w:szCs w:val="16"/>
          <w:color w:val="auto"/>
        </w:rPr>
        <w:t>, IRS Form W-9 (or successor forms), and/or other certification documents from each beneficial owner, as applicable;</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if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6"/>
          <w:szCs w:val="16"/>
          <w:b w:val="1"/>
          <w:bCs w:val="1"/>
          <w:color w:val="auto"/>
        </w:rPr>
        <w:t>Exhibit J-4</w:t>
      </w:r>
      <w:r>
        <w:rPr>
          <w:rFonts w:ascii="Arial" w:cs="Arial" w:eastAsia="Arial" w:hAnsi="Arial"/>
          <w:sz w:val="16"/>
          <w:szCs w:val="16"/>
          <w:color w:val="auto"/>
        </w:rPr>
        <w:t xml:space="preserve"> on behalf of each such direct and indirect partner.</w:t>
      </w:r>
    </w:p>
    <w:p>
      <w:pPr>
        <w:spacing w:after="0" w:line="161" w:lineRule="exact"/>
        <w:rPr>
          <w:rFonts w:ascii="Arial" w:cs="Arial" w:eastAsia="Arial" w:hAnsi="Arial"/>
          <w:sz w:val="16"/>
          <w:szCs w:val="16"/>
          <w:color w:val="010000"/>
        </w:rPr>
      </w:pPr>
    </w:p>
    <w:p>
      <w:pPr>
        <w:jc w:val="both"/>
        <w:ind w:firstLine="1952"/>
        <w:spacing w:after="0" w:line="255" w:lineRule="auto"/>
        <w:tabs>
          <w:tab w:leader="none" w:pos="2240" w:val="left"/>
        </w:tabs>
        <w:numPr>
          <w:ilvl w:val="0"/>
          <w:numId w:val="40"/>
        </w:numPr>
        <w:rPr>
          <w:rFonts w:ascii="Arial" w:cs="Arial" w:eastAsia="Arial" w:hAnsi="Arial"/>
          <w:sz w:val="18"/>
          <w:szCs w:val="18"/>
          <w:color w:val="010000"/>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executed copies of any other form prescribed by applicable Laws as a basis for claiming exemption from or a reduction in U.S. federal withholding Tax, duly completed, together with such supplementary documentation as may be prescribed by applicable Laws to permit the Borrower or the Administrative Agent to determine the withholding or deduction required to be made; and</w:t>
      </w:r>
    </w:p>
    <w:p>
      <w:pPr>
        <w:spacing w:after="0" w:line="192" w:lineRule="exact"/>
        <w:rPr>
          <w:rFonts w:ascii="Arial" w:cs="Arial" w:eastAsia="Arial" w:hAnsi="Arial"/>
          <w:sz w:val="18"/>
          <w:szCs w:val="18"/>
          <w:color w:val="010000"/>
        </w:rPr>
      </w:pPr>
    </w:p>
    <w:p>
      <w:pPr>
        <w:jc w:val="both"/>
        <w:ind w:firstLine="1952"/>
        <w:spacing w:after="0" w:line="271" w:lineRule="auto"/>
        <w:tabs>
          <w:tab w:leader="none" w:pos="2256" w:val="left"/>
        </w:tabs>
        <w:numPr>
          <w:ilvl w:val="0"/>
          <w:numId w:val="40"/>
        </w:numPr>
        <w:rPr>
          <w:rFonts w:ascii="Arial" w:cs="Arial" w:eastAsia="Arial" w:hAnsi="Arial"/>
          <w:sz w:val="17"/>
          <w:szCs w:val="17"/>
          <w:color w:val="010000"/>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178" w:lineRule="exact"/>
        <w:rPr>
          <w:sz w:val="20"/>
          <w:szCs w:val="20"/>
          <w:color w:val="auto"/>
        </w:rPr>
      </w:pPr>
    </w:p>
    <w:p>
      <w:pPr>
        <w:ind w:firstLine="1296"/>
        <w:spacing w:after="0" w:line="308" w:lineRule="auto"/>
        <w:rPr>
          <w:sz w:val="20"/>
          <w:szCs w:val="20"/>
          <w:color w:val="auto"/>
        </w:rPr>
      </w:pPr>
      <w:r>
        <w:rPr>
          <w:rFonts w:ascii="Arial" w:cs="Arial" w:eastAsia="Arial" w:hAnsi="Arial"/>
          <w:sz w:val="17"/>
          <w:szCs w:val="17"/>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9" w:name="page120"/>
    <w:bookmarkEnd w:id="119"/>
    <w:p>
      <w:pPr>
        <w:jc w:val="both"/>
        <w:spacing w:after="0" w:line="269" w:lineRule="auto"/>
        <w:rPr>
          <w:sz w:val="20"/>
          <w:szCs w:val="20"/>
          <w:color w:val="auto"/>
        </w:rPr>
      </w:pPr>
      <w:r>
        <w:rPr>
          <w:rFonts w:ascii="Arial" w:cs="Arial" w:eastAsia="Arial" w:hAnsi="Arial"/>
          <w:sz w:val="17"/>
          <w:szCs w:val="17"/>
          <w:b w:val="1"/>
          <w:bCs w:val="1"/>
          <w:color w:val="auto"/>
        </w:rPr>
        <w:t>SECTION 86. Treatment of Certain Tax Benefits</w:t>
      </w:r>
      <w:r>
        <w:rPr>
          <w:rFonts w:ascii="Arial" w:cs="Arial" w:eastAsia="Arial" w:hAnsi="Arial"/>
          <w:sz w:val="17"/>
          <w:szCs w:val="17"/>
          <w:color w:val="auto"/>
        </w:rPr>
        <w:t>. If any party to this Agreement determines, in its sole discretion exercised in good faith, that it has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received a refund of any Taxes as to which it has been indemnified pursuant to this </w:t>
      </w:r>
      <w:r>
        <w:rPr>
          <w:rFonts w:ascii="Arial" w:cs="Arial" w:eastAsia="Arial" w:hAnsi="Arial"/>
          <w:sz w:val="17"/>
          <w:szCs w:val="17"/>
          <w:b w:val="1"/>
          <w:bCs w:val="1"/>
          <w:color w:val="auto"/>
        </w:rPr>
        <w:t>Section 5</w:t>
      </w:r>
      <w:r>
        <w:rPr>
          <w:rFonts w:ascii="Arial" w:cs="Arial" w:eastAsia="Arial" w:hAnsi="Arial"/>
          <w:sz w:val="17"/>
          <w:szCs w:val="17"/>
          <w:color w:val="auto"/>
        </w:rPr>
        <w:t xml:space="preserve"> (including by the payment of additional amounts pursuant to this </w:t>
      </w:r>
      <w:r>
        <w:rPr>
          <w:rFonts w:ascii="Arial" w:cs="Arial" w:eastAsia="Arial" w:hAnsi="Arial"/>
          <w:sz w:val="17"/>
          <w:szCs w:val="17"/>
          <w:b w:val="1"/>
          <w:bCs w:val="1"/>
          <w:color w:val="auto"/>
        </w:rPr>
        <w:t>Section 5</w:t>
      </w:r>
      <w:r>
        <w:rPr>
          <w:rFonts w:ascii="Arial" w:cs="Arial" w:eastAsia="Arial" w:hAnsi="Arial"/>
          <w:sz w:val="17"/>
          <w:szCs w:val="17"/>
          <w:color w:val="auto"/>
        </w:rPr>
        <w:t xml:space="preserve">), it shall pay to the indemnifying party an amount equal to such refund (but only to the extent of indemnity payments made under this </w:t>
      </w:r>
      <w:r>
        <w:rPr>
          <w:rFonts w:ascii="Arial" w:cs="Arial" w:eastAsia="Arial" w:hAnsi="Arial"/>
          <w:sz w:val="17"/>
          <w:szCs w:val="17"/>
          <w:b w:val="1"/>
          <w:bCs w:val="1"/>
          <w:color w:val="auto"/>
        </w:rPr>
        <w:t xml:space="preserve">Section 5 </w:t>
      </w:r>
      <w:r>
        <w:rPr>
          <w:rFonts w:ascii="Arial" w:cs="Arial" w:eastAsia="Arial" w:hAnsi="Arial"/>
          <w:sz w:val="17"/>
          <w:szCs w:val="17"/>
          <w:color w:val="auto"/>
        </w:rPr>
        <w:t>with respect to the Taxes giving rise to such refund), net of all out-of-pocket expenses (including Taxes) of such indemnified party and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interest (other than any interest paid by the relevant Governmental Authority with respect to such refund). Such indemnifying party, upon the request of such indemnified party, shall repay to such indemnified party the amount paid over pursuant to this </w:t>
      </w:r>
      <w:r>
        <w:rPr>
          <w:rFonts w:ascii="Arial" w:cs="Arial" w:eastAsia="Arial" w:hAnsi="Arial"/>
          <w:sz w:val="17"/>
          <w:szCs w:val="17"/>
          <w:b w:val="1"/>
          <w:bCs w:val="1"/>
          <w:color w:val="auto"/>
        </w:rPr>
        <w:t>Section 5.03(g)</w:t>
      </w:r>
      <w:r>
        <w:rPr>
          <w:rFonts w:ascii="Arial" w:cs="Arial" w:eastAsia="Arial" w:hAnsi="Arial"/>
          <w:sz w:val="17"/>
          <w:szCs w:val="17"/>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7"/>
          <w:szCs w:val="17"/>
          <w:b w:val="1"/>
          <w:bCs w:val="1"/>
          <w:color w:val="auto"/>
        </w:rPr>
        <w:t>Section 5.03(g)</w:t>
      </w:r>
      <w:r>
        <w:rPr>
          <w:rFonts w:ascii="Arial" w:cs="Arial" w:eastAsia="Arial" w:hAnsi="Arial"/>
          <w:sz w:val="17"/>
          <w:szCs w:val="17"/>
          <w:color w:val="auto"/>
        </w:rPr>
        <w:t xml:space="preserve">, in no event will the indemnified party be required to pay any amount to an indemnifying party pursuant to this </w:t>
      </w:r>
      <w:r>
        <w:rPr>
          <w:rFonts w:ascii="Arial" w:cs="Arial" w:eastAsia="Arial" w:hAnsi="Arial"/>
          <w:sz w:val="17"/>
          <w:szCs w:val="17"/>
          <w:b w:val="1"/>
          <w:bCs w:val="1"/>
          <w:color w:val="auto"/>
        </w:rPr>
        <w:t>Section 5.03(g)</w:t>
      </w:r>
      <w:r>
        <w:rPr>
          <w:rFonts w:ascii="Arial" w:cs="Arial" w:eastAsia="Arial" w:hAnsi="Arial"/>
          <w:sz w:val="17"/>
          <w:szCs w:val="17"/>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7"/>
          <w:szCs w:val="17"/>
          <w:b w:val="1"/>
          <w:bCs w:val="1"/>
          <w:color w:val="auto"/>
        </w:rPr>
        <w:t>Section 5.03(g)</w:t>
      </w:r>
      <w:r>
        <w:rPr>
          <w:rFonts w:ascii="Arial" w:cs="Arial" w:eastAsia="Arial" w:hAnsi="Arial"/>
          <w:sz w:val="17"/>
          <w:szCs w:val="17"/>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87. Mitigation Obligations; Replacement of Lenders</w:t>
      </w:r>
      <w:r>
        <w:rPr>
          <w:rFonts w:ascii="Arial" w:cs="Arial" w:eastAsia="Arial" w:hAnsi="Arial"/>
          <w:sz w:val="18"/>
          <w:szCs w:val="18"/>
          <w:color w:val="auto"/>
        </w:rPr>
        <w:t>.</w:t>
      </w:r>
    </w:p>
    <w:p>
      <w:pPr>
        <w:spacing w:after="0" w:line="2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SECTION 88. </w:t>
      </w:r>
      <w:r>
        <w:rPr>
          <w:rFonts w:ascii="Arial" w:cs="Arial" w:eastAsia="Arial" w:hAnsi="Arial"/>
          <w:sz w:val="16"/>
          <w:szCs w:val="16"/>
          <w:color w:val="auto"/>
        </w:rPr>
        <w:t>If the Borrower is required to pay any Indemnified Taxes or additional amounts to any Lender or to any Governmental Authority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account of any Lender pursuant to </w:t>
      </w:r>
      <w:r>
        <w:rPr>
          <w:rFonts w:ascii="Arial" w:cs="Arial" w:eastAsia="Arial" w:hAnsi="Arial"/>
          <w:sz w:val="16"/>
          <w:szCs w:val="16"/>
          <w:b w:val="1"/>
          <w:bCs w:val="1"/>
          <w:color w:val="auto"/>
        </w:rPr>
        <w:t>Section 5.01</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5.03</w:t>
      </w:r>
      <w:r>
        <w:rPr>
          <w:rFonts w:ascii="Arial" w:cs="Arial" w:eastAsia="Arial" w:hAnsi="Arial"/>
          <w:sz w:val="16"/>
          <w:szCs w:val="16"/>
          <w:color w:val="auto"/>
        </w:rPr>
        <w:t xml:space="preserve">, then such Lender shall (at the request of the Borrower) use commercially reasonable efforts to designate a different lending office for funding or booking its Loans hereunder or to assign and delegate its rights and obligations hereunder to another of its offices, branches or Affiliates if, in the sole reasonable judgment of such Lender, such designation or assignment and delegation would (i) eliminate or reduce amounts payable pursuant to </w:t>
      </w:r>
      <w:r>
        <w:rPr>
          <w:rFonts w:ascii="Arial" w:cs="Arial" w:eastAsia="Arial" w:hAnsi="Arial"/>
          <w:sz w:val="16"/>
          <w:szCs w:val="16"/>
          <w:b w:val="1"/>
          <w:bCs w:val="1"/>
          <w:color w:val="auto"/>
        </w:rPr>
        <w:t>Section 5.01</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5.03</w:t>
      </w:r>
      <w:r>
        <w:rPr>
          <w:rFonts w:ascii="Arial" w:cs="Arial" w:eastAsia="Arial" w:hAnsi="Arial"/>
          <w:sz w:val="16"/>
          <w:szCs w:val="16"/>
          <w:color w:val="auto"/>
        </w:rPr>
        <w:t>, as the case may be, in the future, (ii) not subject such Lender to any unreimbursed cost or expense and (iii) not otherwise be disadvantageous to such Lender. The Borrower hereby agrees to pay all reasonable costs and expenses incurred by any Lender in connection with any such designation or assignment and delegation.</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SECTION 89. </w:t>
      </w:r>
      <w:r>
        <w:rPr>
          <w:rFonts w:ascii="Arial" w:cs="Arial" w:eastAsia="Arial" w:hAnsi="Arial"/>
          <w:sz w:val="17"/>
          <w:szCs w:val="17"/>
          <w:color w:val="auto"/>
        </w:rPr>
        <w:t>If any Lender requests compensation pursuant to</w:t>
      </w:r>
      <w:r>
        <w:rPr>
          <w:rFonts w:ascii="Arial" w:cs="Arial" w:eastAsia="Arial" w:hAnsi="Arial"/>
          <w:sz w:val="17"/>
          <w:szCs w:val="17"/>
          <w:b w:val="1"/>
          <w:bCs w:val="1"/>
          <w:color w:val="auto"/>
        </w:rPr>
        <w:t xml:space="preserve"> Section 5.01</w:t>
      </w:r>
      <w:r>
        <w:rPr>
          <w:rFonts w:ascii="Arial" w:cs="Arial" w:eastAsia="Arial" w:hAnsi="Arial"/>
          <w:sz w:val="17"/>
          <w:szCs w:val="17"/>
          <w:color w:val="auto"/>
        </w:rPr>
        <w:t>, or if the Borrower is required to pay any Indemnified Taxes or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amounts to any Lender or to any Governmental Authority for the account of any Lender pursuant to </w:t>
      </w:r>
      <w:r>
        <w:rPr>
          <w:rFonts w:ascii="Arial" w:cs="Arial" w:eastAsia="Arial" w:hAnsi="Arial"/>
          <w:sz w:val="17"/>
          <w:szCs w:val="17"/>
          <w:b w:val="1"/>
          <w:bCs w:val="1"/>
          <w:color w:val="auto"/>
        </w:rPr>
        <w:t>Section 5.01</w:t>
      </w:r>
      <w:r>
        <w:rPr>
          <w:rFonts w:ascii="Arial" w:cs="Arial" w:eastAsia="Arial" w:hAnsi="Arial"/>
          <w:sz w:val="17"/>
          <w:szCs w:val="17"/>
          <w:color w:val="auto"/>
        </w:rPr>
        <w:t xml:space="preserve"> or </w:t>
      </w:r>
      <w:r>
        <w:rPr>
          <w:rFonts w:ascii="Arial" w:cs="Arial" w:eastAsia="Arial" w:hAnsi="Arial"/>
          <w:sz w:val="17"/>
          <w:szCs w:val="17"/>
          <w:b w:val="1"/>
          <w:bCs w:val="1"/>
          <w:color w:val="auto"/>
        </w:rPr>
        <w:t>Section 5.03</w:t>
      </w:r>
      <w:r>
        <w:rPr>
          <w:rFonts w:ascii="Arial" w:cs="Arial" w:eastAsia="Arial" w:hAnsi="Arial"/>
          <w:sz w:val="17"/>
          <w:szCs w:val="17"/>
          <w:color w:val="auto"/>
        </w:rPr>
        <w:t xml:space="preserve">, and such Lender has declined or is unable to designate a different lending office in accordance with </w:t>
      </w:r>
      <w:r>
        <w:rPr>
          <w:rFonts w:ascii="Arial" w:cs="Arial" w:eastAsia="Arial" w:hAnsi="Arial"/>
          <w:sz w:val="17"/>
          <w:szCs w:val="17"/>
          <w:b w:val="1"/>
          <w:bCs w:val="1"/>
          <w:color w:val="auto"/>
        </w:rPr>
        <w:t>Section 5.04(a)</w:t>
      </w:r>
      <w:r>
        <w:rPr>
          <w:rFonts w:ascii="Arial" w:cs="Arial" w:eastAsia="Arial" w:hAnsi="Arial"/>
          <w:sz w:val="17"/>
          <w:szCs w:val="17"/>
          <w:color w:val="auto"/>
        </w:rPr>
        <w:t xml:space="preserve">, or if any Lender is a Defaulting Lender, then the Borrower may, at such Lender’s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7"/>
          <w:szCs w:val="17"/>
          <w:b w:val="1"/>
          <w:bCs w:val="1"/>
          <w:color w:val="auto"/>
        </w:rPr>
        <w:t>Section 14.05(b)</w:t>
      </w:r>
      <w:r>
        <w:rPr>
          <w:rFonts w:ascii="Arial" w:cs="Arial" w:eastAsia="Arial" w:hAnsi="Arial"/>
          <w:sz w:val="17"/>
          <w:szCs w:val="17"/>
          <w:color w:val="auto"/>
        </w:rPr>
        <w:t xml:space="preserve"> (other than such Lender’s consent)), all of its interests, rights (other than its existing rights to payments pursuant to </w:t>
      </w:r>
      <w:r>
        <w:rPr>
          <w:rFonts w:ascii="Arial" w:cs="Arial" w:eastAsia="Arial" w:hAnsi="Arial"/>
          <w:sz w:val="17"/>
          <w:szCs w:val="17"/>
          <w:b w:val="1"/>
          <w:bCs w:val="1"/>
          <w:color w:val="auto"/>
        </w:rPr>
        <w:t>Section 5.01</w:t>
      </w:r>
      <w:r>
        <w:rPr>
          <w:rFonts w:ascii="Arial" w:cs="Arial" w:eastAsia="Arial" w:hAnsi="Arial"/>
          <w:sz w:val="17"/>
          <w:szCs w:val="17"/>
          <w:color w:val="auto"/>
        </w:rPr>
        <w:t xml:space="preserve"> or </w:t>
      </w:r>
      <w:r>
        <w:rPr>
          <w:rFonts w:ascii="Arial" w:cs="Arial" w:eastAsia="Arial" w:hAnsi="Arial"/>
          <w:sz w:val="17"/>
          <w:szCs w:val="17"/>
          <w:b w:val="1"/>
          <w:bCs w:val="1"/>
          <w:color w:val="auto"/>
        </w:rPr>
        <w:t>Section 5.03</w:t>
      </w:r>
      <w:r>
        <w:rPr>
          <w:rFonts w:ascii="Arial" w:cs="Arial" w:eastAsia="Arial" w:hAnsi="Arial"/>
          <w:sz w:val="17"/>
          <w:szCs w:val="17"/>
          <w:color w:val="auto"/>
        </w:rPr>
        <w:t xml:space="preserve">) and obligations under this Agreement and the related Loan Documents to an Eligible Transferee that shall assume such obligations (which assignee may be another Lender, if a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Borrower shall have provided all of the documentation and information in accordance with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14.05(b)</w:t>
      </w:r>
      <w:r>
        <w:rPr>
          <w:rFonts w:ascii="Arial" w:cs="Arial" w:eastAsia="Arial" w:hAnsi="Arial"/>
          <w:sz w:val="17"/>
          <w:szCs w:val="17"/>
          <w:color w:val="auto"/>
        </w:rPr>
        <w:t>; (ii) such Lender shall have received payment of an amount equal to (A) the outstanding principal of its Loans, (B) accrued interest thereon, (C)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accrued fees and (D) all other amounts payable to it hereunder and under the other Loan Documents from the assignee (to the extent of such outstanding principal and accrued interest and fees) or the Borrower (in the case of all other amounts); (iii) in the case of any such assignment resulting from a claim for compensation under </w:t>
      </w:r>
      <w:r>
        <w:rPr>
          <w:rFonts w:ascii="Arial" w:cs="Arial" w:eastAsia="Arial" w:hAnsi="Arial"/>
          <w:sz w:val="17"/>
          <w:szCs w:val="17"/>
          <w:b w:val="1"/>
          <w:bCs w:val="1"/>
          <w:color w:val="auto"/>
        </w:rPr>
        <w:t>Section 5.01</w:t>
      </w:r>
      <w:r>
        <w:rPr>
          <w:rFonts w:ascii="Arial" w:cs="Arial" w:eastAsia="Arial" w:hAnsi="Arial"/>
          <w:sz w:val="17"/>
          <w:szCs w:val="17"/>
          <w:color w:val="auto"/>
        </w:rPr>
        <w:t xml:space="preserve"> or payments required to be made pursuant to </w:t>
      </w:r>
      <w:r>
        <w:rPr>
          <w:rFonts w:ascii="Arial" w:cs="Arial" w:eastAsia="Arial" w:hAnsi="Arial"/>
          <w:sz w:val="17"/>
          <w:szCs w:val="17"/>
          <w:b w:val="1"/>
          <w:bCs w:val="1"/>
          <w:color w:val="auto"/>
        </w:rPr>
        <w:t>Section 5.03</w:t>
      </w:r>
      <w:r>
        <w:rPr>
          <w:rFonts w:ascii="Arial" w:cs="Arial" w:eastAsia="Arial" w:hAnsi="Arial"/>
          <w:sz w:val="17"/>
          <w:szCs w:val="17"/>
          <w:color w:val="auto"/>
        </w:rPr>
        <w:t>, such assignment will result in a reduction in such compensation or payments thereafter; and (iv) such assignment does not conflict with applicable Law. A Lender shall not be required to make any such assignment or delegation if, prior thereto, as a result of a waiver by such Lender or otherwise, the circumstances entitling the Borrower to require such assignment and delegation cease to apply.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i w:val="1"/>
          <w:iCs w:val="1"/>
          <w:color w:val="auto"/>
        </w:rPr>
        <w:t>SECTION 90. Inability to Determine Rates</w:t>
      </w:r>
      <w:r>
        <w:rPr>
          <w:rFonts w:ascii="Arial" w:cs="Arial" w:eastAsia="Arial" w:hAnsi="Arial"/>
          <w:sz w:val="18"/>
          <w:szCs w:val="18"/>
          <w:color w:val="auto"/>
        </w:rPr>
        <w:t>.</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91. Replacement of Term SOFR or Successor Rate</w:t>
      </w:r>
      <w:r>
        <w:rPr>
          <w:rFonts w:ascii="Arial" w:cs="Arial" w:eastAsia="Arial" w:hAnsi="Arial"/>
          <w:sz w:val="18"/>
          <w:szCs w:val="18"/>
          <w:color w:val="auto"/>
        </w:rPr>
        <w:t>. Notwithstanding anything to the contrary in this Agreement or any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if the Administrative Agent determines (which determination shall be conclusive absent manifest error), or the Borrower or Majority Lenders notify the Administrative Agent (with, in the case of the Majority Lenders, a copy to the Borrower) that the Borrower or Majority Lenders (as applicable) have determined, that:</w:t>
      </w:r>
    </w:p>
    <w:p>
      <w:pPr>
        <w:spacing w:after="0" w:line="18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SECTION 92. adequate and reasonable means do not exist for ascertaining Term SOFR pursuant to the definition thereof, including because the Term SOFR Screen Rate is not available or published on a current basis and such circumstances are unlikely to be temporary; or</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SECTION 93.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three month interest periods of Term SOFR or the Term SOFR Screen Rate shall or will no longer be representative or made available, or permitted to be used for determining the interest rate of U.S. dollar denominated syndicated loans or shall or will otherwise cease, </w:t>
      </w:r>
      <w:r>
        <w:rPr>
          <w:rFonts w:ascii="Arial" w:cs="Arial" w:eastAsia="Arial" w:hAnsi="Arial"/>
          <w:sz w:val="17"/>
          <w:szCs w:val="17"/>
          <w:b w:val="1"/>
          <w:bCs w:val="1"/>
          <w:u w:val="single" w:color="auto"/>
          <w:color w:val="auto"/>
        </w:rPr>
        <w:t>provided</w:t>
      </w:r>
      <w:r>
        <w:rPr>
          <w:rFonts w:ascii="Arial" w:cs="Arial" w:eastAsia="Arial" w:hAnsi="Arial"/>
          <w:sz w:val="17"/>
          <w:szCs w:val="17"/>
          <w:b w:val="1"/>
          <w:bCs w:val="1"/>
          <w:color w:val="auto"/>
        </w:rPr>
        <w:t xml:space="preserve"> that, at the time of such statement, there is no successor administrator that is reasonably satisfactory to the Administrative Agent that will continue to provide such interest periods of Term SOFR after such specific date, (the latest date on which such interest periods of Term SOFR or the Term SOFR Screen Rate are no longer representative or available permanently or indefinitely, the “</w:t>
      </w:r>
      <w:r>
        <w:rPr>
          <w:rFonts w:ascii="Arial" w:cs="Arial" w:eastAsia="Arial" w:hAnsi="Arial"/>
          <w:sz w:val="17"/>
          <w:szCs w:val="17"/>
          <w:b w:val="1"/>
          <w:bCs w:val="1"/>
          <w:i w:val="1"/>
          <w:iCs w:val="1"/>
          <w:color w:val="auto"/>
        </w:rPr>
        <w:t>Scheduled Unavailability Date</w:t>
      </w:r>
      <w:r>
        <w:rPr>
          <w:rFonts w:ascii="Arial" w:cs="Arial" w:eastAsia="Arial" w:hAnsi="Arial"/>
          <w:sz w:val="17"/>
          <w:szCs w:val="17"/>
          <w:b w:val="1"/>
          <w:bCs w:val="1"/>
          <w:color w:val="auto"/>
        </w:rPr>
        <w:t>”); then</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SECTION 94. </w:t>
      </w:r>
      <w:r>
        <w:rPr>
          <w:rFonts w:ascii="Arial" w:cs="Arial" w:eastAsia="Arial" w:hAnsi="Arial"/>
          <w:sz w:val="18"/>
          <w:szCs w:val="18"/>
          <w:color w:val="auto"/>
        </w:rPr>
        <w:t>in the case of events or circumstances of the type described in</w:t>
      </w:r>
      <w:r>
        <w:rPr>
          <w:rFonts w:ascii="Arial" w:cs="Arial" w:eastAsia="Arial" w:hAnsi="Arial"/>
          <w:sz w:val="18"/>
          <w:szCs w:val="18"/>
          <w:b w:val="1"/>
          <w:bCs w:val="1"/>
          <w:color w:val="auto"/>
        </w:rPr>
        <w:t xml:space="preserve"> Section 5.05(a)(i)</w:t>
      </w:r>
      <w:r>
        <w:rPr>
          <w:rFonts w:ascii="Arial" w:cs="Arial" w:eastAsia="Arial" w:hAnsi="Arial"/>
          <w:sz w:val="18"/>
          <w:szCs w:val="18"/>
          <w:color w:val="auto"/>
        </w:rPr>
        <w:t>, or</w:t>
      </w:r>
      <w:r>
        <w:rPr>
          <w:rFonts w:ascii="Arial" w:cs="Arial" w:eastAsia="Arial" w:hAnsi="Arial"/>
          <w:sz w:val="18"/>
          <w:szCs w:val="18"/>
          <w:b w:val="1"/>
          <w:bCs w:val="1"/>
          <w:color w:val="auto"/>
        </w:rPr>
        <w:t xml:space="preserve"> (ii) </w:t>
      </w:r>
      <w:r>
        <w:rPr>
          <w:rFonts w:ascii="Arial" w:cs="Arial" w:eastAsia="Arial" w:hAnsi="Arial"/>
          <w:sz w:val="18"/>
          <w:szCs w:val="18"/>
          <w:color w:val="auto"/>
        </w:rPr>
        <w:t>affecting Term SOFR, on a date and time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Administrative Agent (any such date, the “</w:t>
      </w:r>
      <w:r>
        <w:rPr>
          <w:rFonts w:ascii="Arial" w:cs="Arial" w:eastAsia="Arial" w:hAnsi="Arial"/>
          <w:sz w:val="18"/>
          <w:szCs w:val="18"/>
          <w:b w:val="1"/>
          <w:bCs w:val="1"/>
          <w:i w:val="1"/>
          <w:iCs w:val="1"/>
          <w:color w:val="auto"/>
        </w:rPr>
        <w:t>Term SOFR Replacement Date</w:t>
      </w:r>
      <w:r>
        <w:rPr>
          <w:rFonts w:ascii="Arial" w:cs="Arial" w:eastAsia="Arial" w:hAnsi="Arial"/>
          <w:sz w:val="18"/>
          <w:szCs w:val="18"/>
          <w:color w:val="auto"/>
        </w:rPr>
        <w:t xml:space="preserve">”), which date shall be at the end of an Interest Period or on the relevant interest payment date, as applicable, for interest calculated and, solely with respect to </w:t>
      </w:r>
      <w:r>
        <w:rPr>
          <w:rFonts w:ascii="Arial" w:cs="Arial" w:eastAsia="Arial" w:hAnsi="Arial"/>
          <w:sz w:val="18"/>
          <w:szCs w:val="18"/>
          <w:b w:val="1"/>
          <w:bCs w:val="1"/>
          <w:color w:val="auto"/>
        </w:rPr>
        <w:t>clause (ii)</w:t>
      </w:r>
      <w:r>
        <w:rPr>
          <w:rFonts w:ascii="Arial" w:cs="Arial" w:eastAsia="Arial" w:hAnsi="Arial"/>
          <w:sz w:val="18"/>
          <w:szCs w:val="18"/>
          <w:color w:val="auto"/>
        </w:rPr>
        <w:t xml:space="preserve"> above, no later than the Scheduled Unavailability Date, Term SOFR will be replaced hereunder and under any other Loan Document with Daily Simple SOFR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Credit Spread Adjustment, in each case, without any amendment to, or further action or consent of any other party to, this Agreement or any other Loan Document, and all interest payments on Loans with a Successor Rate of Daily Simple SOFR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Credit Spread Adjustment will be payable on the next Payment Date; 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1" w:name="page122"/>
    <w:bookmarkEnd w:id="121"/>
    <w:p>
      <w:pPr>
        <w:jc w:val="both"/>
        <w:spacing w:after="0" w:line="283" w:lineRule="auto"/>
        <w:rPr>
          <w:sz w:val="20"/>
          <w:szCs w:val="20"/>
          <w:color w:val="auto"/>
        </w:rPr>
      </w:pPr>
      <w:r>
        <w:rPr>
          <w:rFonts w:ascii="Arial" w:cs="Arial" w:eastAsia="Arial" w:hAnsi="Arial"/>
          <w:sz w:val="16"/>
          <w:szCs w:val="16"/>
          <w:b w:val="1"/>
          <w:bCs w:val="1"/>
          <w:color w:val="auto"/>
        </w:rPr>
        <w:t xml:space="preserve">SECTION 95. </w:t>
      </w:r>
      <w:r>
        <w:rPr>
          <w:rFonts w:ascii="Arial" w:cs="Arial" w:eastAsia="Arial" w:hAnsi="Arial"/>
          <w:sz w:val="16"/>
          <w:szCs w:val="16"/>
          <w:color w:val="auto"/>
        </w:rPr>
        <w:t>(x) if the Administrative Agent reasonably determines that Daily Simple SOFR is not available on or prior to the Term SOFR Replacement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or (y) if the events or circumstances of the type described in </w:t>
      </w:r>
      <w:r>
        <w:rPr>
          <w:rFonts w:ascii="Arial" w:cs="Arial" w:eastAsia="Arial" w:hAnsi="Arial"/>
          <w:sz w:val="16"/>
          <w:szCs w:val="16"/>
          <w:b w:val="1"/>
          <w:bCs w:val="1"/>
          <w:color w:val="auto"/>
        </w:rPr>
        <w:t>Section 5.05(a)(i)</w:t>
      </w:r>
      <w:r>
        <w:rPr>
          <w:rFonts w:ascii="Arial" w:cs="Arial" w:eastAsia="Arial" w:hAnsi="Arial"/>
          <w:sz w:val="16"/>
          <w:szCs w:val="16"/>
          <w:color w:val="auto"/>
        </w:rPr>
        <w:t xml:space="preserve">, or </w:t>
      </w:r>
      <w:r>
        <w:rPr>
          <w:rFonts w:ascii="Arial" w:cs="Arial" w:eastAsia="Arial" w:hAnsi="Arial"/>
          <w:sz w:val="16"/>
          <w:szCs w:val="16"/>
          <w:b w:val="1"/>
          <w:bCs w:val="1"/>
          <w:color w:val="auto"/>
        </w:rPr>
        <w:t>(ii)</w:t>
      </w:r>
      <w:r>
        <w:rPr>
          <w:rFonts w:ascii="Arial" w:cs="Arial" w:eastAsia="Arial" w:hAnsi="Arial"/>
          <w:sz w:val="16"/>
          <w:szCs w:val="16"/>
          <w:color w:val="auto"/>
        </w:rPr>
        <w:t xml:space="preserve"> affecting any Successor Rate are then in effect, then, the Administrative Agent and the Borrower may amend this Agreement solely for the purpose of replacing the Interest Rate or any then current Successor Rate in accordance with this </w:t>
      </w:r>
      <w:r>
        <w:rPr>
          <w:rFonts w:ascii="Arial" w:cs="Arial" w:eastAsia="Arial" w:hAnsi="Arial"/>
          <w:sz w:val="16"/>
          <w:szCs w:val="16"/>
          <w:b w:val="1"/>
          <w:bCs w:val="1"/>
          <w:color w:val="auto"/>
        </w:rPr>
        <w:t>Section 5.05</w:t>
      </w:r>
      <w:r>
        <w:rPr>
          <w:rFonts w:ascii="Arial" w:cs="Arial" w:eastAsia="Arial" w:hAnsi="Arial"/>
          <w:sz w:val="16"/>
          <w:szCs w:val="16"/>
          <w:color w:val="auto"/>
        </w:rPr>
        <w:t xml:space="preserve"> with an alternative benchmark rate giving due consideration to any evolving or then existing convention for similar credit facilities syndicated and agented in the U.S. and denominated in Dollars for such alternative benchmarks, and, in each case, including any mathematical or other adjustments to such benchmark giving due consideration to any evolving or then existing convention for similar credit facilities syndicated and agented in the U.S. and denominated in Dollars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Arial" w:cs="Arial" w:eastAsia="Arial" w:hAnsi="Arial"/>
          <w:sz w:val="16"/>
          <w:szCs w:val="16"/>
          <w:b w:val="1"/>
          <w:bCs w:val="1"/>
          <w:i w:val="1"/>
          <w:iCs w:val="1"/>
          <w:color w:val="auto"/>
        </w:rPr>
        <w:t>Successor Rate</w:t>
      </w:r>
      <w:r>
        <w:rPr>
          <w:rFonts w:ascii="Arial" w:cs="Arial" w:eastAsia="Arial" w:hAnsi="Arial"/>
          <w:sz w:val="16"/>
          <w:szCs w:val="16"/>
          <w:color w:val="auto"/>
        </w:rPr>
        <w:t>”), and any such amendment shall become</w:t>
      </w:r>
    </w:p>
    <w:p>
      <w:pPr>
        <w:spacing w:after="0" w:line="5"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effective at 5:00 p.m. on the fifth (5</w:t>
      </w:r>
      <w:r>
        <w:rPr>
          <w:rFonts w:ascii="Arial" w:cs="Arial" w:eastAsia="Arial" w:hAnsi="Arial"/>
          <w:sz w:val="29"/>
          <w:szCs w:val="29"/>
          <w:color w:val="auto"/>
          <w:vertAlign w:val="superscript"/>
        </w:rPr>
        <w:t>th</w:t>
      </w:r>
      <w:r>
        <w:rPr>
          <w:rFonts w:ascii="Arial" w:cs="Arial" w:eastAsia="Arial" w:hAnsi="Arial"/>
          <w:sz w:val="18"/>
          <w:szCs w:val="18"/>
          <w:color w:val="auto"/>
        </w:rPr>
        <w:t>) Business Day after the Administrative Agent shall have posted such proposed amendment to all Lenders and the Borrower unless, prior to such time, Lenders comprising the Majority Lenders have delivered to the Administrative Agent written notice that such Majority Lenders object to such amendment.</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96. </w:t>
      </w:r>
      <w:r>
        <w:rPr>
          <w:rFonts w:ascii="Arial" w:cs="Arial" w:eastAsia="Arial" w:hAnsi="Arial"/>
          <w:sz w:val="18"/>
          <w:szCs w:val="18"/>
          <w:color w:val="auto"/>
        </w:rPr>
        <w:t>The Administrative Agent will promptly (in one or more notices) notify the Borrower and each Lender of the implementation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Rate.</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97. </w:t>
      </w:r>
      <w:r>
        <w:rPr>
          <w:rFonts w:ascii="Arial" w:cs="Arial" w:eastAsia="Arial" w:hAnsi="Arial"/>
          <w:sz w:val="18"/>
          <w:szCs w:val="18"/>
          <w:color w:val="auto"/>
        </w:rPr>
        <w:t>Any Successor Rate shall be applied in a manner consistent with market practice;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to the extent such market practice is not</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administratively feasible for the Administrative Agent, such Successor Rate shall be applied in a manner as otherwise reasonably determined by the Administrative Agent (in consultation with the Borrower).</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98. </w:t>
      </w:r>
      <w:r>
        <w:rPr>
          <w:rFonts w:ascii="Arial" w:cs="Arial" w:eastAsia="Arial" w:hAnsi="Arial"/>
          <w:sz w:val="18"/>
          <w:szCs w:val="18"/>
          <w:color w:val="auto"/>
        </w:rPr>
        <w:t>Notwithstanding anything else herein, if at any time any Successor Rate as so determined would otherwise be less than zero, the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Rate will be deemed to be zero for the purposes of this Agreement and the other Loan Documents.</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99. </w:t>
      </w:r>
      <w:r>
        <w:rPr>
          <w:rFonts w:ascii="Arial" w:cs="Arial" w:eastAsia="Arial" w:hAnsi="Arial"/>
          <w:sz w:val="18"/>
          <w:szCs w:val="18"/>
          <w:color w:val="auto"/>
        </w:rPr>
        <w:t>In connection with the implementation of a Successor Rate, the Administrative Agent will have the right to make Conforming Changes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from time to time and, notwithstanding anything to the contrary herein or in any other Loan Document, any amendments implementing such Conforming Changes will become effective without any further action or consent of any other party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SECTION 100. Survival</w:t>
      </w:r>
      <w:r>
        <w:rPr>
          <w:rFonts w:ascii="Arial" w:cs="Arial" w:eastAsia="Arial" w:hAnsi="Arial"/>
          <w:sz w:val="18"/>
          <w:szCs w:val="18"/>
          <w:color w:val="auto"/>
        </w:rPr>
        <w:t>. Each party’s obligations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survive the resignation or replacement of the Administrative Agent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assignment of rights by, or the replacement of, a Lender, the termination of the Commitments and the repayment, satisfaction or discharge of all Obligations under any Loan Document.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color w:val="auto"/>
        </w:rPr>
        <w:t>CONDITIONS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SECTION 102. Conditions to the Closing Date</w:t>
      </w:r>
      <w:r>
        <w:rPr>
          <w:rFonts w:ascii="Arial" w:cs="Arial" w:eastAsia="Arial" w:hAnsi="Arial"/>
          <w:sz w:val="18"/>
          <w:szCs w:val="18"/>
          <w:color w:val="auto"/>
        </w:rPr>
        <w:t>. The obligation of each Lender to make the Closing Date Tranche A Terms Loans shall be subject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delivery of a Borrowing Notice as required pursuant to </w:t>
      </w:r>
      <w:r>
        <w:rPr>
          <w:rFonts w:ascii="Arial" w:cs="Arial" w:eastAsia="Arial" w:hAnsi="Arial"/>
          <w:sz w:val="18"/>
          <w:szCs w:val="18"/>
          <w:b w:val="1"/>
          <w:bCs w:val="1"/>
          <w:color w:val="auto"/>
        </w:rPr>
        <w:t>Section 2.02</w:t>
      </w:r>
      <w:r>
        <w:rPr>
          <w:rFonts w:ascii="Arial" w:cs="Arial" w:eastAsia="Arial" w:hAnsi="Arial"/>
          <w:sz w:val="18"/>
          <w:szCs w:val="18"/>
          <w:color w:val="auto"/>
        </w:rPr>
        <w:t xml:space="preserve"> and the prior or concurrent satisfaction or waiver of each of the conditions precedent set forth below in this </w:t>
      </w:r>
      <w:r>
        <w:rPr>
          <w:rFonts w:ascii="Arial" w:cs="Arial" w:eastAsia="Arial" w:hAnsi="Arial"/>
          <w:sz w:val="18"/>
          <w:szCs w:val="18"/>
          <w:b w:val="1"/>
          <w:bCs w:val="1"/>
          <w:color w:val="auto"/>
        </w:rPr>
        <w:t>Section 6.01</w:t>
      </w:r>
      <w:r>
        <w:rPr>
          <w:rFonts w:ascii="Arial" w:cs="Arial" w:eastAsia="Arial" w:hAnsi="Arial"/>
          <w:sz w:val="18"/>
          <w:szCs w:val="18"/>
          <w:color w:val="auto"/>
        </w:rPr>
        <w:t>.</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103. Loan Documents</w:t>
      </w:r>
      <w:r>
        <w:rPr>
          <w:rFonts w:ascii="Arial" w:cs="Arial" w:eastAsia="Arial" w:hAnsi="Arial"/>
          <w:sz w:val="18"/>
          <w:szCs w:val="18"/>
          <w:color w:val="auto"/>
        </w:rPr>
        <w:t>. The Administrative Agent shall have received each Loan Document required to be executed by the appropriate Obligor</w:t>
      </w:r>
      <w:r>
        <w:rPr>
          <w:rFonts w:ascii="Arial" w:cs="Arial" w:eastAsia="Arial" w:hAnsi="Arial"/>
          <w:sz w:val="18"/>
          <w:szCs w:val="18"/>
          <w:b w:val="1"/>
          <w:bCs w:val="1"/>
          <w:color w:val="auto"/>
        </w:rPr>
        <w:t xml:space="preserve"> </w:t>
      </w:r>
      <w:r>
        <w:rPr>
          <w:rFonts w:ascii="Arial" w:cs="Arial" w:eastAsia="Arial" w:hAnsi="Arial"/>
          <w:sz w:val="18"/>
          <w:szCs w:val="18"/>
          <w:color w:val="auto"/>
        </w:rPr>
        <w:t>on the Closing Date and delivered by each applicable Obligor in such number as reasonably requested by the Administrative Agent (which may be delivered by electronic means for the purposes of satisfying this clause (a) on the Closing Date) and such Loan Documents shall be in form and substance satisfactory to the Administrative Agent and the Lenders and their respective counsels.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104. Secretary’s Certificate, Etc. </w:t>
      </w:r>
      <w:r>
        <w:rPr>
          <w:rFonts w:ascii="Arial" w:cs="Arial" w:eastAsia="Arial" w:hAnsi="Arial"/>
          <w:sz w:val="18"/>
          <w:szCs w:val="18"/>
          <w:color w:val="auto"/>
        </w:rPr>
        <w:t>The Administrative Agent shall have received from each Obligor (x) a copy of a good standing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dated a date reasonably close to the Closing Date, for each such Person (other than Visionology, Inc.) and (y) a certificate, dated as of the Closing Date, duly executed and delivered by such Person’s Responsible Officer, as to:</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105. resolutions of each such Person’s Board then in full force and effect authorizing the execution, delivery and performance of each Loan Document to be executed by such Person and the Transactions;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106. the incumbency and signatures of Responsible Officers authorized to execute and deliver each Loan Document to be executed by such Person; and</w:t>
      </w:r>
    </w:p>
    <w:p>
      <w:pPr>
        <w:spacing w:after="0" w:line="16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SECTION 107. the full force and validity of each Organic Document of such Person and copies thereof, which certificates shall be in form and substance reasonably satisfactory to the Administrative Agent and upon which the Administrative Agent and the Lenders may conclusively rely until they shall have received a further certificate of the Responsible Officer of any such Person updating the prior certificate of such Person.</w:t>
      </w:r>
    </w:p>
    <w:p>
      <w:pPr>
        <w:spacing w:after="0" w:line="14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SECTION 108. Perfection Certificate</w:t>
      </w:r>
      <w:r>
        <w:rPr>
          <w:rFonts w:ascii="Arial" w:cs="Arial" w:eastAsia="Arial" w:hAnsi="Arial"/>
          <w:sz w:val="17"/>
          <w:szCs w:val="17"/>
          <w:color w:val="auto"/>
        </w:rPr>
        <w:t>. The Administrative Agent shall have received a fully completed Perfection Certificate in form and substance</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reasonably satisfactory to the Administrative Agent, dated as of the Closing Date, duly executed and delivered by a Responsible Officer of the Borrower. All documents and agreements required to be appended to the Perfection Certificate, shall be in form and substance reasonably satisfactory to the Administrative Agent, shall have been executed and delivered by the requisite parties and shall be in full force and effect.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3" w:name="page124"/>
    <w:bookmarkEnd w:id="123"/>
    <w:p>
      <w:pPr>
        <w:spacing w:after="0" w:line="282" w:lineRule="auto"/>
        <w:rPr>
          <w:sz w:val="20"/>
          <w:szCs w:val="20"/>
          <w:color w:val="auto"/>
        </w:rPr>
      </w:pPr>
      <w:r>
        <w:rPr>
          <w:rFonts w:ascii="Arial" w:cs="Arial" w:eastAsia="Arial" w:hAnsi="Arial"/>
          <w:sz w:val="18"/>
          <w:szCs w:val="18"/>
          <w:b w:val="1"/>
          <w:bCs w:val="1"/>
          <w:color w:val="auto"/>
        </w:rPr>
        <w:t>SECTION 109. Funding Date Certificate</w:t>
      </w:r>
      <w:r>
        <w:rPr>
          <w:rFonts w:ascii="Arial" w:cs="Arial" w:eastAsia="Arial" w:hAnsi="Arial"/>
          <w:sz w:val="18"/>
          <w:szCs w:val="18"/>
          <w:color w:val="auto"/>
        </w:rPr>
        <w:t>. The Administrative Agent shall have received a Funding Date Certificate, dated as of the Closing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substantially in the form of </w:t>
      </w:r>
      <w:r>
        <w:rPr>
          <w:rFonts w:ascii="Arial" w:cs="Arial" w:eastAsia="Arial" w:hAnsi="Arial"/>
          <w:sz w:val="18"/>
          <w:szCs w:val="18"/>
          <w:b w:val="1"/>
          <w:bCs w:val="1"/>
          <w:color w:val="auto"/>
        </w:rPr>
        <w:t>Exhibit C</w:t>
      </w:r>
      <w:r>
        <w:rPr>
          <w:rFonts w:ascii="Arial" w:cs="Arial" w:eastAsia="Arial" w:hAnsi="Arial"/>
          <w:sz w:val="18"/>
          <w:szCs w:val="18"/>
          <w:color w:val="auto"/>
        </w:rPr>
        <w:t>, duly executed and delivered by a Responsible Officer of the Borrower.</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SECTION 110. Delivery of Notes</w:t>
      </w:r>
      <w:r>
        <w:rPr>
          <w:rFonts w:ascii="Arial" w:cs="Arial" w:eastAsia="Arial" w:hAnsi="Arial"/>
          <w:sz w:val="18"/>
          <w:szCs w:val="18"/>
          <w:color w:val="auto"/>
        </w:rPr>
        <w:t>. Each Lender shall have received a Note for the Closing Date Tranche A Term Loans to the extent requested by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Lender pursuant to </w:t>
      </w:r>
      <w:r>
        <w:rPr>
          <w:rFonts w:ascii="Arial" w:cs="Arial" w:eastAsia="Arial" w:hAnsi="Arial"/>
          <w:sz w:val="18"/>
          <w:szCs w:val="18"/>
          <w:b w:val="1"/>
          <w:bCs w:val="1"/>
          <w:color w:val="auto"/>
        </w:rPr>
        <w:t>Section 2.04</w:t>
      </w:r>
      <w:r>
        <w:rPr>
          <w:rFonts w:ascii="Arial" w:cs="Arial" w:eastAsia="Arial" w:hAnsi="Arial"/>
          <w:sz w:val="18"/>
          <w:szCs w:val="18"/>
          <w:color w:val="auto"/>
        </w:rPr>
        <w:t>, duly executed and delivered by a Responsible Officer of the Borrower.</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111. Financial Information, Etc. </w:t>
      </w:r>
      <w:r>
        <w:rPr>
          <w:rFonts w:ascii="Arial" w:cs="Arial" w:eastAsia="Arial" w:hAnsi="Arial"/>
          <w:sz w:val="16"/>
          <w:szCs w:val="16"/>
          <w:color w:val="auto"/>
        </w:rPr>
        <w:t>The Administrative Agent shall have received, or such information shall be publicly available on “EDGAR”,</w:t>
      </w:r>
    </w:p>
    <w:p>
      <w:pPr>
        <w:spacing w:after="0" w:line="50" w:lineRule="exact"/>
        <w:rPr>
          <w:sz w:val="20"/>
          <w:szCs w:val="20"/>
          <w:color w:val="auto"/>
        </w:rPr>
      </w:pPr>
    </w:p>
    <w:p>
      <w:pPr>
        <w:jc w:val="both"/>
        <w:ind w:firstLine="8"/>
        <w:spacing w:after="0" w:line="255"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audited consolidated financial statements of the Borrower and its Subsidiaries for the fiscal year ended December 31, 2021 and (ii) unaudited consolidated balance sheets of the Borrower and its Subsidiaries for each fiscal quarter ended after December 31, 2021 through December 31, 2022, together with the related consolidated statement of operations and cash flows for such fiscal quarter.</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SECTION 112. Solvency</w:t>
      </w:r>
      <w:r>
        <w:rPr>
          <w:rFonts w:ascii="Arial" w:cs="Arial" w:eastAsia="Arial" w:hAnsi="Arial"/>
          <w:sz w:val="18"/>
          <w:szCs w:val="18"/>
          <w:color w:val="auto"/>
        </w:rPr>
        <w:t>. The Administrative Agent shall have received a solvency certificate, substantially in the form of</w:t>
      </w:r>
      <w:r>
        <w:rPr>
          <w:rFonts w:ascii="Arial" w:cs="Arial" w:eastAsia="Arial" w:hAnsi="Arial"/>
          <w:sz w:val="18"/>
          <w:szCs w:val="18"/>
          <w:b w:val="1"/>
          <w:bCs w:val="1"/>
          <w:color w:val="auto"/>
        </w:rPr>
        <w:t xml:space="preserve"> Exhibit K </w:t>
      </w:r>
      <w:r>
        <w:rPr>
          <w:rFonts w:ascii="Arial" w:cs="Arial" w:eastAsia="Arial" w:hAnsi="Arial"/>
          <w:sz w:val="18"/>
          <w:szCs w:val="18"/>
          <w:color w:val="auto"/>
        </w:rPr>
        <w:t>duly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by the chief financial officer of the Borrower, dated as of the Closing Date, in form and substance reasonably satisfactory to the Administrative Agent.</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SECTION 113. Security Documents</w:t>
      </w:r>
      <w:r>
        <w:rPr>
          <w:rFonts w:ascii="Arial" w:cs="Arial" w:eastAsia="Arial" w:hAnsi="Arial"/>
          <w:sz w:val="17"/>
          <w:szCs w:val="17"/>
          <w:color w:val="auto"/>
        </w:rPr>
        <w:t>. The Administrative Agent shall have received executed counterparts of a Security Agreement, in form and substance</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reasonably acceptable to the Administrative Agent, dated as of the Closing Date, duly executed and delivered by each Obligor, together with all documents (including share certificates, transfers and stock transfer forms, notices or any other instruments) required to be delivered or filed under the Security Documents and evidence satisfactory to it that arrangements have been made with respect to all registrations, notices or actions required under the Security Documents to be effected, given or made in order to establish a valid and perfected first priority (subject to Permitted Liens) security interest in the Collateral in accordance with the terms of the Security Documents, including: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114. [reserved];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SECTION 115. financing statements naming each Obligor as a debtor and the Administrative Agent as the secured party, or other similar instruments or documents, in each case suitable for filing, filed under the UCC (or equivalent law) of all jurisdictions as may be necessary or, in the opinion of the Administrative Agent, desirable to perfect the Liens of the Secured Parties pursuant to the Security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4" w:name="page125"/>
    <w:bookmarkEnd w:id="124"/>
    <w:p>
      <w:pPr>
        <w:jc w:val="both"/>
        <w:spacing w:after="0" w:line="282" w:lineRule="auto"/>
        <w:rPr>
          <w:sz w:val="20"/>
          <w:szCs w:val="20"/>
          <w:color w:val="auto"/>
        </w:rPr>
      </w:pPr>
      <w:r>
        <w:rPr>
          <w:rFonts w:ascii="Arial" w:cs="Arial" w:eastAsia="Arial" w:hAnsi="Arial"/>
          <w:sz w:val="18"/>
          <w:szCs w:val="18"/>
          <w:b w:val="1"/>
          <w:bCs w:val="1"/>
          <w:color w:val="auto"/>
        </w:rPr>
        <w:t>SECTION 116. UCC-3 termination statements, if any, necessary to release all Liens and other rights of any Person in any collateral described in the Security Agreement previously granted by any Person (other than with respect to Permitted Liens);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117. all applicable Short-Form IP Security Agreements required to be provided under the Security Agreement, each dated as of the Closing Date, duly executed and delivered by each applicable Obligor; and</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118. the Intercompany Subordination Agreement or such other subordination agreement in form and substance reasonably satisfactory to the Administrative Agent.</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119. Lien Searches</w:t>
      </w:r>
      <w:r>
        <w:rPr>
          <w:rFonts w:ascii="Arial" w:cs="Arial" w:eastAsia="Arial" w:hAnsi="Arial"/>
          <w:sz w:val="18"/>
          <w:szCs w:val="18"/>
          <w:color w:val="auto"/>
        </w:rPr>
        <w:t>. The Administrative Agent shall be satisfied with Lien searches regarding the Borrower and the Subsidiary Guarantors</w:t>
      </w:r>
      <w:r>
        <w:rPr>
          <w:rFonts w:ascii="Arial" w:cs="Arial" w:eastAsia="Arial" w:hAnsi="Arial"/>
          <w:sz w:val="18"/>
          <w:szCs w:val="18"/>
          <w:b w:val="1"/>
          <w:bCs w:val="1"/>
          <w:color w:val="auto"/>
        </w:rPr>
        <w:t xml:space="preserve"> </w:t>
      </w:r>
      <w:r>
        <w:rPr>
          <w:rFonts w:ascii="Arial" w:cs="Arial" w:eastAsia="Arial" w:hAnsi="Arial"/>
          <w:sz w:val="18"/>
          <w:szCs w:val="18"/>
          <w:color w:val="auto"/>
        </w:rPr>
        <w:t>made as of a date reasonably close to the Closing Date.</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120. Evidence of Insurance</w:t>
      </w:r>
      <w:r>
        <w:rPr>
          <w:rFonts w:ascii="Arial" w:cs="Arial" w:eastAsia="Arial" w:hAnsi="Arial"/>
          <w:sz w:val="18"/>
          <w:szCs w:val="18"/>
          <w:color w:val="auto"/>
        </w:rPr>
        <w:t>. Receipt by the Administrative Agent of copies of insurance policies and certificates of insurance of the Obligors</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liability and casualty insurance meeting the requirements set forth in the Loan Documents, including, but not limited to, naming the Administrative Agent as additional insured (in the case of liability insurance) or lender loss payee (in the case of hazard insurance) on behalf of the Secured Parties.</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SECTION 121. Payoff of Existing Credit Facility</w:t>
      </w:r>
      <w:r>
        <w:rPr>
          <w:rFonts w:ascii="Arial" w:cs="Arial" w:eastAsia="Arial" w:hAnsi="Arial"/>
          <w:sz w:val="17"/>
          <w:szCs w:val="17"/>
          <w:color w:val="auto"/>
        </w:rPr>
        <w:t>. The Refinanced Facility shall have been (or substantially concurrently with the Closing Date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repaid or satisfied and discharged, and in connection therewith all Guarantees and Liens shall have been released, on or prior to the Closing Date, on terms reasonably acceptable to the Administrative Agent and the Administrative Agent shall have received an executed payoff letter and related Lien release documentation in connection therewith, in each case in form and substance reasonably acceptable to the Administrative Agent.</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SECTION 122. Due Diligence Review</w:t>
      </w:r>
      <w:r>
        <w:rPr>
          <w:rFonts w:ascii="Arial" w:cs="Arial" w:eastAsia="Arial" w:hAnsi="Arial"/>
          <w:sz w:val="17"/>
          <w:szCs w:val="17"/>
          <w:color w:val="auto"/>
        </w:rPr>
        <w:t>. The</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Administrative Agent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Lenders shall have completed and be satisfied with all legal due diligence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business due diligence (including, without limitation, due diligence related to third party reports, and completion of any studies and/or consultant projects), and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xml:space="preserve"> and the Lenders shall be satisfied with the </w:t>
      </w:r>
      <w:r>
        <w:rPr>
          <w:rFonts w:ascii="Arial" w:cs="Arial" w:eastAsia="Arial" w:hAnsi="Arial"/>
          <w:sz w:val="17"/>
          <w:szCs w:val="17"/>
          <w:u w:val="single" w:color="auto"/>
          <w:color w:val="auto"/>
        </w:rPr>
        <w:t>Obligors’</w:t>
      </w:r>
      <w:r>
        <w:rPr>
          <w:rFonts w:ascii="Arial" w:cs="Arial" w:eastAsia="Arial" w:hAnsi="Arial"/>
          <w:sz w:val="17"/>
          <w:szCs w:val="17"/>
          <w:color w:val="auto"/>
        </w:rPr>
        <w:t xml:space="preserve"> capital, legal and organizational structure.</w:t>
      </w:r>
    </w:p>
    <w:p>
      <w:pPr>
        <w:spacing w:after="0" w:line="158"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SECTION 123. Opinions of Counsel</w:t>
      </w:r>
      <w:r>
        <w:rPr>
          <w:rFonts w:ascii="Arial" w:cs="Arial" w:eastAsia="Arial" w:hAnsi="Arial"/>
          <w:sz w:val="16"/>
          <w:szCs w:val="16"/>
          <w:color w:val="auto"/>
        </w:rPr>
        <w:t>. The Administrative Agent shall have received duly executed legal opinions of counsel to the Obligors (including, as</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local counsel to the Obligors) dated as of the Closing Date, in form and substance reasonably acceptable to the Administrative Agent.</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124. Fee Letter</w:t>
      </w:r>
      <w:r>
        <w:rPr>
          <w:rFonts w:ascii="Arial" w:cs="Arial" w:eastAsia="Arial" w:hAnsi="Arial"/>
          <w:sz w:val="18"/>
          <w:szCs w:val="18"/>
          <w:color w:val="auto"/>
        </w:rPr>
        <w:t>. The Administrative Agent shall have received an executed counterpart of the Closing Date Fee Letter, duly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by the Borrower.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5" w:name="page126"/>
    <w:bookmarkEnd w:id="125"/>
    <w:p>
      <w:pPr>
        <w:jc w:val="both"/>
        <w:spacing w:after="0" w:line="272" w:lineRule="auto"/>
        <w:rPr>
          <w:sz w:val="20"/>
          <w:szCs w:val="20"/>
          <w:color w:val="auto"/>
        </w:rPr>
      </w:pPr>
      <w:r>
        <w:rPr>
          <w:rFonts w:ascii="Arial" w:cs="Arial" w:eastAsia="Arial" w:hAnsi="Arial"/>
          <w:sz w:val="17"/>
          <w:szCs w:val="17"/>
          <w:b w:val="1"/>
          <w:bCs w:val="1"/>
          <w:color w:val="auto"/>
        </w:rPr>
        <w:t>SECTION 125. Closing Fees, Expenses, Etc</w:t>
      </w:r>
      <w:r>
        <w:rPr>
          <w:rFonts w:ascii="Arial" w:cs="Arial" w:eastAsia="Arial" w:hAnsi="Arial"/>
          <w:sz w:val="17"/>
          <w:szCs w:val="17"/>
          <w:color w:val="auto"/>
        </w:rPr>
        <w:t>. Each of the Administrative Agent and each Lender shall have received for its own account, (i) the upfront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fee as set forth in the Closing Date Fee Letter, which shall be paid by way of the Administrative Agent retaining such amount from the proceeds of the Loan and (ii) all fees, costs and expenses due and payable to it pursuant to the Closing Date Fee Letter and </w:t>
      </w:r>
      <w:r>
        <w:rPr>
          <w:rFonts w:ascii="Arial" w:cs="Arial" w:eastAsia="Arial" w:hAnsi="Arial"/>
          <w:sz w:val="17"/>
          <w:szCs w:val="17"/>
          <w:b w:val="1"/>
          <w:bCs w:val="1"/>
          <w:color w:val="auto"/>
        </w:rPr>
        <w:t>Section 14.03</w:t>
      </w:r>
      <w:r>
        <w:rPr>
          <w:rFonts w:ascii="Arial" w:cs="Arial" w:eastAsia="Arial" w:hAnsi="Arial"/>
          <w:sz w:val="17"/>
          <w:szCs w:val="17"/>
          <w:color w:val="auto"/>
        </w:rPr>
        <w:t>, including all reasonable closing costs and fees and all unpaid reasonable and documented expenses of the Administrative Agent incurred in connection with the Transactions (including the Administrative Agent’s reasonable and documented legal fees and expenses), plus fees and expenses of any local counsel, plus all collateral filing fees and security fees, in each case, (A) to the extent invoiced (or as to which a good faith estimate has been provided to the Borrower) at least two (2) Business Days prior to the Closing Date and (B) in the case of the fees, costs and expenses pursuant to clause (ii), net of any amounts previously paid by the Borrower to the Administrative Agent as a deposit against such fees, costs and expenses.</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SECTION 126. Material Adverse Change</w:t>
      </w:r>
      <w:r>
        <w:rPr>
          <w:rFonts w:ascii="Arial" w:cs="Arial" w:eastAsia="Arial" w:hAnsi="Arial"/>
          <w:sz w:val="18"/>
          <w:szCs w:val="18"/>
          <w:color w:val="auto"/>
        </w:rPr>
        <w:t>. Since December 31, 2021, no event, circumstance or change shall have occurred that has caused or would</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be expected to cause, either individually or in the aggregate, a Material Adverse Change, both before and after giving effect to the Loans to be made on the Closing Date.</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127. FDA Enforcement Actions</w:t>
      </w:r>
      <w:r>
        <w:rPr>
          <w:rFonts w:ascii="Arial" w:cs="Arial" w:eastAsia="Arial" w:hAnsi="Arial"/>
          <w:sz w:val="18"/>
          <w:szCs w:val="18"/>
          <w:color w:val="auto"/>
        </w:rPr>
        <w:t>. With respect to each warning letter, untitled letter, inspection or investigation by a Governmental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directed at the Borrower or any of its Subsidiaries, the Borrower or the applicable Subsidiaries have disclosed all material documentation and materials (including all written communications to and from FDA) with respect to such warning letter, untitled letter, inspection or investigation as of the Closing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128. No Default</w:t>
      </w:r>
      <w:r>
        <w:rPr>
          <w:rFonts w:ascii="Arial" w:cs="Arial" w:eastAsia="Arial" w:hAnsi="Arial"/>
          <w:sz w:val="18"/>
          <w:szCs w:val="18"/>
          <w:color w:val="auto"/>
        </w:rPr>
        <w:t>. No event shall have occurred or be continuing that would constitute a Default or Event of Default.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SECTION 129. Representations and Warranties</w:t>
      </w:r>
      <w:r>
        <w:rPr>
          <w:rFonts w:ascii="Arial" w:cs="Arial" w:eastAsia="Arial" w:hAnsi="Arial"/>
          <w:sz w:val="17"/>
          <w:szCs w:val="17"/>
          <w:color w:val="auto"/>
        </w:rPr>
        <w:t>. The representations and warranties contained in this Agreement and in the other Loan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delivered pursuant to </w:t>
      </w:r>
      <w:r>
        <w:rPr>
          <w:rFonts w:ascii="Arial" w:cs="Arial" w:eastAsia="Arial" w:hAnsi="Arial"/>
          <w:sz w:val="17"/>
          <w:szCs w:val="17"/>
          <w:b w:val="1"/>
          <w:bCs w:val="1"/>
          <w:color w:val="auto"/>
        </w:rPr>
        <w:t>Section 6.01</w:t>
      </w:r>
      <w:r>
        <w:rPr>
          <w:rFonts w:ascii="Arial" w:cs="Arial" w:eastAsia="Arial" w:hAnsi="Arial"/>
          <w:sz w:val="17"/>
          <w:szCs w:val="17"/>
          <w:color w:val="auto"/>
        </w:rPr>
        <w:t xml:space="preserve"> shall be true and correct in all material respects (unless such representations are already qualified by reference to materiality, Material Adverse Effect or similar language, in which case such representations and warranties shall be true and correct in all respects) on and as of the Closing Date, except to the extent such representations and warranties specifically relate to an earlier date, in which case such representations and warranties shall have been true and correct in all material respects on and as of such earlier date.</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130. Minimum Liquidity</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Section 8.17(d) </w:t>
      </w:r>
      <w:r>
        <w:rPr>
          <w:rFonts w:ascii="Arial" w:cs="Arial" w:eastAsia="Arial" w:hAnsi="Arial"/>
          <w:sz w:val="18"/>
          <w:szCs w:val="18"/>
          <w:color w:val="auto"/>
        </w:rPr>
        <w:t>and</w:t>
      </w:r>
      <w:r>
        <w:rPr>
          <w:rFonts w:ascii="Arial" w:cs="Arial" w:eastAsia="Arial" w:hAnsi="Arial"/>
          <w:sz w:val="18"/>
          <w:szCs w:val="18"/>
          <w:b w:val="1"/>
          <w:bCs w:val="1"/>
          <w:color w:val="auto"/>
        </w:rPr>
        <w:t xml:space="preserve"> (f)</w:t>
      </w:r>
      <w:r>
        <w:rPr>
          <w:rFonts w:ascii="Arial" w:cs="Arial" w:eastAsia="Arial" w:hAnsi="Arial"/>
          <w:sz w:val="18"/>
          <w:szCs w:val="18"/>
          <w:color w:val="auto"/>
        </w:rPr>
        <w:t>, the Administrative Agent shall have received written evidence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satisfactory to it that, as of the Closing Date, the Borrower is in pro forma compliance with </w:t>
      </w:r>
      <w:r>
        <w:rPr>
          <w:rFonts w:ascii="Arial" w:cs="Arial" w:eastAsia="Arial" w:hAnsi="Arial"/>
          <w:sz w:val="18"/>
          <w:szCs w:val="18"/>
          <w:b w:val="1"/>
          <w:bCs w:val="1"/>
          <w:color w:val="auto"/>
        </w:rPr>
        <w:t>Section 10.01</w:t>
      </w:r>
      <w:r>
        <w:rPr>
          <w:rFonts w:ascii="Arial" w:cs="Arial" w:eastAsia="Arial" w:hAnsi="Arial"/>
          <w:sz w:val="18"/>
          <w:szCs w:val="18"/>
          <w:color w:val="auto"/>
        </w:rPr>
        <w:t>.</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SECTION 131. Beneficial Ownership Certificate; KYC</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requested by any Lender or the Administrative Agent at least three (3)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Days prior to the Closing Date, the Borrower shall have provided to such Lender and the Administrative Agent all documentation and other information so requested, including a duly executed IRS Form W-9 of the Borrower (or such other applicable tax form), in connection with applicable “know your customer” and anti-money laundering rules and regulations, including the Patriot Act, and if the Borrower qualifies as a “legal entity customer” under the Beneficial Ownership Regulation, a Beneficial Ownership Certification, in each case prior to the Closing Date.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6" w:name="page127"/>
    <w:bookmarkEnd w:id="126"/>
    <w:p>
      <w:pPr>
        <w:jc w:val="both"/>
        <w:spacing w:after="0" w:line="263" w:lineRule="auto"/>
        <w:rPr>
          <w:sz w:val="20"/>
          <w:szCs w:val="20"/>
          <w:color w:val="auto"/>
        </w:rPr>
      </w:pPr>
      <w:r>
        <w:rPr>
          <w:rFonts w:ascii="Arial" w:cs="Arial" w:eastAsia="Arial" w:hAnsi="Arial"/>
          <w:sz w:val="18"/>
          <w:szCs w:val="18"/>
          <w:b w:val="1"/>
          <w:bCs w:val="1"/>
          <w:i w:val="1"/>
          <w:iCs w:val="1"/>
          <w:color w:val="auto"/>
        </w:rPr>
        <w:t>SECTION 132. Conditions to the Borrowing of Tranche B Term Loans</w:t>
      </w:r>
      <w:r>
        <w:rPr>
          <w:rFonts w:ascii="Arial" w:cs="Arial" w:eastAsia="Arial" w:hAnsi="Arial"/>
          <w:sz w:val="18"/>
          <w:szCs w:val="18"/>
          <w:color w:val="auto"/>
        </w:rPr>
        <w:t>. The obligation of each Lender to make Tranche B Term Loans shall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delivery of a Borrowing Notice as required pursuant to </w:t>
      </w:r>
      <w:r>
        <w:rPr>
          <w:rFonts w:ascii="Arial" w:cs="Arial" w:eastAsia="Arial" w:hAnsi="Arial"/>
          <w:sz w:val="18"/>
          <w:szCs w:val="18"/>
          <w:b w:val="1"/>
          <w:bCs w:val="1"/>
          <w:color w:val="auto"/>
        </w:rPr>
        <w:t>Section 2.02</w:t>
      </w:r>
      <w:r>
        <w:rPr>
          <w:rFonts w:ascii="Arial" w:cs="Arial" w:eastAsia="Arial" w:hAnsi="Arial"/>
          <w:sz w:val="18"/>
          <w:szCs w:val="18"/>
          <w:color w:val="auto"/>
        </w:rPr>
        <w:t xml:space="preserve">, and the prior or concurrent satisfaction or waiver of each of the conditions precedent set forth below in this </w:t>
      </w:r>
      <w:r>
        <w:rPr>
          <w:rFonts w:ascii="Arial" w:cs="Arial" w:eastAsia="Arial" w:hAnsi="Arial"/>
          <w:sz w:val="18"/>
          <w:szCs w:val="18"/>
          <w:b w:val="1"/>
          <w:bCs w:val="1"/>
          <w:color w:val="auto"/>
        </w:rPr>
        <w:t>Section 6.02</w:t>
      </w:r>
      <w:r>
        <w:rPr>
          <w:rFonts w:ascii="Arial" w:cs="Arial" w:eastAsia="Arial" w:hAnsi="Arial"/>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133. Funding Date Certificate</w:t>
      </w:r>
      <w:r>
        <w:rPr>
          <w:rFonts w:ascii="Arial" w:cs="Arial" w:eastAsia="Arial" w:hAnsi="Arial"/>
          <w:sz w:val="18"/>
          <w:szCs w:val="18"/>
          <w:color w:val="auto"/>
        </w:rPr>
        <w:t>. The Administrative Agent shall have received a Funding Date Certificate substantially in the form of</w:t>
      </w:r>
      <w:r>
        <w:rPr>
          <w:rFonts w:ascii="Arial" w:cs="Arial" w:eastAsia="Arial" w:hAnsi="Arial"/>
          <w:sz w:val="18"/>
          <w:szCs w:val="18"/>
          <w:b w:val="1"/>
          <w:bCs w:val="1"/>
          <w:color w:val="auto"/>
        </w:rPr>
        <w:t xml:space="preserve"> Exhibit C </w:t>
      </w:r>
      <w:r>
        <w:rPr>
          <w:rFonts w:ascii="Arial" w:cs="Arial" w:eastAsia="Arial" w:hAnsi="Arial"/>
          <w:sz w:val="18"/>
          <w:szCs w:val="18"/>
          <w:color w:val="auto"/>
        </w:rPr>
        <w:t>dated as of the Applicable Funding Date, duly executed and delivered by a Responsible Officer of the Borrower.</w:t>
      </w:r>
    </w:p>
    <w:p>
      <w:pPr>
        <w:spacing w:after="0" w:line="162"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SECTION 134. Delivery of Notes</w:t>
      </w:r>
      <w:r>
        <w:rPr>
          <w:rFonts w:ascii="Arial" w:cs="Arial" w:eastAsia="Arial" w:hAnsi="Arial"/>
          <w:sz w:val="17"/>
          <w:szCs w:val="17"/>
          <w:color w:val="auto"/>
        </w:rPr>
        <w:t>. The Administrative Agent shall have received a Note to the extent requested by any Lender pursuant to</w:t>
      </w:r>
      <w:r>
        <w:rPr>
          <w:rFonts w:ascii="Arial" w:cs="Arial" w:eastAsia="Arial" w:hAnsi="Arial"/>
          <w:sz w:val="17"/>
          <w:szCs w:val="17"/>
          <w:b w:val="1"/>
          <w:bCs w:val="1"/>
          <w:color w:val="auto"/>
        </w:rPr>
        <w:t xml:space="preserve"> Section 2.04 </w:t>
      </w:r>
      <w:r>
        <w:rPr>
          <w:rFonts w:ascii="Arial" w:cs="Arial" w:eastAsia="Arial" w:hAnsi="Arial"/>
          <w:sz w:val="17"/>
          <w:szCs w:val="17"/>
          <w:color w:val="auto"/>
        </w:rPr>
        <w:t>for the Tranche B Term Loans made on the Tranche B Funding Date duly executed and delivered by a Responsible Officer of the Borrower.</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SECTION 135. Solvency</w:t>
      </w:r>
      <w:r>
        <w:rPr>
          <w:rFonts w:ascii="Arial" w:cs="Arial" w:eastAsia="Arial" w:hAnsi="Arial"/>
          <w:sz w:val="18"/>
          <w:szCs w:val="18"/>
          <w:color w:val="auto"/>
        </w:rPr>
        <w:t>. The Administrative Agent shall have received a solvency certificate, substantially in the form of</w:t>
      </w:r>
      <w:r>
        <w:rPr>
          <w:rFonts w:ascii="Arial" w:cs="Arial" w:eastAsia="Arial" w:hAnsi="Arial"/>
          <w:sz w:val="18"/>
          <w:szCs w:val="18"/>
          <w:b w:val="1"/>
          <w:bCs w:val="1"/>
          <w:color w:val="auto"/>
        </w:rPr>
        <w:t xml:space="preserve"> Exhibit K</w:t>
      </w:r>
      <w:r>
        <w:rPr>
          <w:rFonts w:ascii="Arial" w:cs="Arial" w:eastAsia="Arial" w:hAnsi="Arial"/>
          <w:sz w:val="18"/>
          <w:szCs w:val="18"/>
          <w:color w:val="auto"/>
        </w:rPr>
        <w:t>, duly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by the chief financial officer of the Borrower, dated as of the Tranche B Funding Date, in form and substance reasonably satisfactory to the Administrative Agent.</w:t>
      </w:r>
    </w:p>
    <w:p>
      <w:pPr>
        <w:spacing w:after="0" w:line="17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SECTION 136. Fees, Expenses, Etc. </w:t>
      </w:r>
      <w:r>
        <w:rPr>
          <w:rFonts w:ascii="Arial" w:cs="Arial" w:eastAsia="Arial" w:hAnsi="Arial"/>
          <w:sz w:val="16"/>
          <w:szCs w:val="16"/>
          <w:color w:val="auto"/>
        </w:rPr>
        <w:t>Each of the Administrative Agent and each Lender shall have received for its own account all Commitment Fees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fees, costs and expenses due and payable to it on or prior to the Tranche B Funding Date pursuant to the Fee Letter, </w:t>
      </w:r>
      <w:r>
        <w:rPr>
          <w:rFonts w:ascii="Arial" w:cs="Arial" w:eastAsia="Arial" w:hAnsi="Arial"/>
          <w:sz w:val="16"/>
          <w:szCs w:val="16"/>
          <w:b w:val="1"/>
          <w:bCs w:val="1"/>
          <w:color w:val="auto"/>
        </w:rPr>
        <w:t>Section 2.06</w:t>
      </w:r>
      <w:r>
        <w:rPr>
          <w:rFonts w:ascii="Arial" w:cs="Arial" w:eastAsia="Arial" w:hAnsi="Arial"/>
          <w:sz w:val="16"/>
          <w:szCs w:val="16"/>
          <w:color w:val="auto"/>
        </w:rPr>
        <w:t xml:space="preserve"> and </w:t>
      </w:r>
      <w:r>
        <w:rPr>
          <w:rFonts w:ascii="Arial" w:cs="Arial" w:eastAsia="Arial" w:hAnsi="Arial"/>
          <w:sz w:val="16"/>
          <w:szCs w:val="16"/>
          <w:b w:val="1"/>
          <w:bCs w:val="1"/>
          <w:color w:val="auto"/>
        </w:rPr>
        <w:t>Section 14.03</w:t>
      </w:r>
      <w:r>
        <w:rPr>
          <w:rFonts w:ascii="Arial" w:cs="Arial" w:eastAsia="Arial" w:hAnsi="Arial"/>
          <w:sz w:val="16"/>
          <w:szCs w:val="16"/>
          <w:color w:val="auto"/>
        </w:rPr>
        <w:t>, including all reasonable and documented closing costs and fees and all unpaid reasonable and documented expenses of the Administrative Agent incurred in connection with the Transactions (including the Administrative Agent’s reasonable and documented legal fees and expenses) in each case, to the extent invoiced (or as to which a good faith estimate has been provided to the Borrower) at least two (2) Business Days prior to the Tranche B Funding Date.</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SECTION 137. Material Adverse Change</w:t>
      </w:r>
      <w:r>
        <w:rPr>
          <w:rFonts w:ascii="Arial" w:cs="Arial" w:eastAsia="Arial" w:hAnsi="Arial"/>
          <w:sz w:val="18"/>
          <w:szCs w:val="18"/>
          <w:color w:val="auto"/>
        </w:rPr>
        <w:t>. Since December 31, 2021, no event, circumstance or change shall have occurred that has caused or would</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be expected to cause, either individually or in the aggregate, a Material Adverse Change, both before and after giving effect to the Tranche B Term Loans to be made on the Tranche B Funding Date.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138. No Default</w:t>
      </w:r>
      <w:r>
        <w:rPr>
          <w:rFonts w:ascii="Arial" w:cs="Arial" w:eastAsia="Arial" w:hAnsi="Arial"/>
          <w:sz w:val="18"/>
          <w:szCs w:val="18"/>
          <w:color w:val="auto"/>
        </w:rPr>
        <w:t>. No event shall have occurred or be continuing or would result from the making of the Tranche B Term Loans on the Tranche</w:t>
      </w:r>
      <w:r>
        <w:rPr>
          <w:rFonts w:ascii="Arial" w:cs="Arial" w:eastAsia="Arial" w:hAnsi="Arial"/>
          <w:sz w:val="18"/>
          <w:szCs w:val="18"/>
          <w:b w:val="1"/>
          <w:bCs w:val="1"/>
          <w:color w:val="auto"/>
        </w:rPr>
        <w:t xml:space="preserve"> </w:t>
      </w:r>
      <w:r>
        <w:rPr>
          <w:rFonts w:ascii="Arial" w:cs="Arial" w:eastAsia="Arial" w:hAnsi="Arial"/>
          <w:sz w:val="18"/>
          <w:szCs w:val="18"/>
          <w:color w:val="auto"/>
        </w:rPr>
        <w:t>B Funding Date that would constitute a Default or Event of Default.</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SECTION 139. Representations and Warranties; Updated Schedules</w:t>
      </w:r>
      <w:r>
        <w:rPr>
          <w:rFonts w:ascii="Arial" w:cs="Arial" w:eastAsia="Arial" w:hAnsi="Arial"/>
          <w:sz w:val="17"/>
          <w:szCs w:val="17"/>
          <w:color w:val="auto"/>
        </w:rPr>
        <w:t>. The representations and warranties contained in this Agreement and in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Loan Documents delivered pursuant to </w:t>
      </w:r>
      <w:r>
        <w:rPr>
          <w:rFonts w:ascii="Arial" w:cs="Arial" w:eastAsia="Arial" w:hAnsi="Arial"/>
          <w:sz w:val="17"/>
          <w:szCs w:val="17"/>
          <w:b w:val="1"/>
          <w:bCs w:val="1"/>
          <w:color w:val="auto"/>
        </w:rPr>
        <w:t>Section 6.01(a)</w:t>
      </w:r>
      <w:r>
        <w:rPr>
          <w:rFonts w:ascii="Arial" w:cs="Arial" w:eastAsia="Arial" w:hAnsi="Arial"/>
          <w:sz w:val="17"/>
          <w:szCs w:val="17"/>
          <w:color w:val="auto"/>
        </w:rPr>
        <w:t xml:space="preserve"> shall be true and correct in all material respects (unless such representations are already qualified by reference to materiality, Material Adverse Effect or similar language, in which case such representations and warranties shall be true and correct in all respects) on and as of the Tranche B Funding Date, except to the extent such representations and warranties specifically relate to an earlier date, in which case such representations and warranties shall have been true and correct in all material respects on and as of such earlier date. The Borrower shall have delivered to the Administrative Agent updated copies of </w:t>
      </w:r>
      <w:r>
        <w:rPr>
          <w:rFonts w:ascii="Arial" w:cs="Arial" w:eastAsia="Arial" w:hAnsi="Arial"/>
          <w:sz w:val="17"/>
          <w:szCs w:val="17"/>
          <w:b w:val="1"/>
          <w:bCs w:val="1"/>
          <w:color w:val="auto"/>
        </w:rPr>
        <w:t>Schedules 7.06(c)</w:t>
      </w:r>
      <w:r>
        <w:rPr>
          <w:rFonts w:ascii="Arial" w:cs="Arial" w:eastAsia="Arial" w:hAnsi="Arial"/>
          <w:sz w:val="17"/>
          <w:szCs w:val="17"/>
          <w:color w:val="auto"/>
        </w:rPr>
        <w:t xml:space="preserve">, </w:t>
      </w:r>
      <w:r>
        <w:rPr>
          <w:rFonts w:ascii="Arial" w:cs="Arial" w:eastAsia="Arial" w:hAnsi="Arial"/>
          <w:sz w:val="17"/>
          <w:szCs w:val="17"/>
          <w:b w:val="1"/>
          <w:bCs w:val="1"/>
          <w:color w:val="auto"/>
        </w:rPr>
        <w:t>7.12</w:t>
      </w:r>
      <w:r>
        <w:rPr>
          <w:rFonts w:ascii="Arial" w:cs="Arial" w:eastAsia="Arial" w:hAnsi="Arial"/>
          <w:sz w:val="17"/>
          <w:szCs w:val="17"/>
          <w:color w:val="auto"/>
        </w:rPr>
        <w:t xml:space="preserve">, </w:t>
      </w:r>
      <w:r>
        <w:rPr>
          <w:rFonts w:ascii="Arial" w:cs="Arial" w:eastAsia="Arial" w:hAnsi="Arial"/>
          <w:sz w:val="17"/>
          <w:szCs w:val="17"/>
          <w:b w:val="1"/>
          <w:bCs w:val="1"/>
          <w:color w:val="auto"/>
        </w:rPr>
        <w:t>7.16</w:t>
      </w:r>
      <w:r>
        <w:rPr>
          <w:rFonts w:ascii="Arial" w:cs="Arial" w:eastAsia="Arial" w:hAnsi="Arial"/>
          <w:sz w:val="17"/>
          <w:szCs w:val="17"/>
          <w:color w:val="auto"/>
        </w:rPr>
        <w:t xml:space="preserve">, </w:t>
      </w:r>
      <w:r>
        <w:rPr>
          <w:rFonts w:ascii="Arial" w:cs="Arial" w:eastAsia="Arial" w:hAnsi="Arial"/>
          <w:sz w:val="17"/>
          <w:szCs w:val="17"/>
          <w:b w:val="1"/>
          <w:bCs w:val="1"/>
          <w:color w:val="auto"/>
        </w:rPr>
        <w:t>7.17</w:t>
      </w:r>
      <w:r>
        <w:rPr>
          <w:rFonts w:ascii="Arial" w:cs="Arial" w:eastAsia="Arial" w:hAnsi="Arial"/>
          <w:sz w:val="17"/>
          <w:szCs w:val="17"/>
          <w:color w:val="auto"/>
        </w:rPr>
        <w:t xml:space="preserve"> and </w:t>
      </w:r>
      <w:r>
        <w:rPr>
          <w:rFonts w:ascii="Arial" w:cs="Arial" w:eastAsia="Arial" w:hAnsi="Arial"/>
          <w:sz w:val="17"/>
          <w:szCs w:val="17"/>
          <w:b w:val="1"/>
          <w:bCs w:val="1"/>
          <w:color w:val="auto"/>
        </w:rPr>
        <w:t>7.23</w:t>
      </w:r>
      <w:r>
        <w:rPr>
          <w:rFonts w:ascii="Arial" w:cs="Arial" w:eastAsia="Arial" w:hAnsi="Arial"/>
          <w:sz w:val="17"/>
          <w:szCs w:val="17"/>
          <w:color w:val="auto"/>
        </w:rPr>
        <w:t xml:space="preserve">, to the extent required to satisfy the foregoing requirements set forth in this </w:t>
      </w:r>
      <w:r>
        <w:rPr>
          <w:rFonts w:ascii="Arial" w:cs="Arial" w:eastAsia="Arial" w:hAnsi="Arial"/>
          <w:sz w:val="17"/>
          <w:szCs w:val="17"/>
          <w:b w:val="1"/>
          <w:bCs w:val="1"/>
          <w:color w:val="auto"/>
        </w:rPr>
        <w:t>Section 6.02(g)</w:t>
      </w:r>
      <w:r>
        <w:rPr>
          <w:rFonts w:ascii="Arial" w:cs="Arial" w:eastAsia="Arial" w:hAnsi="Arial"/>
          <w:sz w:val="17"/>
          <w:szCs w:val="17"/>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7" w:name="page128"/>
    <w:bookmarkEnd w:id="127"/>
    <w:p>
      <w:pPr>
        <w:spacing w:after="0"/>
        <w:rPr>
          <w:sz w:val="20"/>
          <w:szCs w:val="20"/>
          <w:color w:val="auto"/>
        </w:rPr>
      </w:pPr>
      <w:r>
        <w:rPr>
          <w:rFonts w:ascii="Arial" w:cs="Arial" w:eastAsia="Arial" w:hAnsi="Arial"/>
          <w:sz w:val="17"/>
          <w:szCs w:val="17"/>
          <w:b w:val="1"/>
          <w:bCs w:val="1"/>
          <w:color w:val="auto"/>
        </w:rPr>
        <w:t>SECTION 140. Tranche B Funding Condition</w:t>
      </w:r>
      <w:r>
        <w:rPr>
          <w:rFonts w:ascii="Arial" w:cs="Arial" w:eastAsia="Arial" w:hAnsi="Arial"/>
          <w:sz w:val="17"/>
          <w:szCs w:val="17"/>
          <w:color w:val="auto"/>
        </w:rPr>
        <w:t>. The Tranche B Funding Condition shall have been satisfied as set forth on the Loans Schedule.</w:t>
      </w:r>
    </w:p>
    <w:p>
      <w:pPr>
        <w:spacing w:after="0" w:line="23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141. Tranche B Availability Period</w:t>
      </w:r>
      <w:r>
        <w:rPr>
          <w:rFonts w:ascii="Arial" w:cs="Arial" w:eastAsia="Arial" w:hAnsi="Arial"/>
          <w:sz w:val="18"/>
          <w:szCs w:val="18"/>
          <w:color w:val="auto"/>
        </w:rPr>
        <w:t>. The Tranche B Term Loans shall be borrowed on or prior to the last day of the Tranche B Availability</w:t>
      </w:r>
      <w:r>
        <w:rPr>
          <w:rFonts w:ascii="Arial" w:cs="Arial" w:eastAsia="Arial" w:hAnsi="Arial"/>
          <w:sz w:val="18"/>
          <w:szCs w:val="18"/>
          <w:b w:val="1"/>
          <w:bCs w:val="1"/>
          <w:color w:val="auto"/>
        </w:rPr>
        <w:t xml:space="preserve"> </w:t>
      </w:r>
      <w:r>
        <w:rPr>
          <w:rFonts w:ascii="Arial" w:cs="Arial" w:eastAsia="Arial" w:hAnsi="Arial"/>
          <w:sz w:val="18"/>
          <w:szCs w:val="18"/>
          <w:color w:val="auto"/>
        </w:rPr>
        <w:t>Period.</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SECTION 142. Conditions to the Borrowing of Incremental Tranche A Term Loans</w:t>
      </w:r>
      <w:r>
        <w:rPr>
          <w:rFonts w:ascii="Arial" w:cs="Arial" w:eastAsia="Arial" w:hAnsi="Arial"/>
          <w:sz w:val="18"/>
          <w:szCs w:val="18"/>
          <w:color w:val="auto"/>
        </w:rPr>
        <w:t>. The obligation of each Lender to make Incremental Tranche A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Loans shall be subject to the delivery of a Borrowing Notice as required pursuant to </w:t>
      </w:r>
      <w:r>
        <w:rPr>
          <w:rFonts w:ascii="Arial" w:cs="Arial" w:eastAsia="Arial" w:hAnsi="Arial"/>
          <w:sz w:val="18"/>
          <w:szCs w:val="18"/>
          <w:b w:val="1"/>
          <w:bCs w:val="1"/>
          <w:color w:val="auto"/>
        </w:rPr>
        <w:t>Section 2.02</w:t>
      </w:r>
      <w:r>
        <w:rPr>
          <w:rFonts w:ascii="Arial" w:cs="Arial" w:eastAsia="Arial" w:hAnsi="Arial"/>
          <w:sz w:val="18"/>
          <w:szCs w:val="18"/>
          <w:color w:val="auto"/>
        </w:rPr>
        <w:t xml:space="preserve">, and the prior or concurrent satisfaction or waiver of each of the conditions precedent set forth below in this </w:t>
      </w:r>
      <w:r>
        <w:rPr>
          <w:rFonts w:ascii="Arial" w:cs="Arial" w:eastAsia="Arial" w:hAnsi="Arial"/>
          <w:sz w:val="18"/>
          <w:szCs w:val="18"/>
          <w:b w:val="1"/>
          <w:bCs w:val="1"/>
          <w:color w:val="auto"/>
        </w:rPr>
        <w:t>Section 6.03</w:t>
      </w:r>
      <w:r>
        <w:rPr>
          <w:rFonts w:ascii="Arial" w:cs="Arial" w:eastAsia="Arial" w:hAnsi="Arial"/>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143. Funding Date Certificate</w:t>
      </w:r>
      <w:r>
        <w:rPr>
          <w:rFonts w:ascii="Arial" w:cs="Arial" w:eastAsia="Arial" w:hAnsi="Arial"/>
          <w:sz w:val="18"/>
          <w:szCs w:val="18"/>
          <w:color w:val="auto"/>
        </w:rPr>
        <w:t>. The Administrative Agent shall have received a Funding Date Certificate substantially in the form of</w:t>
      </w:r>
      <w:r>
        <w:rPr>
          <w:rFonts w:ascii="Arial" w:cs="Arial" w:eastAsia="Arial" w:hAnsi="Arial"/>
          <w:sz w:val="18"/>
          <w:szCs w:val="18"/>
          <w:b w:val="1"/>
          <w:bCs w:val="1"/>
          <w:color w:val="auto"/>
        </w:rPr>
        <w:t xml:space="preserve"> Exhibit C </w:t>
      </w:r>
      <w:r>
        <w:rPr>
          <w:rFonts w:ascii="Arial" w:cs="Arial" w:eastAsia="Arial" w:hAnsi="Arial"/>
          <w:sz w:val="18"/>
          <w:szCs w:val="18"/>
          <w:color w:val="auto"/>
        </w:rPr>
        <w:t>dated as of the Applicable Funding Date, duly executed and delivered by a Responsible Officer of the Borrower.</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SECTION 144. Delivery of Notes</w:t>
      </w:r>
      <w:r>
        <w:rPr>
          <w:rFonts w:ascii="Arial" w:cs="Arial" w:eastAsia="Arial" w:hAnsi="Arial"/>
          <w:sz w:val="18"/>
          <w:szCs w:val="18"/>
          <w:color w:val="auto"/>
        </w:rPr>
        <w:t>. The Administrative Agent shall have received a Note (or an amendment and restatement of an existing Note)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extent requested by any Lender pursuant to </w:t>
      </w:r>
      <w:r>
        <w:rPr>
          <w:rFonts w:ascii="Arial" w:cs="Arial" w:eastAsia="Arial" w:hAnsi="Arial"/>
          <w:sz w:val="18"/>
          <w:szCs w:val="18"/>
          <w:b w:val="1"/>
          <w:bCs w:val="1"/>
          <w:color w:val="auto"/>
        </w:rPr>
        <w:t>Section 2.04</w:t>
      </w:r>
      <w:r>
        <w:rPr>
          <w:rFonts w:ascii="Arial" w:cs="Arial" w:eastAsia="Arial" w:hAnsi="Arial"/>
          <w:sz w:val="18"/>
          <w:szCs w:val="18"/>
          <w:color w:val="auto"/>
        </w:rPr>
        <w:t xml:space="preserve"> for the Tranche A Term Loans of such Lender, duly executed and delivered by a Responsible Officer of the Borrower.</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SECTION 145. Solvency</w:t>
      </w:r>
      <w:r>
        <w:rPr>
          <w:rFonts w:ascii="Arial" w:cs="Arial" w:eastAsia="Arial" w:hAnsi="Arial"/>
          <w:sz w:val="18"/>
          <w:szCs w:val="18"/>
          <w:color w:val="auto"/>
        </w:rPr>
        <w:t>. The Administrative Agent shall have received a solvency certificate, substantially in the form of</w:t>
      </w:r>
      <w:r>
        <w:rPr>
          <w:rFonts w:ascii="Arial" w:cs="Arial" w:eastAsia="Arial" w:hAnsi="Arial"/>
          <w:sz w:val="18"/>
          <w:szCs w:val="18"/>
          <w:b w:val="1"/>
          <w:bCs w:val="1"/>
          <w:color w:val="auto"/>
        </w:rPr>
        <w:t xml:space="preserve"> Exhibit K</w:t>
      </w:r>
      <w:r>
        <w:rPr>
          <w:rFonts w:ascii="Arial" w:cs="Arial" w:eastAsia="Arial" w:hAnsi="Arial"/>
          <w:sz w:val="18"/>
          <w:szCs w:val="18"/>
          <w:color w:val="auto"/>
        </w:rPr>
        <w:t>, duly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by the chief financial officer of the Borrower, dated as of the Incremental Tranche A Funding Date, in form and substance reasonably satisfactory to the Administrative Agent.</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SECTION 146. Fees, Expenses, Etc</w:t>
      </w:r>
      <w:r>
        <w:rPr>
          <w:rFonts w:ascii="Arial" w:cs="Arial" w:eastAsia="Arial" w:hAnsi="Arial"/>
          <w:sz w:val="18"/>
          <w:szCs w:val="18"/>
          <w:color w:val="auto"/>
        </w:rPr>
        <w:t>. Each of the Administrative Agent and each Lender shall have received for its own account all Commitment Fees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fees, costs and expenses due and payable to it on or prior to the Incremental Tranche A Funding Date pursuant to the Fee Letter, </w:t>
      </w:r>
      <w:r>
        <w:rPr>
          <w:rFonts w:ascii="Arial" w:cs="Arial" w:eastAsia="Arial" w:hAnsi="Arial"/>
          <w:sz w:val="18"/>
          <w:szCs w:val="18"/>
          <w:b w:val="1"/>
          <w:bCs w:val="1"/>
          <w:color w:val="auto"/>
        </w:rPr>
        <w:t>Section 2.06</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14.03</w:t>
      </w:r>
      <w:r>
        <w:rPr>
          <w:rFonts w:ascii="Arial" w:cs="Arial" w:eastAsia="Arial" w:hAnsi="Arial"/>
          <w:sz w:val="18"/>
          <w:szCs w:val="18"/>
          <w:color w:val="auto"/>
        </w:rPr>
        <w:t>, including all reasonable and documented closing costs and fees and all unpaid reasonable and documented expenses of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incurred in connection with the Transactions (including the Administrative Agent’s reasonable and documented legal fees and expenses) in each case, to the extent invoiced (or as to which a good faith estimate has been provided to the Borrower) at least two (2) Business Days prior to the Incremental Tranche A Funding Date.</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147. Material Adverse Change. </w:t>
      </w:r>
      <w:r>
        <w:rPr>
          <w:rFonts w:ascii="Arial" w:cs="Arial" w:eastAsia="Arial" w:hAnsi="Arial"/>
          <w:sz w:val="18"/>
          <w:szCs w:val="18"/>
          <w:color w:val="auto"/>
        </w:rPr>
        <w:t>Since the First Amendment Effective Date, no event, circumstance or change shall have occurred that has</w:t>
      </w:r>
      <w:r>
        <w:rPr>
          <w:rFonts w:ascii="Arial" w:cs="Arial" w:eastAsia="Arial" w:hAnsi="Arial"/>
          <w:sz w:val="18"/>
          <w:szCs w:val="18"/>
          <w:b w:val="1"/>
          <w:bCs w:val="1"/>
          <w:color w:val="auto"/>
        </w:rPr>
        <w:t xml:space="preserve"> </w:t>
      </w:r>
      <w:r>
        <w:rPr>
          <w:rFonts w:ascii="Arial" w:cs="Arial" w:eastAsia="Arial" w:hAnsi="Arial"/>
          <w:sz w:val="18"/>
          <w:szCs w:val="18"/>
          <w:color w:val="auto"/>
        </w:rPr>
        <w:t>caused or would reasonably be expected to cause, either individually or in the aggregate, a Material Adverse Change, both before and after giving effect to the Incremental Tranche A Term Loans to be made on the Incremental Tranche A Funding Date.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8" w:name="page129"/>
    <w:bookmarkEnd w:id="128"/>
    <w:p>
      <w:pPr>
        <w:jc w:val="both"/>
        <w:spacing w:after="0" w:line="347" w:lineRule="auto"/>
        <w:rPr>
          <w:sz w:val="20"/>
          <w:szCs w:val="20"/>
          <w:color w:val="auto"/>
        </w:rPr>
      </w:pPr>
      <w:r>
        <w:rPr>
          <w:rFonts w:ascii="Arial" w:cs="Arial" w:eastAsia="Arial" w:hAnsi="Arial"/>
          <w:sz w:val="16"/>
          <w:szCs w:val="16"/>
          <w:b w:val="1"/>
          <w:bCs w:val="1"/>
          <w:color w:val="auto"/>
        </w:rPr>
        <w:t>SECTION 148. No Payment or Bankruptcy Default</w:t>
      </w:r>
      <w:r>
        <w:rPr>
          <w:rFonts w:ascii="Arial" w:cs="Arial" w:eastAsia="Arial" w:hAnsi="Arial"/>
          <w:sz w:val="16"/>
          <w:szCs w:val="16"/>
          <w:color w:val="auto"/>
        </w:rPr>
        <w:t>. No event shall have occurred or be continuing or would result from the making of the Incremental</w:t>
      </w:r>
      <w:r>
        <w:rPr>
          <w:rFonts w:ascii="Arial" w:cs="Arial" w:eastAsia="Arial" w:hAnsi="Arial"/>
          <w:sz w:val="16"/>
          <w:szCs w:val="16"/>
          <w:b w:val="1"/>
          <w:bCs w:val="1"/>
          <w:color w:val="auto"/>
        </w:rPr>
        <w:t xml:space="preserve"> </w:t>
      </w:r>
      <w:r>
        <w:rPr>
          <w:rFonts w:ascii="Arial" w:cs="Arial" w:eastAsia="Arial" w:hAnsi="Arial"/>
          <w:sz w:val="16"/>
          <w:szCs w:val="16"/>
          <w:color w:val="auto"/>
        </w:rPr>
        <w:t>Tranche A Term Loans on the Incremental Tranche A Funding Date that would constitute an Event of Default under any of Section 11.01(a), (b) or (h).</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SECTION 149. Representations and Warranties; Updated Schedules</w:t>
      </w:r>
      <w:r>
        <w:rPr>
          <w:rFonts w:ascii="Arial" w:cs="Arial" w:eastAsia="Arial" w:hAnsi="Arial"/>
          <w:sz w:val="16"/>
          <w:szCs w:val="16"/>
          <w:color w:val="auto"/>
        </w:rPr>
        <w:t>. The Specified Representations shall be true and correct in all material respects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(unless such representations are already qualified by reference to materiality, Material Adverse Effect or similar language, in which case such representations and warranties shall be true and correct in all respects) on and as of the Incremental Tranche A Funding Date, except to the extent such representations and warranties specifically relate to an earlier date, in which case such representations and warranties shall have been true and correct in all material respects on and as of such earlier date. The Borrower shall have delivered to the Administrative Agent updated copies of </w:t>
      </w:r>
      <w:r>
        <w:rPr>
          <w:rFonts w:ascii="Arial" w:cs="Arial" w:eastAsia="Arial" w:hAnsi="Arial"/>
          <w:sz w:val="16"/>
          <w:szCs w:val="16"/>
          <w:b w:val="1"/>
          <w:bCs w:val="1"/>
          <w:color w:val="auto"/>
        </w:rPr>
        <w:t>Schedules 4</w:t>
      </w:r>
      <w:r>
        <w:rPr>
          <w:rFonts w:ascii="Arial" w:cs="Arial" w:eastAsia="Arial" w:hAnsi="Arial"/>
          <w:sz w:val="16"/>
          <w:szCs w:val="16"/>
          <w:color w:val="auto"/>
        </w:rPr>
        <w:t xml:space="preserve">, </w:t>
      </w:r>
      <w:r>
        <w:rPr>
          <w:rFonts w:ascii="Arial" w:cs="Arial" w:eastAsia="Arial" w:hAnsi="Arial"/>
          <w:sz w:val="16"/>
          <w:szCs w:val="16"/>
          <w:b w:val="1"/>
          <w:bCs w:val="1"/>
          <w:color w:val="auto"/>
        </w:rPr>
        <w:t>7.05(b)</w:t>
      </w:r>
      <w:r>
        <w:rPr>
          <w:rFonts w:ascii="Arial" w:cs="Arial" w:eastAsia="Arial" w:hAnsi="Arial"/>
          <w:sz w:val="16"/>
          <w:szCs w:val="16"/>
          <w:color w:val="auto"/>
        </w:rPr>
        <w:t xml:space="preserve">, </w:t>
      </w:r>
      <w:r>
        <w:rPr>
          <w:rFonts w:ascii="Arial" w:cs="Arial" w:eastAsia="Arial" w:hAnsi="Arial"/>
          <w:sz w:val="16"/>
          <w:szCs w:val="16"/>
          <w:b w:val="1"/>
          <w:bCs w:val="1"/>
          <w:color w:val="auto"/>
        </w:rPr>
        <w:t>7.06(c)</w:t>
      </w:r>
      <w:r>
        <w:rPr>
          <w:rFonts w:ascii="Arial" w:cs="Arial" w:eastAsia="Arial" w:hAnsi="Arial"/>
          <w:sz w:val="16"/>
          <w:szCs w:val="16"/>
          <w:color w:val="auto"/>
        </w:rPr>
        <w:t>,</w:t>
      </w:r>
      <w:r>
        <w:rPr>
          <w:rFonts w:ascii="Arial" w:cs="Arial" w:eastAsia="Arial" w:hAnsi="Arial"/>
          <w:sz w:val="16"/>
          <w:szCs w:val="16"/>
          <w:b w:val="1"/>
          <w:bCs w:val="1"/>
          <w:color w:val="auto"/>
        </w:rPr>
        <w:t xml:space="preserve"> 7.12</w:t>
      </w:r>
      <w:r>
        <w:rPr>
          <w:rFonts w:ascii="Arial" w:cs="Arial" w:eastAsia="Arial" w:hAnsi="Arial"/>
          <w:sz w:val="16"/>
          <w:szCs w:val="16"/>
          <w:color w:val="auto"/>
        </w:rPr>
        <w:t>,</w:t>
      </w:r>
      <w:r>
        <w:rPr>
          <w:rFonts w:ascii="Arial" w:cs="Arial" w:eastAsia="Arial" w:hAnsi="Arial"/>
          <w:sz w:val="16"/>
          <w:szCs w:val="16"/>
          <w:b w:val="1"/>
          <w:bCs w:val="1"/>
          <w:color w:val="auto"/>
        </w:rPr>
        <w:t xml:space="preserve"> 7.16</w:t>
      </w:r>
      <w:r>
        <w:rPr>
          <w:rFonts w:ascii="Arial" w:cs="Arial" w:eastAsia="Arial" w:hAnsi="Arial"/>
          <w:sz w:val="16"/>
          <w:szCs w:val="16"/>
          <w:color w:val="auto"/>
        </w:rPr>
        <w:t>,</w:t>
      </w:r>
      <w:r>
        <w:rPr>
          <w:rFonts w:ascii="Arial" w:cs="Arial" w:eastAsia="Arial" w:hAnsi="Arial"/>
          <w:sz w:val="16"/>
          <w:szCs w:val="16"/>
          <w:b w:val="1"/>
          <w:bCs w:val="1"/>
          <w:color w:val="auto"/>
        </w:rPr>
        <w:t xml:space="preserve"> 7.17 </w:t>
      </w:r>
      <w:r>
        <w:rPr>
          <w:rFonts w:ascii="Arial" w:cs="Arial" w:eastAsia="Arial" w:hAnsi="Arial"/>
          <w:sz w:val="16"/>
          <w:szCs w:val="16"/>
          <w:color w:val="auto"/>
        </w:rPr>
        <w:t>and</w:t>
      </w:r>
      <w:r>
        <w:rPr>
          <w:rFonts w:ascii="Arial" w:cs="Arial" w:eastAsia="Arial" w:hAnsi="Arial"/>
          <w:sz w:val="16"/>
          <w:szCs w:val="16"/>
          <w:b w:val="1"/>
          <w:bCs w:val="1"/>
          <w:color w:val="auto"/>
        </w:rPr>
        <w:t xml:space="preserve"> 7.23</w:t>
      </w:r>
      <w:r>
        <w:rPr>
          <w:rFonts w:ascii="Arial" w:cs="Arial" w:eastAsia="Arial" w:hAnsi="Arial"/>
          <w:sz w:val="16"/>
          <w:szCs w:val="16"/>
          <w:color w:val="auto"/>
        </w:rPr>
        <w:t>, to the extent required to satisfy the foregoing requirements set forth in this</w:t>
      </w:r>
      <w:r>
        <w:rPr>
          <w:rFonts w:ascii="Arial" w:cs="Arial" w:eastAsia="Arial" w:hAnsi="Arial"/>
          <w:sz w:val="16"/>
          <w:szCs w:val="16"/>
          <w:b w:val="1"/>
          <w:bCs w:val="1"/>
          <w:color w:val="auto"/>
        </w:rPr>
        <w:t xml:space="preserve"> Section 6.03(g)</w:t>
      </w:r>
      <w:r>
        <w:rPr>
          <w:rFonts w:ascii="Arial" w:cs="Arial" w:eastAsia="Arial" w:hAnsi="Arial"/>
          <w:sz w:val="16"/>
          <w:szCs w:val="16"/>
          <w:color w:val="auto"/>
        </w:rPr>
        <w:t>.</w:t>
      </w:r>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150. Incremental Tranche A Funding Condition</w:t>
      </w:r>
      <w:r>
        <w:rPr>
          <w:rFonts w:ascii="Arial" w:cs="Arial" w:eastAsia="Arial" w:hAnsi="Arial"/>
          <w:sz w:val="18"/>
          <w:szCs w:val="18"/>
          <w:color w:val="auto"/>
        </w:rPr>
        <w:t>. The Incremental Tranche A Funding Condition shall have been satisfied as set forth on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Loans Schedule.</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151. Incremental Tranche A Availability Period</w:t>
      </w:r>
      <w:r>
        <w:rPr>
          <w:rFonts w:ascii="Arial" w:cs="Arial" w:eastAsia="Arial" w:hAnsi="Arial"/>
          <w:sz w:val="18"/>
          <w:szCs w:val="18"/>
          <w:color w:val="auto"/>
        </w:rPr>
        <w:t>. The Incremental Tranche A Term Loans shall be borrowed on or prior to the last day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Incremental Tranche A Availability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Borrower and each other Obligor hereby jointly and severally represents and warrants to the Administrative Agent and each Lender on the Closing Date and each Bringdown Date, as set forth below:</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SECTION 153.Power and Authority</w:t>
      </w:r>
      <w:r>
        <w:rPr>
          <w:rFonts w:ascii="Arial" w:cs="Arial" w:eastAsia="Arial" w:hAnsi="Arial"/>
          <w:sz w:val="16"/>
          <w:szCs w:val="16"/>
          <w:color w:val="auto"/>
        </w:rPr>
        <w:t>. Each Obligor and each of its Subsidiaries (i) is duly incorporated or organized and validly existing under the laws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jurisdiction of incorporation or organization, (ii) has all requisite corporate or other power, and has all Governmental Approvals necessary to own its assets and carry on its business as now being or as proposed to be conducted, except to the extent that failure to have the same would not, individually or in the aggregate, reasonably be expected to result in a Material Adverse Effect, (iii) is qualified to do business and is in good standing in all jurisdictions in which the nature of the business conducted by it makes such qualification necessary except where failure so to qualify would not, individually or in the aggregate, reasonably be expected to result in a Material Adverse Effect, and (iv) has full power, authority and legal right to enter into and perform its obligations under each of the Loan Documents to which it is a party and, in the case of the Borrower, to borrow the Loans hereunder.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9" w:name="page130"/>
    <w:bookmarkEnd w:id="129"/>
    <w:p>
      <w:pPr>
        <w:jc w:val="both"/>
        <w:spacing w:after="0" w:line="291" w:lineRule="auto"/>
        <w:rPr>
          <w:sz w:val="20"/>
          <w:szCs w:val="20"/>
          <w:color w:val="auto"/>
        </w:rPr>
      </w:pPr>
      <w:r>
        <w:rPr>
          <w:rFonts w:ascii="Arial" w:cs="Arial" w:eastAsia="Arial" w:hAnsi="Arial"/>
          <w:sz w:val="16"/>
          <w:szCs w:val="16"/>
          <w:b w:val="1"/>
          <w:bCs w:val="1"/>
          <w:i w:val="1"/>
          <w:iCs w:val="1"/>
          <w:color w:val="auto"/>
        </w:rPr>
        <w:t>SECTION 154. Authorization; Enforceability</w:t>
      </w:r>
      <w:r>
        <w:rPr>
          <w:rFonts w:ascii="Arial" w:cs="Arial" w:eastAsia="Arial" w:hAnsi="Arial"/>
          <w:sz w:val="16"/>
          <w:szCs w:val="16"/>
          <w:color w:val="auto"/>
        </w:rPr>
        <w:t>. Each Transaction to which an Obligor is a party (or to which it or any of its assets or properties is subject)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within such Obligor’s corporate or other organizational powers and have been duly authorized by all necessary corporate or other organizational action including, if required, approval by all necessary holders of its Equity Interests. This Agreement has been duly executed and delivered by each Obligor and constitutes, and each of the other Loan Documents to which it is a party when executed and delivered by such Obligor will constitute, a legal, valid and binding obligation of such Obligor, enforceable against such Obligor in accordance with its terms, except as such enforceability may be limited by (i) bankruptcy, insolvency, reorganization, moratorium or similar laws of general applicability affecting the enforcement of creditors’ rights and (ii) the application of general principles of equity (regardless of whether such enforceability is considered in a proceeding in equity or at law).</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SECTION 155. Governmental and Other Approvals; No Conflicts</w:t>
      </w:r>
      <w:r>
        <w:rPr>
          <w:rFonts w:ascii="Arial" w:cs="Arial" w:eastAsia="Arial" w:hAnsi="Arial"/>
          <w:sz w:val="17"/>
          <w:szCs w:val="17"/>
          <w:color w:val="auto"/>
        </w:rPr>
        <w:t>. None of the execution, delivery and performance by each Obligor of the Loan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Documents to which it is a party or the consummation by each Obligor of the Transactions (i) requires any Governmental Approval of, registration or filing with, or any other action by, any Governmental Authority or any other Person, except for (x) such as have been obtained or made and are in full force and effect, (y) filings and recordings in respect of perfecting or recording the Liens created pursuant to the Security Documents, and (z) filings required under applicable securities Laws, (ii) will violate (1) any Law, (2) any Organic Document of any Obligor or any of its Subsidiaries or (3) any order of any Governmental Authority, that in the case of clause (ii)(1) or clause (ii)(3), individually or in the aggregate, would reasonably be expected to result in a Material Adverse Effect, (iii) will violate or result in a default under any Material Agreement binding upon any Obligor or any of its Subsidiaries that, individually or in the aggregate, would reasonably be expected to result in a Material Adverse Effect or (iv) will result in the creation or imposition of any Lien (other than Permitted Liens) on any asset of any Obligor or any of its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156. Financial Statements; Material Adverse Change</w:t>
      </w:r>
      <w:r>
        <w:rPr>
          <w:rFonts w:ascii="Arial" w:cs="Arial" w:eastAsia="Arial" w:hAnsi="Arial"/>
          <w:sz w:val="18"/>
          <w:szCs w:val="18"/>
          <w:color w:val="auto"/>
        </w:rPr>
        <w:t>.</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SECTION 157. Financial Statements</w:t>
      </w:r>
      <w:r>
        <w:rPr>
          <w:rFonts w:ascii="Arial" w:cs="Arial" w:eastAsia="Arial" w:hAnsi="Arial"/>
          <w:sz w:val="18"/>
          <w:szCs w:val="18"/>
          <w:color w:val="auto"/>
        </w:rPr>
        <w:t>. The Borrower has heretofore furnished to the Administrative Agent (who shall forward to the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consolidated financial statements required to be delivered pursuant to this Agreement. Such financial statements present fairly, in all material respects, the consolidated financial position and results of operations and cash flows of the Borrower and its Subsidiaries as of such dates and for such periods in accordance with GAAP, subject to year-end audit adjustments and the absence of footnotes in the case of the statements of the type described in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8.01(a) </w:t>
      </w:r>
      <w:r>
        <w:rPr>
          <w:rFonts w:ascii="Arial" w:cs="Arial" w:eastAsia="Arial" w:hAnsi="Arial"/>
          <w:sz w:val="18"/>
          <w:szCs w:val="18"/>
          <w:color w:val="auto"/>
        </w:rPr>
        <w:t>and</w:t>
      </w:r>
      <w:r>
        <w:rPr>
          <w:rFonts w:ascii="Arial" w:cs="Arial" w:eastAsia="Arial" w:hAnsi="Arial"/>
          <w:sz w:val="18"/>
          <w:szCs w:val="18"/>
          <w:b w:val="1"/>
          <w:bCs w:val="1"/>
          <w:color w:val="auto"/>
        </w:rPr>
        <w:t xml:space="preserve"> (b)</w:t>
      </w:r>
      <w:r>
        <w:rPr>
          <w:rFonts w:ascii="Arial" w:cs="Arial" w:eastAsia="Arial" w:hAnsi="Arial"/>
          <w:sz w:val="18"/>
          <w:szCs w:val="18"/>
          <w:color w:val="auto"/>
        </w:rPr>
        <w:t>.</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158. No Material Adverse Change</w:t>
      </w:r>
      <w:r>
        <w:rPr>
          <w:rFonts w:ascii="Arial" w:cs="Arial" w:eastAsia="Arial" w:hAnsi="Arial"/>
          <w:sz w:val="18"/>
          <w:szCs w:val="18"/>
          <w:color w:val="auto"/>
        </w:rPr>
        <w:t>. Since December 31, 2021, no event, circumstance or change has occurred that has caused or would</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be expected to cause, individually or in the aggregate, a Material Adverse Change.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159. Properties</w:t>
      </w:r>
      <w:r>
        <w:rPr>
          <w:rFonts w:ascii="Arial" w:cs="Arial" w:eastAsia="Arial" w:hAnsi="Arial"/>
          <w:sz w:val="18"/>
          <w:szCs w:val="18"/>
          <w:color w:val="auto"/>
        </w:rPr>
        <w:t>.</w:t>
      </w:r>
    </w:p>
    <w:p>
      <w:pPr>
        <w:spacing w:after="0" w:line="22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SECTION 160. Property Generally</w:t>
      </w:r>
      <w:r>
        <w:rPr>
          <w:rFonts w:ascii="Arial" w:cs="Arial" w:eastAsia="Arial" w:hAnsi="Arial"/>
          <w:sz w:val="16"/>
          <w:szCs w:val="16"/>
          <w:color w:val="auto"/>
        </w:rPr>
        <w:t>. Each Obligor and each of its Subsidiaries has good and marketable title to, or valid leasehold interests in, or license</w:t>
      </w:r>
      <w:r>
        <w:rPr>
          <w:rFonts w:ascii="Arial" w:cs="Arial" w:eastAsia="Arial" w:hAnsi="Arial"/>
          <w:sz w:val="16"/>
          <w:szCs w:val="16"/>
          <w:b w:val="1"/>
          <w:bCs w:val="1"/>
          <w:color w:val="auto"/>
        </w:rPr>
        <w:t xml:space="preserve"> </w:t>
      </w:r>
      <w:r>
        <w:rPr>
          <w:rFonts w:ascii="Arial" w:cs="Arial" w:eastAsia="Arial" w:hAnsi="Arial"/>
          <w:sz w:val="16"/>
          <w:szCs w:val="16"/>
          <w:color w:val="auto"/>
        </w:rPr>
        <w:t>to, all its real and personal property material to its business, including (i) all properties and assets, whether tangible or intangible, relating to its Products or Product Commercialization and Development Activities and (ii) all Material Intellectual Property, in each case, subject only to Permitted Liens.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SECTION 161. Intellectual Property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162. Except as set forth in Schedule 7.05(b)(i),</w:t>
      </w:r>
    </w:p>
    <w:p>
      <w:pPr>
        <w:spacing w:after="0" w:line="22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SECTION 163. </w:t>
      </w:r>
      <w:r>
        <w:rPr>
          <w:rFonts w:ascii="Arial" w:cs="Arial" w:eastAsia="Arial" w:hAnsi="Arial"/>
          <w:sz w:val="16"/>
          <w:szCs w:val="16"/>
          <w:color w:val="auto"/>
        </w:rPr>
        <w:t>the Obligors are the sole and exclusive legal and beneficial owners of all right, title and interest in and to all Material Intellectual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and all other Intellectual Property that is, in each case owned or purported to be owned by Borrower or any of its Subsidiaries, free and clear of:</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SECTION 164. </w:t>
      </w:r>
      <w:r>
        <w:rPr>
          <w:rFonts w:ascii="Arial" w:cs="Arial" w:eastAsia="Arial" w:hAnsi="Arial"/>
          <w:sz w:val="18"/>
          <w:szCs w:val="18"/>
          <w:i w:val="1"/>
          <w:iCs w:val="1"/>
          <w:color w:val="auto"/>
        </w:rPr>
        <w:t>any Claims that would reasonably be expected to result in material liability to any of the Obligors or have a material adverse effect on any</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Product Commercialization and Development Activities with respect to any Product;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SECTION 165. </w:t>
      </w:r>
      <w:r>
        <w:rPr>
          <w:rFonts w:ascii="Arial" w:cs="Arial" w:eastAsia="Arial" w:hAnsi="Arial"/>
          <w:sz w:val="18"/>
          <w:szCs w:val="18"/>
          <w:i w:val="1"/>
          <w:iCs w:val="1"/>
          <w:color w:val="auto"/>
        </w:rPr>
        <w:t>any Liens other than Permitted Liens; 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166. </w:t>
      </w:r>
      <w:r>
        <w:rPr>
          <w:rFonts w:ascii="Arial" w:cs="Arial" w:eastAsia="Arial" w:hAnsi="Arial"/>
          <w:sz w:val="18"/>
          <w:szCs w:val="18"/>
          <w:color w:val="auto"/>
        </w:rPr>
        <w:t>the Obligors own or have sufficient and valid written rights to use all Material 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167. Without limiting Section 7.05(b) (i), and except as set forth in Schedule 7.05(b)(ii):</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168. </w:t>
      </w:r>
      <w:r>
        <w:rPr>
          <w:rFonts w:ascii="Arial" w:cs="Arial" w:eastAsia="Arial" w:hAnsi="Arial"/>
          <w:sz w:val="18"/>
          <w:szCs w:val="18"/>
          <w:color w:val="auto"/>
        </w:rPr>
        <w:t>other than (1) customary restrictions in in-bound licenses of Material Intellectual Property and non-disclosure Contracts, or (2) as would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have been or is permitted by </w:t>
      </w:r>
      <w:r>
        <w:rPr>
          <w:rFonts w:ascii="Arial" w:cs="Arial" w:eastAsia="Arial" w:hAnsi="Arial"/>
          <w:sz w:val="18"/>
          <w:szCs w:val="18"/>
          <w:b w:val="1"/>
          <w:bCs w:val="1"/>
          <w:color w:val="auto"/>
        </w:rPr>
        <w:t>Section 9.09</w:t>
      </w:r>
      <w:r>
        <w:rPr>
          <w:rFonts w:ascii="Arial" w:cs="Arial" w:eastAsia="Arial" w:hAnsi="Arial"/>
          <w:sz w:val="18"/>
          <w:szCs w:val="18"/>
          <w:color w:val="auto"/>
        </w:rPr>
        <w:t>, there are no judgments, licenses, covenants not to sue, grants, Liens (other than Permitted Liens), or other Claims or Contracts relating to any Material Intellectual Property, which materially restrict any Obligor with respect to its use, enforcement, or other exploitation of any Material Intellectual Property or in connection with Product Commercialization and Development Activities with respect to any Product;</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SECTION 169. </w:t>
      </w:r>
      <w:r>
        <w:rPr>
          <w:rFonts w:ascii="Arial" w:cs="Arial" w:eastAsia="Arial" w:hAnsi="Arial"/>
          <w:sz w:val="17"/>
          <w:szCs w:val="17"/>
          <w:color w:val="auto"/>
        </w:rPr>
        <w:t>the operation and conduct of the business of the Borrower or any of its Subsidiaries, including their exploitation of Material Intellectual</w:t>
      </w:r>
      <w:r>
        <w:rPr>
          <w:rFonts w:ascii="Arial" w:cs="Arial" w:eastAsia="Arial" w:hAnsi="Arial"/>
          <w:sz w:val="17"/>
          <w:szCs w:val="17"/>
          <w:b w:val="1"/>
          <w:bCs w:val="1"/>
          <w:color w:val="auto"/>
        </w:rPr>
        <w:t xml:space="preserve"> </w:t>
      </w:r>
      <w:r>
        <w:rPr>
          <w:rFonts w:ascii="Arial" w:cs="Arial" w:eastAsia="Arial" w:hAnsi="Arial"/>
          <w:sz w:val="17"/>
          <w:szCs w:val="17"/>
          <w:color w:val="auto"/>
        </w:rPr>
        <w:t>Property in such Person’s Ordinary Course, does not violate, infringe or constitute a misappropriation of any valid rights arising under any Intellectual Property rights of any other Person in a manner that has resulted in, or would reasonably be expected to result in, material liability or disruption to the businesses of the Borrower or any of its Subsidiaries (including any Product Commercialization and Development Activities);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SECTION 170. </w:t>
      </w:r>
      <w:r>
        <w:rPr>
          <w:rFonts w:ascii="Arial" w:cs="Arial" w:eastAsia="Arial" w:hAnsi="Arial"/>
          <w:sz w:val="17"/>
          <w:szCs w:val="17"/>
          <w:color w:val="auto"/>
        </w:rPr>
        <w:t>(1) there are no material pending Claims, or Claims threatened in writing, against Borrower or any of its Subsidiaries asserted by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Person relating to any of such Person’s Intellectual Property, including any material Claims alleging ownership, invalidity or unenforceability of any Material Intellectual Property, or infringement, misappropriation, or violation of such Person’s Intellectual Property; and (2) neither Borrower nor any of its Subsidiaries has received any notice from, or Claim by, any Person that the operation and conduct of the businesses of the Borrower or any of its Subsidiaries (including their exploitation of Material Intellectual Property), or any Product Commercialization and Development Activities with respect to any Product, infringes upon, violates or constitutes a misappropriation of, any Intellectual Property of any other Person that has or would reasonably be expected to result in material liability to the Borrower or any of its Subsidiaries;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1" w:name="page132"/>
    <w:bookmarkEnd w:id="131"/>
    <w:p>
      <w:pPr>
        <w:jc w:val="both"/>
        <w:spacing w:after="0" w:line="261" w:lineRule="auto"/>
        <w:rPr>
          <w:sz w:val="20"/>
          <w:szCs w:val="20"/>
          <w:color w:val="auto"/>
        </w:rPr>
      </w:pPr>
      <w:r>
        <w:rPr>
          <w:rFonts w:ascii="Arial" w:cs="Arial" w:eastAsia="Arial" w:hAnsi="Arial"/>
          <w:sz w:val="18"/>
          <w:szCs w:val="18"/>
          <w:b w:val="1"/>
          <w:bCs w:val="1"/>
          <w:color w:val="auto"/>
        </w:rPr>
        <w:t xml:space="preserve">SECTION 171. </w:t>
      </w:r>
      <w:r>
        <w:rPr>
          <w:rFonts w:ascii="Arial" w:cs="Arial" w:eastAsia="Arial" w:hAnsi="Arial"/>
          <w:sz w:val="18"/>
          <w:szCs w:val="18"/>
          <w:color w:val="auto"/>
        </w:rPr>
        <w:t>to the knowledge of the Obligors, no Material Intellectual Property is being infringed, violated, or misappropriated by any other Person in</w:t>
      </w:r>
      <w:r>
        <w:rPr>
          <w:rFonts w:ascii="Arial" w:cs="Arial" w:eastAsia="Arial" w:hAnsi="Arial"/>
          <w:sz w:val="18"/>
          <w:szCs w:val="18"/>
          <w:b w:val="1"/>
          <w:bCs w:val="1"/>
          <w:color w:val="auto"/>
        </w:rPr>
        <w:t xml:space="preserve"> </w:t>
      </w:r>
      <w:r>
        <w:rPr>
          <w:rFonts w:ascii="Arial" w:cs="Arial" w:eastAsia="Arial" w:hAnsi="Arial"/>
          <w:sz w:val="18"/>
          <w:szCs w:val="18"/>
          <w:color w:val="auto"/>
        </w:rPr>
        <w:t>any material respect, and neither Borrower nor any of its Subsidiaries has put any other Person on notice of such actual or potential infringement, violation or misappropriation of any such Material Intellectual Property or initiated the enforcement of any Claim with respect to any such Material Intellectual Property;</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172. </w:t>
      </w:r>
      <w:r>
        <w:rPr>
          <w:rFonts w:ascii="Arial" w:cs="Arial" w:eastAsia="Arial" w:hAnsi="Arial"/>
          <w:sz w:val="18"/>
          <w:szCs w:val="18"/>
          <w:color w:val="auto"/>
        </w:rPr>
        <w:t>to the knowledge of the Obligors, all current and former employees and contractors that have developed Material Intellectual Property for</w:t>
      </w:r>
      <w:r>
        <w:rPr>
          <w:rFonts w:ascii="Arial" w:cs="Arial" w:eastAsia="Arial" w:hAnsi="Arial"/>
          <w:sz w:val="18"/>
          <w:szCs w:val="18"/>
          <w:b w:val="1"/>
          <w:bCs w:val="1"/>
          <w:color w:val="auto"/>
        </w:rPr>
        <w:t xml:space="preserve"> </w:t>
      </w:r>
      <w:r>
        <w:rPr>
          <w:rFonts w:ascii="Arial" w:cs="Arial" w:eastAsia="Arial" w:hAnsi="Arial"/>
          <w:sz w:val="18"/>
          <w:szCs w:val="18"/>
          <w:color w:val="auto"/>
        </w:rPr>
        <w:t>or on behalf of Borrower or any of its Subsidiaries have executed written confidentiality and invention assignment Contracts with Borrower or such Subsidiary, as applicable, that irrevocably and presently assign to Borrower or such Subsidiary, as applicable, all rights of such employees and contractors in or to any such Material Intellectual Property, or ownership of such Material Intellectual Property has otherwise vested automatically with an Obligor by operation of Law; and</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173. </w:t>
      </w:r>
      <w:r>
        <w:rPr>
          <w:rFonts w:ascii="Arial" w:cs="Arial" w:eastAsia="Arial" w:hAnsi="Arial"/>
          <w:sz w:val="18"/>
          <w:szCs w:val="18"/>
          <w:color w:val="auto"/>
        </w:rPr>
        <w:t>Borrower and each of its Subsidiaries has taken reasonable precautions to protect the secrecy, confidentiality and value of its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Intellectual Property consisting of Technical Information; and</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174. With respect to Material Intellectual Property consisting of Patents, except as set forth in Schedule 7.05(b)(iii), and without limiting the representations and warranties in Section 7.05(b)(i) and Section 7.05(b)(ii):</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175. </w:t>
      </w:r>
      <w:r>
        <w:rPr>
          <w:rFonts w:ascii="Arial" w:cs="Arial" w:eastAsia="Arial" w:hAnsi="Arial"/>
          <w:sz w:val="18"/>
          <w:szCs w:val="18"/>
          <w:color w:val="auto"/>
        </w:rPr>
        <w:t>each of the issued claims in such Patents is valid and enforceable;</w:t>
      </w:r>
    </w:p>
    <w:p>
      <w:pPr>
        <w:spacing w:after="0" w:line="22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SECTION 176. </w:t>
      </w:r>
      <w:r>
        <w:rPr>
          <w:rFonts w:ascii="Arial" w:cs="Arial" w:eastAsia="Arial" w:hAnsi="Arial"/>
          <w:sz w:val="16"/>
          <w:szCs w:val="16"/>
          <w:color w:val="auto"/>
        </w:rPr>
        <w:t>subsequent to the issuance of such Patents, neither Borrower nor any of its Subsidiaries or, to the knowledge of Obligors, any of its or their</w:t>
      </w:r>
      <w:r>
        <w:rPr>
          <w:rFonts w:ascii="Arial" w:cs="Arial" w:eastAsia="Arial" w:hAnsi="Arial"/>
          <w:sz w:val="16"/>
          <w:szCs w:val="16"/>
          <w:b w:val="1"/>
          <w:bCs w:val="1"/>
          <w:color w:val="auto"/>
        </w:rPr>
        <w:t xml:space="preserve"> </w:t>
      </w:r>
      <w:r>
        <w:rPr>
          <w:rFonts w:ascii="Arial" w:cs="Arial" w:eastAsia="Arial" w:hAnsi="Arial"/>
          <w:sz w:val="16"/>
          <w:szCs w:val="16"/>
          <w:color w:val="auto"/>
        </w:rPr>
        <w:t>predecessors-in-interest, has filed any disclaimer or made or permitted any other voluntary reduction in the scope of the Inventions claimed in such Patents;</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SECTION 177. </w:t>
      </w:r>
      <w:r>
        <w:rPr>
          <w:rFonts w:ascii="Arial" w:cs="Arial" w:eastAsia="Arial" w:hAnsi="Arial"/>
          <w:sz w:val="18"/>
          <w:szCs w:val="18"/>
          <w:color w:val="auto"/>
        </w:rPr>
        <w:t>to the knowledge of the Obligors, (1) no allowable or allowed subject matter of such Patents is subject to any competing conception claims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allowable or allowed subject matter of any patent applications or patents of any third party or has been the subject of any interference, re-examination, opposition, or any other post-grant proceedings, and (2) there is no basis for any such interference, re-examination, opposition,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 grant review, or any other post-grant proceedings, in each case of (1) and (2), (x) as of the Closing Date and (y) as of any Bringdown Date that would not reasonably be expected to result in a Material Adverse Effect or a material adverse effect on any Product Commercialization and Development Activities with respect to any Product;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178. </w:t>
      </w:r>
      <w:r>
        <w:rPr>
          <w:rFonts w:ascii="Arial" w:cs="Arial" w:eastAsia="Arial" w:hAnsi="Arial"/>
          <w:sz w:val="17"/>
          <w:szCs w:val="17"/>
          <w:color w:val="auto"/>
        </w:rPr>
        <w:t>all material maintenance fees, annuities, and the like due and payable on or with respect to any such Patents have been timely paid.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179. No Actions or Proceedings</w:t>
      </w:r>
      <w:r>
        <w:rPr>
          <w:rFonts w:ascii="Arial" w:cs="Arial" w:eastAsia="Arial" w:hAnsi="Arial"/>
          <w:sz w:val="18"/>
          <w:szCs w:val="18"/>
          <w:color w:val="auto"/>
        </w:rPr>
        <w:t>.</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180. Litigation</w:t>
      </w:r>
      <w:r>
        <w:rPr>
          <w:rFonts w:ascii="Arial" w:cs="Arial" w:eastAsia="Arial" w:hAnsi="Arial"/>
          <w:sz w:val="18"/>
          <w:szCs w:val="18"/>
          <w:color w:val="auto"/>
        </w:rPr>
        <w:t>. Except as set forth in</w:t>
      </w:r>
      <w:r>
        <w:rPr>
          <w:rFonts w:ascii="Arial" w:cs="Arial" w:eastAsia="Arial" w:hAnsi="Arial"/>
          <w:sz w:val="18"/>
          <w:szCs w:val="18"/>
          <w:b w:val="1"/>
          <w:bCs w:val="1"/>
          <w:color w:val="auto"/>
        </w:rPr>
        <w:t xml:space="preserve"> Schedule 7.06(a)</w:t>
      </w:r>
      <w:r>
        <w:rPr>
          <w:rFonts w:ascii="Arial" w:cs="Arial" w:eastAsia="Arial" w:hAnsi="Arial"/>
          <w:sz w:val="18"/>
          <w:szCs w:val="18"/>
          <w:color w:val="auto"/>
        </w:rPr>
        <w:t>, there is no litigation, investigation or proceeding pending or, to the knowledge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Obligor threatened in writing, with respect to such Obligor or any such Subsidiaries by or before any Governmental Authority or arbitrator that, (i) individually or in the aggregate, would reasonably be expected to have a Material Adverse Effect or (ii) involves this Agreement or any other Loan Document.</w:t>
      </w:r>
    </w:p>
    <w:p>
      <w:pPr>
        <w:spacing w:after="0" w:line="18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SECTION 181. Environmental Matters</w:t>
      </w:r>
      <w:r>
        <w:rPr>
          <w:rFonts w:ascii="Arial" w:cs="Arial" w:eastAsia="Arial" w:hAnsi="Arial"/>
          <w:sz w:val="17"/>
          <w:szCs w:val="17"/>
          <w:color w:val="auto"/>
        </w:rPr>
        <w:t>. Except with respect to any matters that (either individually or in the aggregate) would not reasonably be</w:t>
      </w:r>
      <w:r>
        <w:rPr>
          <w:rFonts w:ascii="Arial" w:cs="Arial" w:eastAsia="Arial" w:hAnsi="Arial"/>
          <w:sz w:val="17"/>
          <w:szCs w:val="17"/>
          <w:b w:val="1"/>
          <w:bCs w:val="1"/>
          <w:color w:val="auto"/>
        </w:rPr>
        <w:t xml:space="preserve"> </w:t>
      </w:r>
      <w:r>
        <w:rPr>
          <w:rFonts w:ascii="Arial" w:cs="Arial" w:eastAsia="Arial" w:hAnsi="Arial"/>
          <w:sz w:val="17"/>
          <w:szCs w:val="17"/>
          <w:color w:val="auto"/>
        </w:rPr>
        <w:t>expected to result in a Material Adverse Effect, no Obligor nor any of its Subsidiaries (i) has failed to comply with any Environmental Law in all material respects or to obtain, maintain or comply with any material permit, license or other approval required under any Environmental Law, (ii) has become subject to any material Environmental Liability, (iii) has received any material Environmental Claim, or has knowledge that any is threatened, (iv) has entered into any agreement in which such Obligor or any Subsidiary has assumed or undertaken material responsibility or obligations of any other person with respect to any Environmental Liability or (v) has knowledge of any basis for any other material Environmental Liability.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2" w:name="page133"/>
    <w:bookmarkEnd w:id="132"/>
    <w:p>
      <w:pPr>
        <w:jc w:val="both"/>
        <w:spacing w:after="0" w:line="273" w:lineRule="auto"/>
        <w:rPr>
          <w:sz w:val="20"/>
          <w:szCs w:val="20"/>
          <w:color w:val="auto"/>
        </w:rPr>
      </w:pPr>
      <w:r>
        <w:rPr>
          <w:rFonts w:ascii="Arial" w:cs="Arial" w:eastAsia="Arial" w:hAnsi="Arial"/>
          <w:sz w:val="17"/>
          <w:szCs w:val="17"/>
          <w:b w:val="1"/>
          <w:bCs w:val="1"/>
          <w:color w:val="auto"/>
        </w:rPr>
        <w:t>SECTION 182. Labor Matters</w:t>
      </w:r>
      <w:r>
        <w:rPr>
          <w:rFonts w:ascii="Arial" w:cs="Arial" w:eastAsia="Arial" w:hAnsi="Arial"/>
          <w:sz w:val="17"/>
          <w:szCs w:val="17"/>
          <w:color w:val="auto"/>
        </w:rPr>
        <w:t>. No Obligor or any of its Subsidiaries has engaged in unfair labor practices as defined in 29 U.S.C. § §152(8) and 158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National Labor Relations Act and there are no pending or, to the knowledge of any Obligor, threatened in writing labor actions, disputes, grievances, arbitration proceedings, or similar Claims or actions involving the employees of any Obligor or any of its Subsidiaries, in each case, that would reasonably be expected to have a Material Adverse Effect. There are no strike or work stoppages in existence or, to the knowledge of any Obligor, threatened in writing against such Obligor and to the knowledge of such Obligor, no union organizing activity is taking place, in each case, that would reasonably be expected to have a Material Adverse Effect. Except as set forth on </w:t>
      </w:r>
      <w:r>
        <w:rPr>
          <w:rFonts w:ascii="Arial" w:cs="Arial" w:eastAsia="Arial" w:hAnsi="Arial"/>
          <w:sz w:val="17"/>
          <w:szCs w:val="17"/>
          <w:b w:val="1"/>
          <w:bCs w:val="1"/>
          <w:color w:val="auto"/>
        </w:rPr>
        <w:t>Schedule 7.06(c)</w:t>
      </w:r>
      <w:r>
        <w:rPr>
          <w:rFonts w:ascii="Arial" w:cs="Arial" w:eastAsia="Arial" w:hAnsi="Arial"/>
          <w:sz w:val="17"/>
          <w:szCs w:val="17"/>
          <w:color w:val="auto"/>
        </w:rPr>
        <w:t xml:space="preserve"> (as such schedule may be updated on any Bringdown Date), there are no collective bargaining agreements covering employees of any Obligor or any of its Subsidiaries</w:t>
      </w:r>
      <w:r>
        <w:rPr>
          <w:rFonts w:ascii="Arial" w:cs="Arial" w:eastAsia="Arial" w:hAnsi="Arial"/>
          <w:sz w:val="17"/>
          <w:szCs w:val="17"/>
          <w:i w:val="1"/>
          <w:iCs w:val="1"/>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183. Compliance with Laws and Agreements</w:t>
      </w:r>
      <w:r>
        <w:rPr>
          <w:rFonts w:ascii="Arial" w:cs="Arial" w:eastAsia="Arial" w:hAnsi="Arial"/>
          <w:sz w:val="18"/>
          <w:szCs w:val="18"/>
          <w:color w:val="auto"/>
        </w:rPr>
        <w:t>.</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SECTION 184.</w:t>
      </w:r>
      <w:r>
        <w:rPr>
          <w:rFonts w:ascii="Arial" w:cs="Arial" w:eastAsia="Arial" w:hAnsi="Arial"/>
          <w:sz w:val="18"/>
          <w:szCs w:val="18"/>
          <w:color w:val="auto"/>
        </w:rPr>
        <w:t>(i) Each Obligor is and, during the past three (3) years, has been in compliance with all applicable Laws and all Contracts binding upon it</w:t>
      </w:r>
      <w:r>
        <w:rPr>
          <w:rFonts w:ascii="Arial" w:cs="Arial" w:eastAsia="Arial" w:hAnsi="Arial"/>
          <w:sz w:val="18"/>
          <w:szCs w:val="18"/>
          <w:b w:val="1"/>
          <w:bCs w:val="1"/>
          <w:color w:val="auto"/>
        </w:rPr>
        <w:t xml:space="preserve"> </w:t>
      </w:r>
      <w:r>
        <w:rPr>
          <w:rFonts w:ascii="Arial" w:cs="Arial" w:eastAsia="Arial" w:hAnsi="Arial"/>
          <w:sz w:val="18"/>
          <w:szCs w:val="18"/>
          <w:color w:val="auto"/>
        </w:rPr>
        <w:t>or its property, except, in each case, where the failure to do so would not, individually or in the aggregate, reasonably be expected to result in a Material Adverse Effect, (ii) no Default has occurred and is continuing, and (iii) the Obligors and their Subsidiaries are and, during the past three (3) years have been, and all Product Commercialization and Development Activities of such Persons are being and, during the past three (3) years have been, conducted in compliance with all applicable Healthcare Laws, except where such failure to comply would not, individually or in the aggregate, reasonably be expected to result in a Material Adverse Effect.</w:t>
      </w:r>
    </w:p>
    <w:p>
      <w:pPr>
        <w:spacing w:after="0" w:line="191" w:lineRule="exact"/>
        <w:rPr>
          <w:sz w:val="20"/>
          <w:szCs w:val="20"/>
          <w:color w:val="auto"/>
        </w:rPr>
      </w:pPr>
    </w:p>
    <w:p>
      <w:pPr>
        <w:jc w:val="both"/>
        <w:ind w:firstLine="656"/>
        <w:spacing w:after="0" w:line="271" w:lineRule="auto"/>
        <w:tabs>
          <w:tab w:leader="none" w:pos="922"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the knowledge of the Obligors, any physician, other licensed healthcare professional, or any other Person who is in a position to refer patients or other business to the Borrower, any other Obligor or any Subsidiaries (collectively, a “</w:t>
      </w:r>
      <w:r>
        <w:rPr>
          <w:rFonts w:ascii="Arial" w:cs="Arial" w:eastAsia="Arial" w:hAnsi="Arial"/>
          <w:sz w:val="17"/>
          <w:szCs w:val="17"/>
          <w:b w:val="1"/>
          <w:bCs w:val="1"/>
          <w:i w:val="1"/>
          <w:iCs w:val="1"/>
          <w:color w:val="auto"/>
        </w:rPr>
        <w:t>Referral Source</w:t>
      </w:r>
      <w:r>
        <w:rPr>
          <w:rFonts w:ascii="Arial" w:cs="Arial" w:eastAsia="Arial" w:hAnsi="Arial"/>
          <w:sz w:val="17"/>
          <w:szCs w:val="17"/>
          <w:color w:val="auto"/>
        </w:rPr>
        <w:t>”) who has a direct ownership, investment, or financial interest in the Borrower, any other Obligor or any such Subsidiary paid fair market value for such ownership, investment or financial interest; any ownership or investment returns distributed to any Referral Source is in proportion to such Referral Source’s ownership, investment or financial interest; and no preferential treatment or more favorable terms were or are offered to such Referral Source compared to investors or owners who are not in a position to refer patients or other business. No Obligor, nor any of its Subsidiaries, directly or indirectly, has or will guarantee a loan, make a payment toward a loan or otherwise subsidize a loan for any Referral Source including, without limitation, any loans related to financing the Referral Source’s ownership, investment or financial interest in the Borrower, any other Obligor or any such Subsidiary.</w:t>
      </w:r>
    </w:p>
    <w:p>
      <w:pPr>
        <w:spacing w:after="0" w:line="178" w:lineRule="exact"/>
        <w:rPr>
          <w:rFonts w:ascii="Arial" w:cs="Arial" w:eastAsia="Arial" w:hAnsi="Arial"/>
          <w:sz w:val="17"/>
          <w:szCs w:val="17"/>
          <w:color w:val="auto"/>
        </w:rPr>
      </w:pPr>
    </w:p>
    <w:p>
      <w:pPr>
        <w:ind w:left="900" w:hanging="244"/>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SECTION 185.Except where the failure to do so would not reasonably be expected to have any Material Adverse Effect, to the knowledge of the Obligors, (a) each Referral Source arrangement complies with the Federal Anti-Kickback Statute, the Stark Law and all other applicable Healthcare Laws, whether U.S., or non-U.S.;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3" w:name="page134"/>
    <w:bookmarkEnd w:id="133"/>
    <w:p>
      <w:pPr>
        <w:jc w:val="both"/>
        <w:spacing w:after="0" w:line="261" w:lineRule="auto"/>
        <w:rPr>
          <w:sz w:val="20"/>
          <w:szCs w:val="20"/>
          <w:color w:val="auto"/>
        </w:rPr>
      </w:pPr>
      <w:r>
        <w:rPr>
          <w:rFonts w:ascii="Arial" w:cs="Arial" w:eastAsia="Arial" w:hAnsi="Arial"/>
          <w:sz w:val="18"/>
          <w:szCs w:val="18"/>
          <w:b w:val="1"/>
          <w:bCs w:val="1"/>
          <w:color w:val="auto"/>
        </w:rPr>
        <w:t>SECTION 186. each Obligor and each of its Subsidiaries shall have implemented policies and procedures to monitor, collect, and report any payments or transfers of value to certain healthcare providers and teaching hospitals, in accordance, in all material respects, with industry standards and the Affordable Care Act of 2010 and the Physician Payments Sunshine Act and their implementing regulations and state disclosure and transparency laws; and</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SECTION 187. each Obligor and each of its Subsidiaries, as applicable, meet all applicable Payor requirements and conditions of participation and are a party to valid participation or other agreements required for payment by such Payors in all material respects. All billing, claims, reporting and documentation practices of each Obligor and each of its Subsidiaries, as applicable are and, during the past three (3) years, have been in compliance with all Healthcare Laws and legally enforceable Payor requirements in all material respects. Neither the Obligor nor any of its Subsidiaries has billed, received or retained any payment or reimbursement in violation of applicable Healthcare Laws or legally enforceable Payor requirements in any material respects. There are no pending audits, recoupments, appeals, or challenges in excess of $1,000,000 with respect to any billings or claims submissions. No audit, investigation, validation review or program integrity review related to the Obligor or any of its Subsidiaries has been conducted by any Payor or Governmental Authority within the past three (3) years which would, individually or in the aggregate, reasonably be expected to have a Material Adverse Effect.</w:t>
      </w:r>
    </w:p>
    <w:p>
      <w:pPr>
        <w:spacing w:after="0" w:line="17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i w:val="1"/>
          <w:iCs w:val="1"/>
          <w:color w:val="auto"/>
        </w:rPr>
        <w:t>SECTION 188. Taxes</w:t>
      </w:r>
      <w:r>
        <w:rPr>
          <w:rFonts w:ascii="Arial" w:cs="Arial" w:eastAsia="Arial" w:hAnsi="Arial"/>
          <w:sz w:val="16"/>
          <w:szCs w:val="16"/>
          <w:color w:val="auto"/>
        </w:rPr>
        <w:t>. Except as set forth on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Schedule 7.08</w:t>
      </w:r>
      <w:r>
        <w:rPr>
          <w:rFonts w:ascii="Arial" w:cs="Arial" w:eastAsia="Arial" w:hAnsi="Arial"/>
          <w:sz w:val="16"/>
          <w:szCs w:val="16"/>
          <w:color w:val="auto"/>
        </w:rPr>
        <w:t>, each Obligor and its Subsidiaries has timely filed or caused to be filed all tax returns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reports required to have been filed and has paid or caused to be paid all taxes required to have been paid by it, except (a) taxes that are being contested in good faith by appropriate proceedings and for which such Obligor or such Subsidiary, as applicable, has set aside on its books adequate reserves with respect thereto in accordance with GAAP or (b) to the extent that the failure to do so would not reasonably be expected to have a Material Adverse Effect.</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SECTION 189. Full Disclosure</w:t>
      </w:r>
      <w:r>
        <w:rPr>
          <w:rFonts w:ascii="Arial" w:cs="Arial" w:eastAsia="Arial" w:hAnsi="Arial"/>
          <w:sz w:val="17"/>
          <w:szCs w:val="17"/>
          <w:color w:val="auto"/>
        </w:rPr>
        <w:t>. None of the reports, financial statements, certificates or other written information (other than projections, forward-looking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information, budgets, estimates and information of a general economic or industry specific nature) furnished by or on behalf of the Obligors to the Administrative Agent (on behalf of itself and the Lenders) in connection with the negotiation of this Agreement and the other Loan Documents or delivered hereunder or thereunder (as modified or supplemented by other information so furnished) contains when furnished any material misstatement of material fact or omits to state any material fact necessary to make the statements therein, in the light of the circumstances under which they were made, not materially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projected financial information, the Borrower represents only that such information was prepared in good faith based upon assumptions believed to be reasonable at the time delivered, and it being understood that such projected financial information and all other forward looking information are not to be viewed as facts and are subject to uncertainties and contingencies, many of which are beyond the control of the Borrower or any of its Subsidiaries, and that actual results during the period or periods covered thereby may differ from such projected results and that the differences may be material.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i w:val="1"/>
          <w:iCs w:val="1"/>
          <w:color w:val="auto"/>
        </w:rPr>
        <w:t>SECTION 190. Investment Company Act and Margin Stock Regulation</w:t>
      </w:r>
      <w:r>
        <w:rPr>
          <w:rFonts w:ascii="Arial" w:cs="Arial" w:eastAsia="Arial" w:hAnsi="Arial"/>
          <w:sz w:val="18"/>
          <w:szCs w:val="18"/>
          <w:color w:val="auto"/>
        </w:rPr>
        <w:t>.</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191. Investment Company Act</w:t>
      </w:r>
      <w:r>
        <w:rPr>
          <w:rFonts w:ascii="Arial" w:cs="Arial" w:eastAsia="Arial" w:hAnsi="Arial"/>
          <w:sz w:val="18"/>
          <w:szCs w:val="18"/>
          <w:color w:val="auto"/>
        </w:rPr>
        <w:t>. No Obligor is an “investment company” as defined in, or subject to regulation under, the Investment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Act of 1940, as amended.</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192. Margin Stock</w:t>
      </w:r>
      <w:r>
        <w:rPr>
          <w:rFonts w:ascii="Arial" w:cs="Arial" w:eastAsia="Arial" w:hAnsi="Arial"/>
          <w:sz w:val="18"/>
          <w:szCs w:val="18"/>
          <w:color w:val="auto"/>
        </w:rPr>
        <w:t>. No Obligor is engaged principally, or as one of its important activities, in the business of extending credit for the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immediate, incidental or ultimate, of buying or carrying Margin Stock, and no part of the proceeds of the Loans will be used, whether immediately, incidentally or ultimately, to buy or carry any Margin Stock, to extend credit to others for the purpose of buying or carrying any Margin Stock, or in any way that is in violation of Regulation T, U or X.</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SECTION 193. Solvency</w:t>
      </w:r>
      <w:r>
        <w:rPr>
          <w:rFonts w:ascii="Arial" w:cs="Arial" w:eastAsia="Arial" w:hAnsi="Arial"/>
          <w:sz w:val="18"/>
          <w:szCs w:val="18"/>
          <w:color w:val="auto"/>
        </w:rPr>
        <w:t>. The Obligors, on a consolidated basis, are and, immediately after giving effect to the making of the Loans, the use of proceeds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thereof, and the consummation of the Transactions, will be, Solvent.</w:t>
      </w:r>
    </w:p>
    <w:p>
      <w:pPr>
        <w:spacing w:after="0" w:line="16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i w:val="1"/>
          <w:iCs w:val="1"/>
          <w:color w:val="auto"/>
        </w:rPr>
        <w:t>SECTION 194. Subsidiaries</w:t>
      </w:r>
      <w:r>
        <w:rPr>
          <w:rFonts w:ascii="Arial" w:cs="Arial" w:eastAsia="Arial" w:hAnsi="Arial"/>
          <w:sz w:val="16"/>
          <w:szCs w:val="16"/>
          <w:color w:val="auto"/>
        </w:rPr>
        <w:t>. Set forth on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Schedule 7.12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 complete and correct list of all direct and indirect Subsidiaries of the Borrower (as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schedule may be updated on any Bringdown Date). Each such Subsidiary is duly organized and validly existing under the jurisdiction of its organization shown in said </w:t>
      </w:r>
      <w:r>
        <w:rPr>
          <w:rFonts w:ascii="Arial" w:cs="Arial" w:eastAsia="Arial" w:hAnsi="Arial"/>
          <w:sz w:val="16"/>
          <w:szCs w:val="16"/>
          <w:b w:val="1"/>
          <w:bCs w:val="1"/>
          <w:color w:val="auto"/>
        </w:rPr>
        <w:t>Schedule 7.12</w:t>
      </w:r>
      <w:r>
        <w:rPr>
          <w:rFonts w:ascii="Arial" w:cs="Arial" w:eastAsia="Arial" w:hAnsi="Arial"/>
          <w:sz w:val="16"/>
          <w:szCs w:val="16"/>
          <w:color w:val="auto"/>
        </w:rPr>
        <w:t xml:space="preserve">, and the percentage ownership by each Obligor of each such Subsidiary thereof is as shown in said </w:t>
      </w:r>
      <w:r>
        <w:rPr>
          <w:rFonts w:ascii="Arial" w:cs="Arial" w:eastAsia="Arial" w:hAnsi="Arial"/>
          <w:sz w:val="16"/>
          <w:szCs w:val="16"/>
          <w:b w:val="1"/>
          <w:bCs w:val="1"/>
          <w:color w:val="auto"/>
        </w:rPr>
        <w:t>Schedule 7.12</w:t>
      </w:r>
      <w:r>
        <w:rPr>
          <w:rFonts w:ascii="Arial" w:cs="Arial" w:eastAsia="Arial" w:hAnsi="Arial"/>
          <w:sz w:val="16"/>
          <w:szCs w:val="16"/>
          <w:color w:val="auto"/>
        </w:rPr>
        <w:t>.</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SECTION 195. Excluded Subsidiaries</w:t>
      </w:r>
      <w:r>
        <w:rPr>
          <w:rFonts w:ascii="Arial" w:cs="Arial" w:eastAsia="Arial" w:hAnsi="Arial"/>
          <w:sz w:val="17"/>
          <w:szCs w:val="17"/>
          <w:color w:val="auto"/>
        </w:rPr>
        <w:t>. Each of the Excluded Subsidiaries as of the Closing Date (a) holds no assets or property (other than</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de minimis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or property necessary to maintain its corporate existence or otherwise comply with applicable Law) and (b) has no revenue.</w:t>
      </w:r>
    </w:p>
    <w:p>
      <w:pPr>
        <w:spacing w:after="0" w:line="14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i w:val="1"/>
          <w:iCs w:val="1"/>
          <w:color w:val="auto"/>
        </w:rPr>
        <w:t>SECTION 196. Material Agreements</w:t>
      </w:r>
      <w:r>
        <w:rPr>
          <w:rFonts w:ascii="Arial" w:cs="Arial" w:eastAsia="Arial" w:hAnsi="Arial"/>
          <w:sz w:val="16"/>
          <w:szCs w:val="16"/>
          <w:color w:val="auto"/>
        </w:rPr>
        <w:t>. Except as set forth on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Schedule 7.14</w:t>
      </w:r>
      <w:r>
        <w:rPr>
          <w:rFonts w:ascii="Arial" w:cs="Arial" w:eastAsia="Arial" w:hAnsi="Arial"/>
          <w:sz w:val="16"/>
          <w:szCs w:val="16"/>
          <w:color w:val="auto"/>
        </w:rPr>
        <w:t>, no Obligor nor any of its Subsidiaries is in default under any Material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(x) as of the Closing Date, in any material respect and (y) as of any Bringdown Date, that would reasonably be expected to result in a Material Adverse Effect or a material adverse effect on any Product Commercialization and Development Activities with respect to any Product, nor does any Obligor have knowledge of any Claim against it or any of its Subsidiaries for any breach of any such Material Agreement in any material respect.</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SECTION 197. Restrictive Agreements</w:t>
      </w:r>
      <w:r>
        <w:rPr>
          <w:rFonts w:ascii="Arial" w:cs="Arial" w:eastAsia="Arial" w:hAnsi="Arial"/>
          <w:sz w:val="18"/>
          <w:szCs w:val="18"/>
          <w:color w:val="auto"/>
        </w:rPr>
        <w:t>. Except as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Schedule 7.15</w:t>
      </w:r>
      <w:r>
        <w:rPr>
          <w:rFonts w:ascii="Arial" w:cs="Arial" w:eastAsia="Arial" w:hAnsi="Arial"/>
          <w:sz w:val="18"/>
          <w:szCs w:val="18"/>
          <w:color w:val="auto"/>
        </w:rPr>
        <w:t>, as of the Closing Date, no Obligor or any of its Subsidiaries is subject to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Restrictive Agreement, except (i) those permitted under </w:t>
      </w:r>
      <w:r>
        <w:rPr>
          <w:rFonts w:ascii="Arial" w:cs="Arial" w:eastAsia="Arial" w:hAnsi="Arial"/>
          <w:sz w:val="18"/>
          <w:szCs w:val="18"/>
          <w:b w:val="1"/>
          <w:bCs w:val="1"/>
          <w:color w:val="auto"/>
        </w:rPr>
        <w:t>Section 9.11</w:t>
      </w:r>
      <w:r>
        <w:rPr>
          <w:rFonts w:ascii="Arial" w:cs="Arial" w:eastAsia="Arial" w:hAnsi="Arial"/>
          <w:sz w:val="18"/>
          <w:szCs w:val="18"/>
          <w:color w:val="auto"/>
        </w:rPr>
        <w:t xml:space="preserve">, (ii) restrictions and conditions imposed by Law or by the Loan Documents, (iii) any stockholder agreement, charter, by-laws, or other organizational documents of an Obligor or any of its Subsidiaries as in effect on the date hereof, (iv) limitations associated with Permitted Liens, and (v) customary restrictions and conditions contained in agreements relating to the sale of a Subsidiary or other property pending such sale,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restrictions and conditions apply only to the Subsidiary or other property that is subject to such agreements and each such sale is permitted hereunder.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5" w:name="page136"/>
    <w:bookmarkEnd w:id="135"/>
    <w:p>
      <w:pPr>
        <w:jc w:val="both"/>
        <w:spacing w:after="0" w:line="261" w:lineRule="auto"/>
        <w:rPr>
          <w:sz w:val="20"/>
          <w:szCs w:val="20"/>
          <w:color w:val="auto"/>
        </w:rPr>
      </w:pPr>
      <w:r>
        <w:rPr>
          <w:rFonts w:ascii="Arial" w:cs="Arial" w:eastAsia="Arial" w:hAnsi="Arial"/>
          <w:sz w:val="18"/>
          <w:szCs w:val="18"/>
          <w:b w:val="1"/>
          <w:bCs w:val="1"/>
          <w:i w:val="1"/>
          <w:iCs w:val="1"/>
          <w:color w:val="auto"/>
        </w:rPr>
        <w:t>SECTION 198. Real Property</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Schedule 7.16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correctly sets forth all real property that is owned or leased by the Obligors (as such schedule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updated on any Bringdown Date), indicating in each case whether the respective property is owned or leased, the identity of the owner and lessee (if applicable) and the location of the respective property. Except as set forth in </w:t>
      </w:r>
      <w:r>
        <w:rPr>
          <w:rFonts w:ascii="Arial" w:cs="Arial" w:eastAsia="Arial" w:hAnsi="Arial"/>
          <w:sz w:val="18"/>
          <w:szCs w:val="18"/>
          <w:b w:val="1"/>
          <w:bCs w:val="1"/>
          <w:color w:val="auto"/>
        </w:rPr>
        <w:t>Schedule 7.16</w:t>
      </w:r>
      <w:r>
        <w:rPr>
          <w:rFonts w:ascii="Arial" w:cs="Arial" w:eastAsia="Arial" w:hAnsi="Arial"/>
          <w:sz w:val="18"/>
          <w:szCs w:val="18"/>
          <w:color w:val="auto"/>
        </w:rPr>
        <w:t xml:space="preserve"> (as such schedule may be updated on any Bringdown Date), no Obligor owns or leases (as tenant thereof) any real property as of the Closing Date.</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SECTION 199. Pension Matters</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Schedule 7.17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sets forth (as such schedule may be updated on any Bringdown Date), a complete and correct list of,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separately identifies, (i) all Title IV Plans, (ii) all Multiemployer Plans and (iii) all material Benefit Plans. Each Qualified Plan, and each trust thereunder, has received a favorable determination or may rely upon an opinion letter for a prototype plan letter from the IRS or an application for such a letter is currently being processed by the IRS with respect thereto and, as of the date of this Agreement, to the knowledge of the Obligors, nothing has occurred that would reasonably be expected to prevent, or cause the loss of, such qualification. Except for those that could not, in the aggregate, reasonably be expected to result in a Material Adverse Effect, (x) each Benefit Plan is in compliance with applicable provisions of ERISA, the Code and other Laws,</w:t>
      </w:r>
    </w:p>
    <w:p>
      <w:pPr>
        <w:spacing w:after="0" w:line="3" w:lineRule="exact"/>
        <w:rPr>
          <w:sz w:val="20"/>
          <w:szCs w:val="20"/>
          <w:color w:val="auto"/>
        </w:rPr>
      </w:pPr>
    </w:p>
    <w:p>
      <w:pPr>
        <w:jc w:val="both"/>
        <w:ind w:firstLine="8"/>
        <w:spacing w:after="0" w:line="268" w:lineRule="auto"/>
        <w:tabs>
          <w:tab w:leader="none" w:pos="26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there are no existing or pending (or to the knowledge of any Obligor, threatened) claims (other than routine claims for benefits in the normal course), sanctions, actions, lawsuits or other proceedings or investigation involving any Benefit Plan to which any Obligor or Subsidiary thereof incurs or otherwise has or could have an obligation or any liability or Claim and (z) no ERISA Event is reasonably expected to occur. The Borrower and each of its ERISA Affiliates has met all applicable requirements under the ERISA Funding Rules with respect to each Title IV Plan, and no waiver of the minimum funding standards under the ERISA Funding Rules has been applied for or obtained. As of the most recent valuation date for any Title IV Plan, the funding target attainment percentage (as defined in Section 430(d)(2) of the Code) is at least sixty percent (60%), and neither any Obligor nor any of its ERISA Affiliates knows of any facts or circumstances that would reasonably be expected to cause the funding target attainment percentage to fall below sixty percent (60%) as of the most recent valuation date. As of the Closing Date, no ERISA Event has occurred in connection with which obligations and liabilities (contingent or otherwise) remain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200. Regulatory Approvals</w:t>
      </w:r>
      <w:r>
        <w:rPr>
          <w:rFonts w:ascii="Arial" w:cs="Arial" w:eastAsia="Arial" w:hAnsi="Arial"/>
          <w:sz w:val="18"/>
          <w:szCs w:val="18"/>
          <w:color w:val="auto"/>
        </w:rPr>
        <w:t>.</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color w:val="auto"/>
        </w:rPr>
        <w:t>Each Obligor and each of its Subsidiaries holds, either directly or through licensees and agents, all Product Authorizations necessary or</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for the Borrower and each of its Subsidiaries to conduct, their respective operations and businesses in the manner currently conducted as of the Closing Date and as of any Bringdown Date, in each case, except where the failure to hold any such Product Authorizations would not reasonably be expected to result in a Material Adverse Effect.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6" w:name="page137"/>
    <w:bookmarkEnd w:id="136"/>
    <w:p>
      <w:pPr>
        <w:jc w:val="both"/>
        <w:spacing w:after="0" w:line="255" w:lineRule="auto"/>
        <w:rPr>
          <w:sz w:val="20"/>
          <w:szCs w:val="20"/>
          <w:color w:val="auto"/>
        </w:rPr>
      </w:pPr>
      <w:r>
        <w:rPr>
          <w:rFonts w:ascii="Arial" w:cs="Arial" w:eastAsia="Arial" w:hAnsi="Arial"/>
          <w:sz w:val="18"/>
          <w:szCs w:val="18"/>
          <w:b w:val="1"/>
          <w:bCs w:val="1"/>
          <w:color w:val="auto"/>
        </w:rPr>
        <w:t xml:space="preserve">SECTION 202. </w:t>
      </w:r>
      <w:r>
        <w:rPr>
          <w:rFonts w:ascii="Arial" w:cs="Arial" w:eastAsia="Arial" w:hAnsi="Arial"/>
          <w:sz w:val="18"/>
          <w:szCs w:val="18"/>
          <w:color w:val="auto"/>
        </w:rPr>
        <w:t>No Obligor nor its Subsidiaries has received during the past three (3) years any written notice from the FDA or any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that (i) it is considering suspending, revoking or materially limiting any Product Authorization, in each case, that would reasonably be expected to result in a Material Adverse Effect, or (ii) as of the Closing Date, it is not likely to approve any applications made to such Governmental Authority with respect to any of the Products or any Material Agreement. To the knowledge of the Obligors, the Obligors and their Subsidiaries have made all required notices, registrations and reports (including field alerts or other reports of adverse drug experiences) and other filings with respect to each Product and their Product Commercialization and Development Activities, in each case, except where the failure to do so would not reasonably be expected to have a Material Adverse Effect.</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SECTION 203. </w:t>
      </w:r>
      <w:r>
        <w:rPr>
          <w:rFonts w:ascii="Arial" w:cs="Arial" w:eastAsia="Arial" w:hAnsi="Arial"/>
          <w:sz w:val="17"/>
          <w:szCs w:val="17"/>
          <w:color w:val="auto"/>
        </w:rPr>
        <w:t>Except as set forth on</w:t>
      </w:r>
      <w:r>
        <w:rPr>
          <w:rFonts w:ascii="Arial" w:cs="Arial" w:eastAsia="Arial" w:hAnsi="Arial"/>
          <w:sz w:val="17"/>
          <w:szCs w:val="17"/>
          <w:b w:val="1"/>
          <w:bCs w:val="1"/>
          <w:color w:val="auto"/>
        </w:rPr>
        <w:t xml:space="preserve"> Schedule 7.18(c)</w:t>
      </w:r>
      <w:r>
        <w:rPr>
          <w:rFonts w:ascii="Arial" w:cs="Arial" w:eastAsia="Arial" w:hAnsi="Arial"/>
          <w:sz w:val="17"/>
          <w:szCs w:val="17"/>
          <w:color w:val="auto"/>
        </w:rPr>
        <w:t>, and without limiting the generality of any other representation or warranty made by any Obligor</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or under any other Loan Document (x) as of the Closing Date and (y) as of any Bringdown Date, in each case, except as would not reasonably be expected to have a Material Adverse Effect: (i) no Obligor, nor any of its Subsidiaries nor, to the knowledge of any Obligor, any of their respective agents, suppliers, licensors or licensees have received any inspection reports, warning letters or notices or similar documents with respect to Products or any Product Commercialization and Development Activities from any Regulatory Authority within the last three (3) years that asserts material lack of compliance with any applicable Healthcare Laws or Product Authorizations; (ii) no Obligor, nor any of its Subsidiaries nor, to the knowledge of any Obligor, any of their respective agents, suppliers, licensors or licensees have received any material notification from any Regulatory Authority within the last three (3) years, asserting that Products or any Product Commercialization and Development Activities lack a required Product Authorization; (iii) there is no pending regulatory action, investigation or inquiry (other than non-material routine or periodic inspections or reviews) against any Obligor, any of its Subsidiaries or, to the knowledge of any Obligor, any of their respective suppliers, licensors or licensees with respect to Products or any Product Commercialization and Development Activities, and, to the knowledge of any Obligor, there is no basis in fact for any material adverse regulatory action against such Obligor or any of its Subsidiaries or, to the knowledge of any Obligor, any of their respective suppliers agents, licensors or licensees with respect to Products or any Product Commercialization and Development Activities; and (iv) without limiting the foregoing, (A) (1) there have been no material product recalls, safety alerts, corrections, withdrawals, marketing suspensions, removals or the like conducted, undertaken or issued by any Obligor or any of its Subsidiaries, whether voluntary, at the request, demand or order of any Regulatory Authority or otherwise, with respect to Products, any Product Commercialization and Development Activities or any Material Product Authorization within the last three (3) years, (2) no such product recall, safety alert, correction, withdrawal, marketing suspension, removal or the like has been requested, demanded or ordered by any Regulatory Authority within the last three (3) years, and, to the knowledge of any Obligor, there is no basis in fact for the issuance of any such product recall, safety alert, correction, withdrawal, marketing suspension, removal or the like with respect to Products or any Product Commercialization and Development Activities, and (B) no material criminal, injunctive, seizure, detention or civil penalty action has been commenced or threatened in writing by any Regulatory Authority within the last three (3) years with respect to or in connection with Products or any Product Commercialization and Development Activities, and there are no consent decrees (including plea agreements) that relate to Products or any Product Commercialization and Development Activities, and, to the knowledge of each Obligor, there is no basis in fact for the commencement of any material criminal injunctive, seizure, detention or civil penalty action by any Regulatory Authority relating to Products or any Product Commercialization and Development Activities or for the issuance of any consent decree. No Obligor nor any of its Subsidiaries, nor, to the knowledge of any Obligor, any of their respective agents, suppliers, licensees or licensors, is employing or utilizing the services of any individual, in connection with Product Commercialization and Development Activities with respect to Products, who has been debarred, suspended or excluded from any federal healthcare program, which would reasonably be expect to have a Material Adverse Effect.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i w:val="1"/>
          <w:iCs w:val="1"/>
          <w:color w:val="auto"/>
        </w:rPr>
        <w:t>SECTION 204. [Reserved]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205. OFAC; Anti-Terrorism Laws</w:t>
      </w:r>
      <w:r>
        <w:rPr>
          <w:rFonts w:ascii="Arial" w:cs="Arial" w:eastAsia="Arial" w:hAnsi="Arial"/>
          <w:sz w:val="18"/>
          <w:szCs w:val="18"/>
          <w:color w:val="auto"/>
        </w:rPr>
        <w:t>.</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206. </w:t>
      </w:r>
      <w:r>
        <w:rPr>
          <w:rFonts w:ascii="Arial" w:cs="Arial" w:eastAsia="Arial" w:hAnsi="Arial"/>
          <w:sz w:val="18"/>
          <w:szCs w:val="18"/>
          <w:color w:val="auto"/>
        </w:rPr>
        <w:t>No Obligor nor any of its Subsidiaries is in violation of any Anti-Terrorism Law or engages in or conspires to engage in any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that evades or avoids, or has the purpose of evading or avoiding, or attempts to violate, any applicable Anti-Terrorism Laws.</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SECTION 207. </w:t>
      </w:r>
      <w:r>
        <w:rPr>
          <w:rFonts w:ascii="Arial" w:cs="Arial" w:eastAsia="Arial" w:hAnsi="Arial"/>
          <w:sz w:val="17"/>
          <w:szCs w:val="17"/>
          <w:color w:val="auto"/>
        </w:rPr>
        <w:t>No Obligor nor any of its Subsidiaries, nor, to the knowledge of any Obligor, any of their respective directors, officers, or employees (i) is</w:t>
      </w:r>
      <w:r>
        <w:rPr>
          <w:rFonts w:ascii="Arial" w:cs="Arial" w:eastAsia="Arial" w:hAnsi="Arial"/>
          <w:sz w:val="17"/>
          <w:szCs w:val="17"/>
          <w:b w:val="1"/>
          <w:bCs w:val="1"/>
          <w:color w:val="auto"/>
        </w:rPr>
        <w:t xml:space="preserve"> </w:t>
      </w:r>
      <w:r>
        <w:rPr>
          <w:rFonts w:ascii="Arial" w:cs="Arial" w:eastAsia="Arial" w:hAnsi="Arial"/>
          <w:sz w:val="17"/>
          <w:szCs w:val="17"/>
          <w:color w:val="auto"/>
        </w:rPr>
        <w:t>currently the target of any Sanctions, (ii) is located, organized or residing in any Designated Jurisdiction in violation of Sanctions, or (iii) is or has been (within the previous five (5) years) engaged in any transaction with, or for the benefit of, any Person who is now or was then the target of Sanctions or who is located, organized or residing in any Designated Jurisdiction, in violation of Sanctions. No Loan, nor the proceeds from any Loan, has been or will be used, directly or, to the knowledge of any Obligor, indirectly, to lend, contribute or provide to, or has been or will be otherwise made available for the purpose of funding, any activity or business in any Designated Jurisdiction in violation of Sanctions or for the purpose of funding any activity or business of any Person located, organized or residing in any Designated Jurisdiction or who is the subject of any Sanctions, in violation of Sanctions, or in any other manner that will result in any violation by any party to this Agreement of Sanctions.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SECTION 208. Anti-Corruption</w:t>
      </w:r>
      <w:r>
        <w:rPr>
          <w:rFonts w:ascii="Arial" w:cs="Arial" w:eastAsia="Arial" w:hAnsi="Arial"/>
          <w:sz w:val="18"/>
          <w:szCs w:val="18"/>
          <w:color w:val="auto"/>
        </w:rPr>
        <w:t>. No Obligor nor any of its Subsidiaries, nor, to the knowledge of any Obligor, any of their respective directors, officers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directly or indirectly, has (i) materially violated or is in material violation of any applicable anti-corruption Law, or (ii) made, offered to make, promised to make or authorized the payment or giving of, directly or indirectly, any Prohibited Payment.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SECTION 209. Priority of Obligations</w:t>
      </w:r>
      <w:r>
        <w:rPr>
          <w:rFonts w:ascii="Arial" w:cs="Arial" w:eastAsia="Arial" w:hAnsi="Arial"/>
          <w:sz w:val="18"/>
          <w:szCs w:val="18"/>
          <w:color w:val="auto"/>
        </w:rPr>
        <w:t>. Unless expressly permitted under the terms of the Loan Documents, the Obligations constitute unsubordinated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of the Obligors, and except for any obligations which have priority under applicable Law, rank at least pari passu in right of payment with all other unsubordinated Indebtedness of the Obligors.</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SECTION 210. Royalty and Other Payments</w:t>
      </w:r>
      <w:r>
        <w:rPr>
          <w:rFonts w:ascii="Arial" w:cs="Arial" w:eastAsia="Arial" w:hAnsi="Arial"/>
          <w:sz w:val="18"/>
          <w:szCs w:val="18"/>
          <w:color w:val="auto"/>
        </w:rPr>
        <w:t>. Unless expressly permitted under the terms of the Loan Documents and except as set forth on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Schedule 7.23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such schedule may be updated on any Bringdown Date), no Obligor, nor any of its Subsidiaries, is obligated to pay any royalty, milestone payment or any other contingent payment in respect of ILEVRO, NEVANAC, MAXIDEX, TRIESENCE, VIGAMOX, IHEEZO, MAXITROL, IOPIDINE, MOXEZA or, on and after the Incremental Tranche A Funding Date, any of the foregoing or VERKAZIA, FLAREX, TOBRADEX ST, NATACYN or CATIONORM PLUS.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8" w:name="page139"/>
    <w:bookmarkEnd w:id="138"/>
    <w:p>
      <w:pPr>
        <w:jc w:val="both"/>
        <w:spacing w:after="0" w:line="254" w:lineRule="auto"/>
        <w:rPr>
          <w:sz w:val="20"/>
          <w:szCs w:val="20"/>
          <w:color w:val="auto"/>
        </w:rPr>
      </w:pPr>
      <w:r>
        <w:rPr>
          <w:rFonts w:ascii="Arial" w:cs="Arial" w:eastAsia="Arial" w:hAnsi="Arial"/>
          <w:sz w:val="18"/>
          <w:szCs w:val="18"/>
          <w:b w:val="1"/>
          <w:bCs w:val="1"/>
          <w:i w:val="1"/>
          <w:iCs w:val="1"/>
          <w:color w:val="auto"/>
        </w:rPr>
        <w:t>SECTION 211. Non-Competes</w:t>
      </w:r>
      <w:r>
        <w:rPr>
          <w:rFonts w:ascii="Arial" w:cs="Arial" w:eastAsia="Arial" w:hAnsi="Arial"/>
          <w:sz w:val="18"/>
          <w:szCs w:val="18"/>
          <w:color w:val="auto"/>
        </w:rPr>
        <w:t>. Neither the Borrower, any other Obligor, nor any of their respective Subsidiaries, nor any of their respective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or employees, is subject to a non-compete agreement that prohibits or will interfere in any material respect with any of the Product Commercialization and Development Activities with respect to ILEVRO, NEVANAC, MAXIDEX, TRIESENCE, VIGAMOX, IHEEZO, MAXITROL, IOPIDINE or MOXEZA, or, on and after the Incremental Tranche A Funding Date, any of the foregoing or VERKAZIA, FLAREX, TOBRADEX ST, NATACYN or CATIONORM PLUS, including the development, commercialization or marketing of ILEVRO, NEVANAC, MAXIDEX, TRIESENCE, VIGAMOX, IHEEZO, MAXITROL, IOPIDINE OR MOXEZA, or, on and after the Incremental Tranche A Funding Date, any of the foregoing or VERKAZIA, FLAREX, TOBRADEX ST, NATACYN or CATIONORM PLUS.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SECTION 212. Reimbursement from Medical Reimbursement Programs</w:t>
      </w:r>
      <w:r>
        <w:rPr>
          <w:rFonts w:ascii="Arial" w:cs="Arial" w:eastAsia="Arial" w:hAnsi="Arial"/>
          <w:sz w:val="18"/>
          <w:szCs w:val="18"/>
          <w:color w:val="auto"/>
        </w:rPr>
        <w:t>. There is no investigation, audit, claim review, or other action pending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to any Obligor or, to the knowledge of any Obligor, threatened in writing which would reasonably be expected to result in a revocation, suspension, termination, probation, restriction, limitation, or non-renewal of any provider number issued to any Obligor or result in the exclusion of any Obligor from Medicare or Medicaid, nor is there any action pending or, to the knowledge of any Obligor, threatened in writing, pursuant to which any Governmental Authority seeks to impose material sanctions with respect to such Obligor’s business, in each case that would reasonably be expected to have a Material Adverse Effect.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213. </w:t>
      </w:r>
      <w:r>
        <w:rPr>
          <w:rFonts w:ascii="Arial" w:cs="Arial" w:eastAsia="Arial" w:hAnsi="Arial"/>
          <w:sz w:val="18"/>
          <w:szCs w:val="18"/>
          <w:color w:val="auto"/>
        </w:rPr>
        <w:t>AFFIRMATIVE COVENANTS</w:t>
      </w:r>
    </w:p>
    <w:p>
      <w:pPr>
        <w:spacing w:after="0" w:line="229"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Each Obligor covenants and agrees with the Administrative Agent and the Lenders that, until the Commitments have expired or been terminated and all Obligations (other than any inchoate indemnification obligations for which no claim has been made) have been paid in full in cash: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214. Financial Statements and Other Information</w:t>
      </w:r>
      <w:r>
        <w:rPr>
          <w:rFonts w:ascii="Arial" w:cs="Arial" w:eastAsia="Arial" w:hAnsi="Arial"/>
          <w:sz w:val="18"/>
          <w:szCs w:val="18"/>
          <w:color w:val="auto"/>
        </w:rPr>
        <w:t>. The Borrower will furnish to the Administrative Agent:</w:t>
      </w:r>
    </w:p>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SECTION 215. </w:t>
      </w:r>
      <w:r>
        <w:rPr>
          <w:rFonts w:ascii="Arial" w:cs="Arial" w:eastAsia="Arial" w:hAnsi="Arial"/>
          <w:sz w:val="17"/>
          <w:szCs w:val="17"/>
          <w:color w:val="auto"/>
        </w:rPr>
        <w:t>as soon as available and in any event within forty-five (45) days after the end of each the first three fiscal quarters of each fiscal year (i)</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consolidated balance sheets of the Borrower and its Subsidiaries as of the end of such fiscal quarter and (ii) the related consolidated statements of income, shareholders’ equity and cash flows of the Borrower and its Subsidiaries for such quarter and the portion of the fiscal year through the end of such fiscal quarter, in each case prepared in accordance with GAAP consistently applied, all in reasonable detail and setting forth in comparative form the figures for the corresponding period in the preceding fiscal year, together with (iii) a certificate of a Responsible Officer of the Borrower stating that (x) such financial statements fairly present in all material respects the financial condition of the Borrower and its Subsidiaries as at such date and (y) the results of operations of the Borrower and its Subsidiaries for the period ended on such date have been prepared in accordance with GAAP consistently applied, subject to changes resulting from normal, year-end audit adjustments and except for the absence of notes;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documents required to be furnished pursuant to this </w:t>
      </w:r>
      <w:r>
        <w:rPr>
          <w:rFonts w:ascii="Arial" w:cs="Arial" w:eastAsia="Arial" w:hAnsi="Arial"/>
          <w:sz w:val="17"/>
          <w:szCs w:val="17"/>
          <w:b w:val="1"/>
          <w:bCs w:val="1"/>
          <w:color w:val="auto"/>
        </w:rPr>
        <w:t>Section 8.01(a)</w:t>
      </w:r>
      <w:r>
        <w:rPr>
          <w:rFonts w:ascii="Arial" w:cs="Arial" w:eastAsia="Arial" w:hAnsi="Arial"/>
          <w:sz w:val="17"/>
          <w:szCs w:val="17"/>
          <w:color w:val="auto"/>
        </w:rPr>
        <w:t xml:space="preserve"> shall be deemed furnished on the date that such documents are publicly available on “EDGAR” or the Borrower’s website (with the related certificate separately delivered);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9" w:name="page140"/>
    <w:bookmarkEnd w:id="139"/>
    <w:p>
      <w:pPr>
        <w:jc w:val="both"/>
        <w:spacing w:after="0" w:line="289" w:lineRule="auto"/>
        <w:rPr>
          <w:sz w:val="20"/>
          <w:szCs w:val="20"/>
          <w:color w:val="auto"/>
        </w:rPr>
      </w:pPr>
      <w:r>
        <w:rPr>
          <w:rFonts w:ascii="Arial" w:cs="Arial" w:eastAsia="Arial" w:hAnsi="Arial"/>
          <w:sz w:val="16"/>
          <w:szCs w:val="16"/>
          <w:b w:val="1"/>
          <w:bCs w:val="1"/>
          <w:color w:val="auto"/>
        </w:rPr>
        <w:t xml:space="preserve">SECTION 216. </w:t>
      </w:r>
      <w:r>
        <w:rPr>
          <w:rFonts w:ascii="Arial" w:cs="Arial" w:eastAsia="Arial" w:hAnsi="Arial"/>
          <w:sz w:val="16"/>
          <w:szCs w:val="16"/>
          <w:color w:val="auto"/>
        </w:rPr>
        <w:t>as soon as available, and in any event within ninety (90) days, after the end of each fiscal year (i) the consolidated balance sheets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Borrower and its Subsidiaries as of the end of such fiscal year and (ii) the related consolidated statements of income, shareholders’ equity and cash flows of the Borrower and its Subsidiaries for such fiscal year, in each case prepared in accordance with GAAP consistently applied, all in reasonable detail and setting forth in comparative form the figures for the previous fiscal year, accompanied by a report and opinion thereon of KMJ Corbin &amp; Company LLP or another firm of independent certified public accountants of recognized national standing reasonably acceptable to the Administrative Agent, which report and opinion shall be prepared in accordance with generally accepted auditing standards and shall not be subject to any “going concern” or like qualification or exception or emphasis of matter of going concern footnote or any qualification or exception as to the scope of such audit, and in the case of such consolidated financial statements, certified by a Responsible Officer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documents required to be furnished pursuant to this </w:t>
      </w:r>
      <w:r>
        <w:rPr>
          <w:rFonts w:ascii="Arial" w:cs="Arial" w:eastAsia="Arial" w:hAnsi="Arial"/>
          <w:sz w:val="16"/>
          <w:szCs w:val="16"/>
          <w:b w:val="1"/>
          <w:bCs w:val="1"/>
          <w:color w:val="auto"/>
        </w:rPr>
        <w:t xml:space="preserve">Section 8.01(b) </w:t>
      </w:r>
      <w:r>
        <w:rPr>
          <w:rFonts w:ascii="Arial" w:cs="Arial" w:eastAsia="Arial" w:hAnsi="Arial"/>
          <w:sz w:val="16"/>
          <w:szCs w:val="16"/>
          <w:color w:val="auto"/>
        </w:rPr>
        <w:t>shall be deemed furnished on the date that such documents are publicly available on “EDGAR” or the Borrower’s website;</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SECTION 217. </w:t>
      </w:r>
      <w:r>
        <w:rPr>
          <w:rFonts w:ascii="Arial" w:cs="Arial" w:eastAsia="Arial" w:hAnsi="Arial"/>
          <w:sz w:val="18"/>
          <w:szCs w:val="18"/>
          <w:color w:val="auto"/>
        </w:rPr>
        <w:t>together with the financial statements required pursuant to</w:t>
      </w:r>
      <w:r>
        <w:rPr>
          <w:rFonts w:ascii="Arial" w:cs="Arial" w:eastAsia="Arial" w:hAnsi="Arial"/>
          <w:sz w:val="18"/>
          <w:szCs w:val="18"/>
          <w:b w:val="1"/>
          <w:bCs w:val="1"/>
          <w:color w:val="auto"/>
        </w:rPr>
        <w:t xml:space="preserve"> Section 8.01(a) </w:t>
      </w:r>
      <w:r>
        <w:rPr>
          <w:rFonts w:ascii="Arial" w:cs="Arial" w:eastAsia="Arial" w:hAnsi="Arial"/>
          <w:sz w:val="18"/>
          <w:szCs w:val="18"/>
          <w:color w:val="auto"/>
        </w:rPr>
        <w:t>and</w:t>
      </w:r>
      <w:r>
        <w:rPr>
          <w:rFonts w:ascii="Arial" w:cs="Arial" w:eastAsia="Arial" w:hAnsi="Arial"/>
          <w:sz w:val="18"/>
          <w:szCs w:val="18"/>
          <w:b w:val="1"/>
          <w:bCs w:val="1"/>
          <w:color w:val="auto"/>
        </w:rPr>
        <w:t xml:space="preserve"> (b)</w:t>
      </w:r>
      <w:r>
        <w:rPr>
          <w:rFonts w:ascii="Arial" w:cs="Arial" w:eastAsia="Arial" w:hAnsi="Arial"/>
          <w:sz w:val="18"/>
          <w:szCs w:val="18"/>
          <w:color w:val="auto"/>
        </w:rPr>
        <w:t>, a compliance certificate signed by a Responsible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Officer of the Borrower as of the end of the applicable accounting period (which delivery may be by electronic communication including fax or email and shall be deemed to be an original, authentic counterpart thereof for all purposes) substantially in the form of </w:t>
      </w:r>
      <w:r>
        <w:rPr>
          <w:rFonts w:ascii="Arial" w:cs="Arial" w:eastAsia="Arial" w:hAnsi="Arial"/>
          <w:sz w:val="18"/>
          <w:szCs w:val="18"/>
          <w:b w:val="1"/>
          <w:bCs w:val="1"/>
          <w:color w:val="auto"/>
        </w:rPr>
        <w:t>Exhibit L</w:t>
      </w:r>
      <w:r>
        <w:rPr>
          <w:rFonts w:ascii="Arial" w:cs="Arial" w:eastAsia="Arial" w:hAnsi="Arial"/>
          <w:sz w:val="18"/>
          <w:szCs w:val="18"/>
          <w:color w:val="auto"/>
        </w:rPr>
        <w:t xml:space="preserve"> (a “</w:t>
      </w:r>
      <w:r>
        <w:rPr>
          <w:rFonts w:ascii="Arial" w:cs="Arial" w:eastAsia="Arial" w:hAnsi="Arial"/>
          <w:sz w:val="18"/>
          <w:szCs w:val="18"/>
          <w:b w:val="1"/>
          <w:bCs w:val="1"/>
          <w:i w:val="1"/>
          <w:iCs w:val="1"/>
          <w:color w:val="auto"/>
        </w:rPr>
        <w:t>Compliance Certificate</w:t>
      </w:r>
      <w:r>
        <w:rPr>
          <w:rFonts w:ascii="Arial" w:cs="Arial" w:eastAsia="Arial" w:hAnsi="Arial"/>
          <w:sz w:val="18"/>
          <w:szCs w:val="18"/>
          <w:color w:val="auto"/>
        </w:rPr>
        <w:t xml:space="preserve">”) including (i) details of any issues that are material that are raised by auditors and any occurrence or existence of any event, circumstance, act or omission that would cause any representation or warranty contained in </w:t>
      </w:r>
      <w:r>
        <w:rPr>
          <w:rFonts w:ascii="Arial" w:cs="Arial" w:eastAsia="Arial" w:hAnsi="Arial"/>
          <w:sz w:val="18"/>
          <w:szCs w:val="18"/>
          <w:b w:val="1"/>
          <w:bCs w:val="1"/>
          <w:color w:val="auto"/>
        </w:rPr>
        <w:t>Section 7.07</w:t>
      </w:r>
      <w:r>
        <w:rPr>
          <w:rFonts w:ascii="Arial" w:cs="Arial" w:eastAsia="Arial" w:hAnsi="Arial"/>
          <w:sz w:val="18"/>
          <w:szCs w:val="18"/>
          <w:color w:val="auto"/>
        </w:rPr>
        <w:t xml:space="preserve">, </w:t>
      </w:r>
      <w:r>
        <w:rPr>
          <w:rFonts w:ascii="Arial" w:cs="Arial" w:eastAsia="Arial" w:hAnsi="Arial"/>
          <w:sz w:val="18"/>
          <w:szCs w:val="18"/>
          <w:b w:val="1"/>
          <w:bCs w:val="1"/>
          <w:color w:val="auto"/>
        </w:rPr>
        <w:t>Section 7.18</w:t>
      </w:r>
      <w:r>
        <w:rPr>
          <w:rFonts w:ascii="Arial" w:cs="Arial" w:eastAsia="Arial" w:hAnsi="Arial"/>
          <w:sz w:val="18"/>
          <w:szCs w:val="18"/>
          <w:color w:val="auto"/>
        </w:rPr>
        <w:t xml:space="preserve"> or </w:t>
      </w:r>
      <w:r>
        <w:rPr>
          <w:rFonts w:ascii="Arial" w:cs="Arial" w:eastAsia="Arial" w:hAnsi="Arial"/>
          <w:sz w:val="18"/>
          <w:szCs w:val="18"/>
          <w:b w:val="1"/>
          <w:bCs w:val="1"/>
          <w:color w:val="auto"/>
        </w:rPr>
        <w:t>Section 7.22</w:t>
      </w:r>
      <w:r>
        <w:rPr>
          <w:rFonts w:ascii="Arial" w:cs="Arial" w:eastAsia="Arial" w:hAnsi="Arial"/>
          <w:sz w:val="18"/>
          <w:szCs w:val="18"/>
          <w:color w:val="auto"/>
        </w:rPr>
        <w:t xml:space="preserve"> to be incorrect in any material respect (or in any respect if such representation or warranty is qualified by materiality or by reference to Material Adverse Effect or Material Adverse Change) if such representation or warranty were to be made at the time of delivery of a Compliance Certificate and (ii) a certification as to whether or not the Borrower is in compliance with the Minimum Net Revenues Covenant as of the last day of such period. For the avoidance of doubt, no representation or warranty contained in </w:t>
      </w:r>
      <w:r>
        <w:rPr>
          <w:rFonts w:ascii="Arial" w:cs="Arial" w:eastAsia="Arial" w:hAnsi="Arial"/>
          <w:sz w:val="18"/>
          <w:szCs w:val="18"/>
          <w:b w:val="1"/>
          <w:bCs w:val="1"/>
          <w:color w:val="auto"/>
        </w:rPr>
        <w:t>Section 7.07</w:t>
      </w:r>
      <w:r>
        <w:rPr>
          <w:rFonts w:ascii="Arial" w:cs="Arial" w:eastAsia="Arial" w:hAnsi="Arial"/>
          <w:sz w:val="18"/>
          <w:szCs w:val="18"/>
          <w:color w:val="auto"/>
        </w:rPr>
        <w:t xml:space="preserve">, </w:t>
      </w:r>
      <w:r>
        <w:rPr>
          <w:rFonts w:ascii="Arial" w:cs="Arial" w:eastAsia="Arial" w:hAnsi="Arial"/>
          <w:sz w:val="18"/>
          <w:szCs w:val="18"/>
          <w:b w:val="1"/>
          <w:bCs w:val="1"/>
          <w:color w:val="auto"/>
        </w:rPr>
        <w:t>Section 7.18</w:t>
      </w:r>
      <w:r>
        <w:rPr>
          <w:rFonts w:ascii="Arial" w:cs="Arial" w:eastAsia="Arial" w:hAnsi="Arial"/>
          <w:sz w:val="18"/>
          <w:szCs w:val="18"/>
          <w:color w:val="auto"/>
        </w:rPr>
        <w:t xml:space="preserve"> or </w:t>
      </w:r>
      <w:r>
        <w:rPr>
          <w:rFonts w:ascii="Arial" w:cs="Arial" w:eastAsia="Arial" w:hAnsi="Arial"/>
          <w:sz w:val="18"/>
          <w:szCs w:val="18"/>
          <w:b w:val="1"/>
          <w:bCs w:val="1"/>
          <w:color w:val="auto"/>
        </w:rPr>
        <w:t>Section 7.22</w:t>
      </w:r>
      <w:r>
        <w:rPr>
          <w:rFonts w:ascii="Arial" w:cs="Arial" w:eastAsia="Arial" w:hAnsi="Arial"/>
          <w:sz w:val="18"/>
          <w:szCs w:val="18"/>
          <w:color w:val="auto"/>
        </w:rPr>
        <w:t xml:space="preserve"> is required to be, shall be or shall be deemed to be made in connection with a delivery of any Compliance Certificate;</w:t>
      </w:r>
    </w:p>
    <w:p>
      <w:pPr>
        <w:spacing w:after="0" w:line="19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SECTION 218. </w:t>
      </w:r>
      <w:r>
        <w:rPr>
          <w:rFonts w:ascii="Arial" w:cs="Arial" w:eastAsia="Arial" w:hAnsi="Arial"/>
          <w:sz w:val="17"/>
          <w:szCs w:val="17"/>
          <w:color w:val="auto"/>
        </w:rPr>
        <w:t>after being prepared by the Borrower and approved by its Board, and promptly following the Administrative Agent’s request therefor,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consolidated budget for the Borrower and its Subsidiaries for the fiscal year to which such budget relates;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each fiscal year, on or before the seventy-fifth (75th) day following the beginning of such fiscal year, the Borrower shall prepare, and its Board shall approve such consolidated budgets for such fiscal year, and the Borrower shall notify the Administrative Agent promptly after the Board has given such approval;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0" w:name="page141"/>
    <w:bookmarkEnd w:id="140"/>
    <w:p>
      <w:pPr>
        <w:jc w:val="both"/>
        <w:spacing w:after="0" w:line="266" w:lineRule="auto"/>
        <w:rPr>
          <w:sz w:val="20"/>
          <w:szCs w:val="20"/>
          <w:color w:val="auto"/>
        </w:rPr>
      </w:pPr>
      <w:r>
        <w:rPr>
          <w:rFonts w:ascii="Arial" w:cs="Arial" w:eastAsia="Arial" w:hAnsi="Arial"/>
          <w:sz w:val="18"/>
          <w:szCs w:val="18"/>
          <w:b w:val="1"/>
          <w:bCs w:val="1"/>
          <w:color w:val="auto"/>
        </w:rPr>
        <w:t xml:space="preserve">SECTION 219. </w:t>
      </w:r>
      <w:r>
        <w:rPr>
          <w:rFonts w:ascii="Arial" w:cs="Arial" w:eastAsia="Arial" w:hAnsi="Arial"/>
          <w:sz w:val="18"/>
          <w:szCs w:val="18"/>
          <w:color w:val="auto"/>
        </w:rPr>
        <w:t>promptly after the same are released, copies of all press releases (other than any press release that is immaterial, routine or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nature);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documents required to be furnished pursuant to this </w:t>
      </w:r>
      <w:r>
        <w:rPr>
          <w:rFonts w:ascii="Arial" w:cs="Arial" w:eastAsia="Arial" w:hAnsi="Arial"/>
          <w:sz w:val="18"/>
          <w:szCs w:val="18"/>
          <w:b w:val="1"/>
          <w:bCs w:val="1"/>
          <w:color w:val="auto"/>
        </w:rPr>
        <w:t>Section 8.01(e)</w:t>
      </w:r>
      <w:r>
        <w:rPr>
          <w:rFonts w:ascii="Arial" w:cs="Arial" w:eastAsia="Arial" w:hAnsi="Arial"/>
          <w:sz w:val="18"/>
          <w:szCs w:val="18"/>
          <w:color w:val="auto"/>
        </w:rPr>
        <w:t xml:space="preserve"> shall be deemed furnished on the date that such documents are publicly available on “EDGAR” or the Borrower’s website;</w:t>
      </w:r>
    </w:p>
    <w:p>
      <w:pPr>
        <w:spacing w:after="0" w:line="17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SECTION 220. </w:t>
      </w:r>
      <w:r>
        <w:rPr>
          <w:rFonts w:ascii="Arial" w:cs="Arial" w:eastAsia="Arial" w:hAnsi="Arial"/>
          <w:sz w:val="16"/>
          <w:szCs w:val="16"/>
          <w:color w:val="auto"/>
        </w:rPr>
        <w:t>promptly, and in any event within five (5) Business Days after receipt thereof by an Obligor thereof, copies of each notice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correspondence received from any securities regulator or exchange to the authority of which any Obligor may become subject from time to time concerning any investigation or possible investigation or other inquiry by such agency regarding financial or other operational results of such Obligor, in each case, excluding any investigation or inquiry that is immaterial, routine or administrative in nature;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documents required to be furnished pursuant to this </w:t>
      </w:r>
      <w:r>
        <w:rPr>
          <w:rFonts w:ascii="Arial" w:cs="Arial" w:eastAsia="Arial" w:hAnsi="Arial"/>
          <w:sz w:val="16"/>
          <w:szCs w:val="16"/>
          <w:b w:val="1"/>
          <w:bCs w:val="1"/>
          <w:color w:val="auto"/>
        </w:rPr>
        <w:t>Section 8.01(f)</w:t>
      </w:r>
      <w:r>
        <w:rPr>
          <w:rFonts w:ascii="Arial" w:cs="Arial" w:eastAsia="Arial" w:hAnsi="Arial"/>
          <w:sz w:val="16"/>
          <w:szCs w:val="16"/>
          <w:color w:val="auto"/>
        </w:rPr>
        <w:t xml:space="preserve"> shall be deemed furnished on the date that such documents are publicly available on “EDGAR” or the Borrower’s website;</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SECTION 221. </w:t>
      </w:r>
      <w:r>
        <w:rPr>
          <w:rFonts w:ascii="Arial" w:cs="Arial" w:eastAsia="Arial" w:hAnsi="Arial"/>
          <w:sz w:val="18"/>
          <w:szCs w:val="18"/>
          <w:color w:val="auto"/>
        </w:rPr>
        <w:t>promptly after the same are available, copies of each annual report, proxy or financial statement or other report or communication sent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stockholders of each Obligor and its Subsidiaries (other than any report or any communication that is immaterial, routine or administrative in nature), and copies of all annual, regular, periodic and special reports and registration statements which any Obligor or its Subsidiaries may file or be required to file with any securities regulator or exchange to the authority of which such Obligor or such Subsidiary, as applicable, may become subject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documents required to be furnished pursuant to this </w:t>
      </w:r>
      <w:r>
        <w:rPr>
          <w:rFonts w:ascii="Arial" w:cs="Arial" w:eastAsia="Arial" w:hAnsi="Arial"/>
          <w:sz w:val="18"/>
          <w:szCs w:val="18"/>
          <w:b w:val="1"/>
          <w:bCs w:val="1"/>
          <w:color w:val="auto"/>
        </w:rPr>
        <w:t>Section 8.01(g)</w:t>
      </w:r>
      <w:r>
        <w:rPr>
          <w:rFonts w:ascii="Arial" w:cs="Arial" w:eastAsia="Arial" w:hAnsi="Arial"/>
          <w:sz w:val="18"/>
          <w:szCs w:val="18"/>
          <w:color w:val="auto"/>
        </w:rPr>
        <w:t xml:space="preserve"> shall be deemed furnished on the date that such documents are publicly available on “EDGAR” or the Borrower’s website;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222. </w:t>
      </w:r>
      <w:r>
        <w:rPr>
          <w:rFonts w:ascii="Arial" w:cs="Arial" w:eastAsia="Arial" w:hAnsi="Arial"/>
          <w:sz w:val="17"/>
          <w:szCs w:val="17"/>
          <w:color w:val="auto"/>
        </w:rPr>
        <w:t>the information regarding insurance maintained by the Borrower and its Subsidiaries as and when required under</w:t>
      </w:r>
      <w:r>
        <w:rPr>
          <w:rFonts w:ascii="Arial" w:cs="Arial" w:eastAsia="Arial" w:hAnsi="Arial"/>
          <w:sz w:val="17"/>
          <w:szCs w:val="17"/>
          <w:b w:val="1"/>
          <w:bCs w:val="1"/>
          <w:color w:val="auto"/>
        </w:rPr>
        <w:t xml:space="preserve"> Section 8.05</w:t>
      </w:r>
      <w:r>
        <w:rPr>
          <w:rFonts w:ascii="Arial" w:cs="Arial" w:eastAsia="Arial" w:hAnsi="Arial"/>
          <w:sz w:val="17"/>
          <w:szCs w:val="17"/>
          <w:color w:val="auto"/>
        </w:rPr>
        <w:t>;</w:t>
      </w:r>
    </w:p>
    <w:p>
      <w:pPr>
        <w:spacing w:after="0" w:line="23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223. </w:t>
      </w:r>
      <w:r>
        <w:rPr>
          <w:rFonts w:ascii="Arial" w:cs="Arial" w:eastAsia="Arial" w:hAnsi="Arial"/>
          <w:sz w:val="18"/>
          <w:szCs w:val="18"/>
          <w:color w:val="auto"/>
        </w:rPr>
        <w:t>promptly, and in any event within five (5) Business Days after the Borrower obtains knowledge of any Claim related to any Product or</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involving more than $1,000,000, written notice thereof from a Responsible Officer of the Borrower which notice shall include a statement setting forth details of such Claim;</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224. </w:t>
      </w:r>
      <w:r>
        <w:rPr>
          <w:rFonts w:ascii="Arial" w:cs="Arial" w:eastAsia="Arial" w:hAnsi="Arial"/>
          <w:sz w:val="18"/>
          <w:szCs w:val="18"/>
          <w:color w:val="auto"/>
        </w:rPr>
        <w:t>as soon as possible and in any event within ten (10) Business Days after the end of each calendar month, a certificate signed by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Responsible Officer of the Borrower certifying that as of the last day of such calendar month, the Borrower is in compliance with the minimum liquidity requirement set forth in </w:t>
      </w:r>
      <w:r>
        <w:rPr>
          <w:rFonts w:ascii="Arial" w:cs="Arial" w:eastAsia="Arial" w:hAnsi="Arial"/>
          <w:sz w:val="18"/>
          <w:szCs w:val="18"/>
          <w:b w:val="1"/>
          <w:bCs w:val="1"/>
          <w:color w:val="auto"/>
        </w:rPr>
        <w:t>Section 10.01</w:t>
      </w:r>
      <w:r>
        <w:rPr>
          <w:rFonts w:ascii="Arial" w:cs="Arial" w:eastAsia="Arial" w:hAnsi="Arial"/>
          <w:sz w:val="18"/>
          <w:szCs w:val="18"/>
          <w:color w:val="auto"/>
        </w:rPr>
        <w:t xml:space="preserve"> and attaching evidence reasonably satisfactory to the Administrative Agent, based upon the Borrower’s bank account statements that the Borrower has met its minimum liquidity requirement set out in </w:t>
      </w:r>
      <w:r>
        <w:rPr>
          <w:rFonts w:ascii="Arial" w:cs="Arial" w:eastAsia="Arial" w:hAnsi="Arial"/>
          <w:sz w:val="18"/>
          <w:szCs w:val="18"/>
          <w:b w:val="1"/>
          <w:bCs w:val="1"/>
          <w:color w:val="auto"/>
        </w:rPr>
        <w:t>Section 10.01</w:t>
      </w:r>
      <w:r>
        <w:rPr>
          <w:rFonts w:ascii="Arial" w:cs="Arial" w:eastAsia="Arial" w:hAnsi="Arial"/>
          <w:sz w:val="18"/>
          <w:szCs w:val="18"/>
          <w:color w:val="auto"/>
        </w:rPr>
        <w:t>; and</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225. </w:t>
      </w:r>
      <w:r>
        <w:rPr>
          <w:rFonts w:ascii="Arial" w:cs="Arial" w:eastAsia="Arial" w:hAnsi="Arial"/>
          <w:sz w:val="18"/>
          <w:szCs w:val="18"/>
          <w:color w:val="auto"/>
        </w:rPr>
        <w:t>such other information respecting the businesses, financial performance, operations condition of the assets or liabilities of the Obligors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 respect to the Collateral), taken as a whole, as the Administrative Agent may from time to time reasonably request.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1" w:name="page142"/>
    <w:bookmarkEnd w:id="141"/>
    <w:p>
      <w:pPr>
        <w:jc w:val="both"/>
        <w:spacing w:after="0" w:line="263" w:lineRule="auto"/>
        <w:rPr>
          <w:sz w:val="20"/>
          <w:szCs w:val="20"/>
          <w:color w:val="auto"/>
        </w:rPr>
      </w:pPr>
      <w:r>
        <w:rPr>
          <w:rFonts w:ascii="Arial" w:cs="Arial" w:eastAsia="Arial" w:hAnsi="Arial"/>
          <w:sz w:val="18"/>
          <w:szCs w:val="18"/>
          <w:b w:val="1"/>
          <w:bCs w:val="1"/>
          <w:i w:val="1"/>
          <w:iCs w:val="1"/>
          <w:color w:val="auto"/>
        </w:rPr>
        <w:t>SECTION 226. Notices of Material Events</w:t>
      </w:r>
      <w:r>
        <w:rPr>
          <w:rFonts w:ascii="Arial" w:cs="Arial" w:eastAsia="Arial" w:hAnsi="Arial"/>
          <w:sz w:val="18"/>
          <w:szCs w:val="18"/>
          <w:color w:val="auto"/>
        </w:rPr>
        <w:t>. The Borrower will furnish to the Administrative Agent written notice of the following (x) with respect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clause (a) below within three (3) Business Days of and (y) with respect to clause (b) through (n) below, within five (5) Business Days, in each case, after a Responsible Officer of the Borrower first learns of or acquires knowledge with respect to: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227. </w:t>
      </w:r>
      <w:r>
        <w:rPr>
          <w:rFonts w:ascii="Arial" w:cs="Arial" w:eastAsia="Arial" w:hAnsi="Arial"/>
          <w:sz w:val="18"/>
          <w:szCs w:val="18"/>
          <w:color w:val="auto"/>
        </w:rPr>
        <w:t>the occurrence of any Default or Event of Default;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228. </w:t>
      </w:r>
      <w:r>
        <w:rPr>
          <w:rFonts w:ascii="Arial" w:cs="Arial" w:eastAsia="Arial" w:hAnsi="Arial"/>
          <w:sz w:val="18"/>
          <w:szCs w:val="18"/>
          <w:color w:val="auto"/>
        </w:rPr>
        <w:t>the occurrence of any event with respect to the property or assets of the Borrower or any of its Subsidiaries resulting in a Loss aggregating</w:t>
      </w:r>
      <w:r>
        <w:rPr>
          <w:rFonts w:ascii="Arial" w:cs="Arial" w:eastAsia="Arial" w:hAnsi="Arial"/>
          <w:sz w:val="18"/>
          <w:szCs w:val="18"/>
          <w:b w:val="1"/>
          <w:bCs w:val="1"/>
          <w:color w:val="auto"/>
        </w:rPr>
        <w:t xml:space="preserve"> </w:t>
      </w:r>
      <w:r>
        <w:rPr>
          <w:rFonts w:ascii="Arial" w:cs="Arial" w:eastAsia="Arial" w:hAnsi="Arial"/>
          <w:sz w:val="18"/>
          <w:szCs w:val="18"/>
          <w:color w:val="auto"/>
        </w:rPr>
        <w:t>$2,000,000 or more;</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229. </w:t>
      </w:r>
      <w:r>
        <w:rPr>
          <w:rFonts w:ascii="Arial" w:cs="Arial" w:eastAsia="Arial" w:hAnsi="Arial"/>
          <w:sz w:val="18"/>
          <w:szCs w:val="18"/>
          <w:color w:val="auto"/>
        </w:rPr>
        <w:t>(i) any proposed acquisition of stock, assets or property by the Borrower or any of its Subsidiaries that would reasonably be expected to</w:t>
      </w:r>
      <w:r>
        <w:rPr>
          <w:rFonts w:ascii="Arial" w:cs="Arial" w:eastAsia="Arial" w:hAnsi="Arial"/>
          <w:sz w:val="18"/>
          <w:szCs w:val="18"/>
          <w:b w:val="1"/>
          <w:bCs w:val="1"/>
          <w:color w:val="auto"/>
        </w:rPr>
        <w:t xml:space="preserve"> </w:t>
      </w:r>
      <w:r>
        <w:rPr>
          <w:rFonts w:ascii="Arial" w:cs="Arial" w:eastAsia="Arial" w:hAnsi="Arial"/>
          <w:sz w:val="18"/>
          <w:szCs w:val="18"/>
          <w:color w:val="auto"/>
        </w:rPr>
        <w:t>result in Material Environmental Liability, and (ii) any spillage, leakage, discharge, disposal, leaching, migration or release of any Hazardous Material by the Borrower or any of its Subsidiaries required to be reported to any Governmental Authority and that would reasonably be expected to result in Material Environmental Liability;</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SECTION 230. </w:t>
      </w:r>
      <w:r>
        <w:rPr>
          <w:rFonts w:ascii="Arial" w:cs="Arial" w:eastAsia="Arial" w:hAnsi="Arial"/>
          <w:sz w:val="17"/>
          <w:szCs w:val="17"/>
          <w:color w:val="auto"/>
        </w:rPr>
        <w:t>the assertion of any Claim under any Environmental Law by any Person against, or with respect to the activities of, the Borrower or any of</w:t>
      </w:r>
      <w:r>
        <w:rPr>
          <w:rFonts w:ascii="Arial" w:cs="Arial" w:eastAsia="Arial" w:hAnsi="Arial"/>
          <w:sz w:val="17"/>
          <w:szCs w:val="17"/>
          <w:b w:val="1"/>
          <w:bCs w:val="1"/>
          <w:color w:val="auto"/>
        </w:rPr>
        <w:t xml:space="preserve"> </w:t>
      </w:r>
      <w:r>
        <w:rPr>
          <w:rFonts w:ascii="Arial" w:cs="Arial" w:eastAsia="Arial" w:hAnsi="Arial"/>
          <w:sz w:val="17"/>
          <w:szCs w:val="17"/>
          <w:color w:val="auto"/>
        </w:rPr>
        <w:t>its Subsidiaries and any alleged liability or non-compliance with any Environmental Laws or any permits, licenses or authorizations issued pursuant to Environmental Laws, in each case, which would reasonably be expected to result in a Material Environmental Liability;</w:t>
      </w:r>
    </w:p>
    <w:p>
      <w:pPr>
        <w:spacing w:after="0" w:line="1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231. </w:t>
      </w:r>
      <w:r>
        <w:rPr>
          <w:rFonts w:ascii="Arial" w:cs="Arial" w:eastAsia="Arial" w:hAnsi="Arial"/>
          <w:sz w:val="18"/>
          <w:szCs w:val="18"/>
          <w:color w:val="auto"/>
        </w:rPr>
        <w:t>the filing or commencement of any action, suit or proceeding by or before any arbitrator or Governmental Authority against or affecting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 or any of its Affiliates that would reasonably be expected to result in a Material Adverse Effect;</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232. </w:t>
      </w:r>
      <w:r>
        <w:rPr>
          <w:rFonts w:ascii="Arial" w:cs="Arial" w:eastAsia="Arial" w:hAnsi="Arial"/>
          <w:sz w:val="18"/>
          <w:szCs w:val="18"/>
          <w:color w:val="auto"/>
        </w:rPr>
        <w:t>(i) the intention of any ERISA Affiliate to file any notice of intent to terminate any Title IV Plan, a copy of such notice and (ii) the filing</w:t>
      </w:r>
      <w:r>
        <w:rPr>
          <w:rFonts w:ascii="Arial" w:cs="Arial" w:eastAsia="Arial" w:hAnsi="Arial"/>
          <w:sz w:val="18"/>
          <w:szCs w:val="18"/>
          <w:b w:val="1"/>
          <w:bCs w:val="1"/>
          <w:color w:val="auto"/>
        </w:rPr>
        <w:t xml:space="preserve"> </w:t>
      </w:r>
      <w:r>
        <w:rPr>
          <w:rFonts w:ascii="Arial" w:cs="Arial" w:eastAsia="Arial" w:hAnsi="Arial"/>
          <w:sz w:val="18"/>
          <w:szCs w:val="18"/>
          <w:color w:val="auto"/>
        </w:rPr>
        <w:t>by any ERISA Affiliate of a request for a minimum funding waiver under Section 412 of the Code with respect to any Title IV Plan or Multiemployer Plan, in each case in writing and in reasonable detail (including a description of any action that any ERISA Affiliate proposes to take with respect thereto, together with a copy of any notice filed with the PBGC or the IRS pertaining thereto);</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SECTION 233. </w:t>
      </w:r>
      <w:r>
        <w:rPr>
          <w:rFonts w:ascii="Arial" w:cs="Arial" w:eastAsia="Arial" w:hAnsi="Arial"/>
          <w:sz w:val="18"/>
          <w:szCs w:val="18"/>
          <w:color w:val="auto"/>
        </w:rPr>
        <w:t>(i) the termination of any Material Agreement other than in accordance with its terms and not as a result of a breach or default, (ii)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receipt by the Borrower or any of its Subsidiaries of any notice of a material breach or default under any Material Agreement (and a copy thereof) asserting a default by such Obligor or any of its Subsidiaries where such alleged default would permit such counterparty to terminate such Material Agreement, (iii) the entering into of any new Material Agreement by any Obligor (and a copy thereof) or (iv) any material amendment to a Material Agreement that would be adverse in any material respect to the Lenders (and a copy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provide such notice if such documents become publicly available on “EDGAR” or the Borrower’s website within the time period notice would otherwise be required pursuant to this </w:t>
      </w:r>
      <w:r>
        <w:rPr>
          <w:rFonts w:ascii="Arial" w:cs="Arial" w:eastAsia="Arial" w:hAnsi="Arial"/>
          <w:sz w:val="18"/>
          <w:szCs w:val="18"/>
          <w:b w:val="1"/>
          <w:bCs w:val="1"/>
          <w:color w:val="auto"/>
        </w:rPr>
        <w:t>Section 8.02</w:t>
      </w:r>
      <w:r>
        <w:rPr>
          <w:rFonts w:ascii="Arial" w:cs="Arial" w:eastAsia="Arial" w:hAnsi="Arial"/>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2" w:name="page143"/>
    <w:bookmarkEnd w:id="142"/>
    <w:p>
      <w:pPr>
        <w:jc w:val="both"/>
        <w:spacing w:after="0" w:line="282" w:lineRule="auto"/>
        <w:rPr>
          <w:sz w:val="20"/>
          <w:szCs w:val="20"/>
          <w:color w:val="auto"/>
        </w:rPr>
      </w:pPr>
      <w:r>
        <w:rPr>
          <w:rFonts w:ascii="Arial" w:cs="Arial" w:eastAsia="Arial" w:hAnsi="Arial"/>
          <w:sz w:val="18"/>
          <w:szCs w:val="18"/>
          <w:b w:val="1"/>
          <w:bCs w:val="1"/>
          <w:color w:val="auto"/>
        </w:rPr>
        <w:t xml:space="preserve">SECTION 234. </w:t>
      </w:r>
      <w:r>
        <w:rPr>
          <w:rFonts w:ascii="Arial" w:cs="Arial" w:eastAsia="Arial" w:hAnsi="Arial"/>
          <w:sz w:val="18"/>
          <w:szCs w:val="18"/>
          <w:color w:val="auto"/>
        </w:rPr>
        <w:t>any material change in accounting policies or financial reporting practices by the Borrower or any of its Subsidiaries (other than as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under GAAP);</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235. </w:t>
      </w:r>
      <w:r>
        <w:rPr>
          <w:rFonts w:ascii="Arial" w:cs="Arial" w:eastAsia="Arial" w:hAnsi="Arial"/>
          <w:sz w:val="18"/>
          <w:szCs w:val="18"/>
          <w:color w:val="auto"/>
        </w:rPr>
        <w:t>any labor controversy resulting in or threatening to result in any strike, work stoppage, boycott, shutdown or other material labor</w:t>
      </w:r>
      <w:r>
        <w:rPr>
          <w:rFonts w:ascii="Arial" w:cs="Arial" w:eastAsia="Arial" w:hAnsi="Arial"/>
          <w:sz w:val="18"/>
          <w:szCs w:val="18"/>
          <w:b w:val="1"/>
          <w:bCs w:val="1"/>
          <w:color w:val="auto"/>
        </w:rPr>
        <w:t xml:space="preserve"> </w:t>
      </w:r>
      <w:r>
        <w:rPr>
          <w:rFonts w:ascii="Arial" w:cs="Arial" w:eastAsia="Arial" w:hAnsi="Arial"/>
          <w:sz w:val="18"/>
          <w:szCs w:val="18"/>
          <w:color w:val="auto"/>
        </w:rPr>
        <w:t>disruption against or involving an Obligor that would reasonably be expected to result in a Material Adverse Effect;</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236. </w:t>
      </w:r>
      <w:r>
        <w:rPr>
          <w:rFonts w:ascii="Arial" w:cs="Arial" w:eastAsia="Arial" w:hAnsi="Arial"/>
          <w:sz w:val="18"/>
          <w:szCs w:val="18"/>
          <w:color w:val="auto"/>
        </w:rPr>
        <w:t>any Contract entered into by the Borrower or any of its Subsidiaries in connection with any material Claim of actual alleged violation,</w:t>
      </w:r>
      <w:r>
        <w:rPr>
          <w:rFonts w:ascii="Arial" w:cs="Arial" w:eastAsia="Arial" w:hAnsi="Arial"/>
          <w:sz w:val="18"/>
          <w:szCs w:val="18"/>
          <w:b w:val="1"/>
          <w:bCs w:val="1"/>
          <w:color w:val="auto"/>
        </w:rPr>
        <w:t xml:space="preserve"> </w:t>
      </w:r>
      <w:r>
        <w:rPr>
          <w:rFonts w:ascii="Arial" w:cs="Arial" w:eastAsia="Arial" w:hAnsi="Arial"/>
          <w:sz w:val="18"/>
          <w:szCs w:val="18"/>
          <w:color w:val="auto"/>
        </w:rPr>
        <w:t>infringement or misappropriation of any Intellectual Property by or against the Borrower or any of its Subsidiaries;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237. </w:t>
      </w:r>
      <w:r>
        <w:rPr>
          <w:rFonts w:ascii="Arial" w:cs="Arial" w:eastAsia="Arial" w:hAnsi="Arial"/>
          <w:sz w:val="18"/>
          <w:szCs w:val="18"/>
          <w:color w:val="auto"/>
        </w:rPr>
        <w:t>the creation, development or other acquisition (including any in-bound exclusive licenses) of any Material Intellectual Property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Borrower or any Subsidiary after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such Material Intellectual Property created, developed or acquired (including through any in-bound exclusive license) in any fiscal year, notice thereof pursuant to this </w:t>
      </w:r>
      <w:r>
        <w:rPr>
          <w:rFonts w:ascii="Arial" w:cs="Arial" w:eastAsia="Arial" w:hAnsi="Arial"/>
          <w:sz w:val="18"/>
          <w:szCs w:val="18"/>
          <w:b w:val="1"/>
          <w:bCs w:val="1"/>
          <w:color w:val="auto"/>
        </w:rPr>
        <w:t>Section 8.02(k)</w:t>
      </w:r>
      <w:r>
        <w:rPr>
          <w:rFonts w:ascii="Arial" w:cs="Arial" w:eastAsia="Arial" w:hAnsi="Arial"/>
          <w:sz w:val="18"/>
          <w:szCs w:val="18"/>
          <w:color w:val="auto"/>
        </w:rPr>
        <w:t xml:space="preserve"> shall be made in accordance with the timing of the financial statements for such fiscal year required pursuant to </w:t>
      </w:r>
      <w:r>
        <w:rPr>
          <w:rFonts w:ascii="Arial" w:cs="Arial" w:eastAsia="Arial" w:hAnsi="Arial"/>
          <w:sz w:val="18"/>
          <w:szCs w:val="18"/>
          <w:b w:val="1"/>
          <w:bCs w:val="1"/>
          <w:color w:val="auto"/>
        </w:rPr>
        <w:t>Section 8.01(b)</w:t>
      </w:r>
      <w:r>
        <w:rPr>
          <w:rFonts w:ascii="Arial" w:cs="Arial" w:eastAsia="Arial" w:hAnsi="Arial"/>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238. </w:t>
      </w:r>
      <w:r>
        <w:rPr>
          <w:rFonts w:ascii="Arial" w:cs="Arial" w:eastAsia="Arial" w:hAnsi="Arial"/>
          <w:sz w:val="18"/>
          <w:szCs w:val="18"/>
          <w:color w:val="auto"/>
        </w:rPr>
        <w:t>any change to any Obligor’s or any of its Subsidiaries’ ownership of any Controlled Account, by delivering the Administrative Agent a</w:t>
      </w:r>
      <w:r>
        <w:rPr>
          <w:rFonts w:ascii="Arial" w:cs="Arial" w:eastAsia="Arial" w:hAnsi="Arial"/>
          <w:sz w:val="18"/>
          <w:szCs w:val="18"/>
          <w:b w:val="1"/>
          <w:bCs w:val="1"/>
          <w:color w:val="auto"/>
        </w:rPr>
        <w:t xml:space="preserve"> </w:t>
      </w:r>
      <w:r>
        <w:rPr>
          <w:rFonts w:ascii="Arial" w:cs="Arial" w:eastAsia="Arial" w:hAnsi="Arial"/>
          <w:sz w:val="18"/>
          <w:szCs w:val="18"/>
          <w:color w:val="auto"/>
        </w:rPr>
        <w:t>notice setting forth a complete and correct list of all such accounts as of the date of such change;</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239. </w:t>
      </w:r>
      <w:r>
        <w:rPr>
          <w:rFonts w:ascii="Arial" w:cs="Arial" w:eastAsia="Arial" w:hAnsi="Arial"/>
          <w:sz w:val="18"/>
          <w:szCs w:val="18"/>
          <w:color w:val="auto"/>
        </w:rPr>
        <w:t>any warning letters, untitled letters, or other Governmental Authority correspondence regarding actions that would reasonably be expected</w:t>
      </w:r>
      <w:r>
        <w:rPr>
          <w:rFonts w:ascii="Arial" w:cs="Arial" w:eastAsia="Arial" w:hAnsi="Arial"/>
          <w:sz w:val="18"/>
          <w:szCs w:val="18"/>
          <w:b w:val="1"/>
          <w:bCs w:val="1"/>
          <w:color w:val="auto"/>
        </w:rPr>
        <w:t xml:space="preserve"> </w:t>
      </w:r>
      <w:r>
        <w:rPr>
          <w:rFonts w:ascii="Arial" w:cs="Arial" w:eastAsia="Arial" w:hAnsi="Arial"/>
          <w:sz w:val="18"/>
          <w:szCs w:val="18"/>
          <w:color w:val="auto"/>
        </w:rPr>
        <w:t>to result in a Material Adverse Effect;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240. </w:t>
      </w:r>
      <w:r>
        <w:rPr>
          <w:rFonts w:ascii="Arial" w:cs="Arial" w:eastAsia="Arial" w:hAnsi="Arial"/>
          <w:sz w:val="18"/>
          <w:szCs w:val="18"/>
          <w:color w:val="auto"/>
        </w:rPr>
        <w:t>any other development that results in, or would reasonably be expected to result in, a Material Adverse Effect.</w:t>
      </w:r>
    </w:p>
    <w:p>
      <w:pPr>
        <w:spacing w:after="0" w:line="225" w:lineRule="exact"/>
        <w:rPr>
          <w:sz w:val="20"/>
          <w:szCs w:val="20"/>
          <w:color w:val="auto"/>
        </w:rPr>
      </w:pPr>
    </w:p>
    <w:p>
      <w:pPr>
        <w:jc w:val="both"/>
        <w:ind w:firstLine="1296"/>
        <w:spacing w:after="0" w:line="314" w:lineRule="auto"/>
        <w:rPr>
          <w:sz w:val="20"/>
          <w:szCs w:val="20"/>
          <w:color w:val="auto"/>
        </w:rPr>
      </w:pPr>
      <w:r>
        <w:rPr>
          <w:rFonts w:ascii="Arial" w:cs="Arial" w:eastAsia="Arial" w:hAnsi="Arial"/>
          <w:sz w:val="16"/>
          <w:szCs w:val="16"/>
          <w:color w:val="auto"/>
        </w:rPr>
        <w:t xml:space="preserve">Each notice delivered under this </w:t>
      </w:r>
      <w:r>
        <w:rPr>
          <w:rFonts w:ascii="Arial" w:cs="Arial" w:eastAsia="Arial" w:hAnsi="Arial"/>
          <w:sz w:val="16"/>
          <w:szCs w:val="16"/>
          <w:b w:val="1"/>
          <w:bCs w:val="1"/>
          <w:color w:val="auto"/>
        </w:rPr>
        <w:t>Section 8.02</w:t>
      </w:r>
      <w:r>
        <w:rPr>
          <w:rFonts w:ascii="Arial" w:cs="Arial" w:eastAsia="Arial" w:hAnsi="Arial"/>
          <w:sz w:val="16"/>
          <w:szCs w:val="16"/>
          <w:color w:val="auto"/>
        </w:rPr>
        <w:t xml:space="preserve"> shall be accompanied by a statement of a Responsible Officer of the Borrower setting forth the details of the event or development requiring such notice and any action taken or proposed to be taken with respect thereto. Nothing in this </w:t>
      </w:r>
      <w:r>
        <w:rPr>
          <w:rFonts w:ascii="Arial" w:cs="Arial" w:eastAsia="Arial" w:hAnsi="Arial"/>
          <w:sz w:val="16"/>
          <w:szCs w:val="16"/>
          <w:b w:val="1"/>
          <w:bCs w:val="1"/>
          <w:color w:val="auto"/>
        </w:rPr>
        <w:t>Section 8.02</w:t>
      </w:r>
      <w:r>
        <w:rPr>
          <w:rFonts w:ascii="Arial" w:cs="Arial" w:eastAsia="Arial" w:hAnsi="Arial"/>
          <w:sz w:val="16"/>
          <w:szCs w:val="16"/>
          <w:color w:val="auto"/>
        </w:rPr>
        <w:t xml:space="preserve"> is intended to waive, consent to or otherwise permit any action or omission that is otherwise prohibited by this Agreement or any other Loan Document.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3" w:name="page144"/>
    <w:bookmarkEnd w:id="143"/>
    <w:p>
      <w:pPr>
        <w:jc w:val="both"/>
        <w:spacing w:after="0" w:line="263" w:lineRule="auto"/>
        <w:rPr>
          <w:sz w:val="20"/>
          <w:szCs w:val="20"/>
          <w:color w:val="auto"/>
        </w:rPr>
      </w:pPr>
      <w:r>
        <w:rPr>
          <w:rFonts w:ascii="Arial" w:cs="Arial" w:eastAsia="Arial" w:hAnsi="Arial"/>
          <w:sz w:val="18"/>
          <w:szCs w:val="18"/>
          <w:b w:val="1"/>
          <w:bCs w:val="1"/>
          <w:i w:val="1"/>
          <w:iCs w:val="1"/>
          <w:color w:val="auto"/>
        </w:rPr>
        <w:t>SECTION 241. Existence</w:t>
      </w:r>
      <w:r>
        <w:rPr>
          <w:rFonts w:ascii="Arial" w:cs="Arial" w:eastAsia="Arial" w:hAnsi="Arial"/>
          <w:sz w:val="18"/>
          <w:szCs w:val="18"/>
          <w:color w:val="auto"/>
        </w:rPr>
        <w:t>. Such Obligor shall, and shall cause each of its Subsidiaries to, preserve, renew and maintain in full force and effect its legal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existence;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merger, amalgamation, consolidation, liquidation or dissolution permitted under </w:t>
      </w:r>
      <w:r>
        <w:rPr>
          <w:rFonts w:ascii="Arial" w:cs="Arial" w:eastAsia="Arial" w:hAnsi="Arial"/>
          <w:sz w:val="18"/>
          <w:szCs w:val="18"/>
          <w:b w:val="1"/>
          <w:bCs w:val="1"/>
          <w:color w:val="auto"/>
        </w:rPr>
        <w:t>Section 9.03</w:t>
      </w:r>
      <w:r>
        <w:rPr>
          <w:rFonts w:ascii="Arial" w:cs="Arial" w:eastAsia="Arial" w:hAnsi="Arial"/>
          <w:sz w:val="18"/>
          <w:szCs w:val="18"/>
          <w:color w:val="auto"/>
        </w:rPr>
        <w:t xml:space="preserve"> or any Asset Sale permitted under </w:t>
      </w:r>
      <w:r>
        <w:rPr>
          <w:rFonts w:ascii="Arial" w:cs="Arial" w:eastAsia="Arial" w:hAnsi="Arial"/>
          <w:sz w:val="18"/>
          <w:szCs w:val="18"/>
          <w:b w:val="1"/>
          <w:bCs w:val="1"/>
          <w:color w:val="auto"/>
        </w:rPr>
        <w:t>Section 9.09</w:t>
      </w:r>
      <w:r>
        <w:rPr>
          <w:rFonts w:ascii="Arial" w:cs="Arial" w:eastAsia="Arial" w:hAnsi="Arial"/>
          <w:sz w:val="18"/>
          <w:szCs w:val="18"/>
          <w:color w:val="auto"/>
        </w:rPr>
        <w:t>.</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SECTION 242. Payment of Obligations</w:t>
      </w:r>
      <w:r>
        <w:rPr>
          <w:rFonts w:ascii="Arial" w:cs="Arial" w:eastAsia="Arial" w:hAnsi="Arial"/>
          <w:sz w:val="17"/>
          <w:szCs w:val="17"/>
          <w:color w:val="auto"/>
        </w:rPr>
        <w:t>. Such Obligor will, and will cause each of its Subsidiaries to, pay and discharge its obligations, including (i)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material Taxes, fees, assessments and governmental charges or levies imposed upon it or upon its properties or assets prior to the date on which penalties attach thereto, and all lawful claims for labor, materials and supplies which, if unpaid, might become a Lien upon any properties or assets of such Obligor or any of its Subsidiaries not constituting a Permitted Lien, except to the extent such Taxes, fees, assessments or governmental charges or levies or such claims are being contested in good faith by appropriate proceedings and are adequately reserved against in accordance with GAAP and (ii) all lawful claims which, if unpaid, would by law become a Lien upon its property not constituting a Permitted Lien.</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SECTION 243. Insurance</w:t>
      </w:r>
      <w:r>
        <w:rPr>
          <w:rFonts w:ascii="Arial" w:cs="Arial" w:eastAsia="Arial" w:hAnsi="Arial"/>
          <w:sz w:val="17"/>
          <w:szCs w:val="17"/>
          <w:color w:val="auto"/>
        </w:rPr>
        <w:t>. Such Obligor will, and will cause each of its Subsidiaries to maintain, with financially sound and reputable insurance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companies, insurance in such amounts and against such risks as are customarily maintained by companies engaged in the same or similar businesses operating in the same or similar locations. Upon the request of the Administrative Agent, the Borrower shall furnish the Administrative Agent from time to time with (i) material information as to the insurance carried by it and, if so requested, copies of all such insurance policies and (ii) a certificate from the Borrower’s insurance broker or other insurance specialist stating that all premiums then due on the policies relating to insurance on the Collateral have been paid and that such policies are in full force and effect. Receipt of notice of termination or cancellation of any such insurance policies or reduction of coverages or amounts thereunder to levels which do not meet the levels required pursuant to the first sentence of this </w:t>
      </w:r>
      <w:r>
        <w:rPr>
          <w:rFonts w:ascii="Arial" w:cs="Arial" w:eastAsia="Arial" w:hAnsi="Arial"/>
          <w:sz w:val="17"/>
          <w:szCs w:val="17"/>
          <w:b w:val="1"/>
          <w:bCs w:val="1"/>
          <w:color w:val="auto"/>
        </w:rPr>
        <w:t>Section 8.05</w:t>
      </w:r>
      <w:r>
        <w:rPr>
          <w:rFonts w:ascii="Arial" w:cs="Arial" w:eastAsia="Arial" w:hAnsi="Arial"/>
          <w:sz w:val="17"/>
          <w:szCs w:val="17"/>
          <w:color w:val="auto"/>
        </w:rPr>
        <w:t xml:space="preserve"> shall entitle the Secured Parties to renew any such policies, cause the coverages and amounts thereof to be maintained at levels required pursuant to the first sentence of this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8.05 </w:t>
      </w:r>
      <w:r>
        <w:rPr>
          <w:rFonts w:ascii="Arial" w:cs="Arial" w:eastAsia="Arial" w:hAnsi="Arial"/>
          <w:sz w:val="17"/>
          <w:szCs w:val="17"/>
          <w:color w:val="auto"/>
        </w:rPr>
        <w:t>or otherwise to obtain similar insurance in place of such policies, and in each case, the Borrower will be responsible for the reasonable and</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documented cost of such insurance (to be payable on demand). The amount of any such reasonable and documented expenses shall accrue interest at the Default Rate if not paid on demand and shall constitute “Obligations.”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SECTION 244. Books and Records; Inspection Rights</w:t>
      </w:r>
      <w:r>
        <w:rPr>
          <w:rFonts w:ascii="Arial" w:cs="Arial" w:eastAsia="Arial" w:hAnsi="Arial"/>
          <w:sz w:val="16"/>
          <w:szCs w:val="16"/>
          <w:color w:val="auto"/>
        </w:rPr>
        <w:t>. Such Obligor will, and will cause each of its Subsidiaries to, keep proper books of record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account in which full, true and correct (in all material respects) entries are made of all dealings and transactions in relation to its business and activities. Such Obligor will, and will cause each of its Subsidiaries to, permit any representatives designated by the Administrative Agent, upon reasonable prior notice, to visit and inspect its properties, to examine and make extracts from its books and records, and to discuss its affairs, finances and condition (financial or otherwise) with its officers and independent accountants (so long as a representative of the Borrower is provided a reasonable opportunity to participate in any such discussion), during normal business hours (but not more often than once per year in total for all such visits and inspections unless an Event of Default has occurred and is continuing) as the Administrative Agent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representative shall use its commercially reasonable efforts to minimize disruption to the business and affairs of the Borrower as a result of any such visit, inspection, examination or discussion. Notwithstanding anything to the contrary contained herein or any other provision of the Loan Documents, no Obligor nor any of its Subsidiaries will be required to disclose or permit the inspection or discussion of, any document, information or other matter (i) that constitutes trade secrets or proprietary information, (ii) in respect of which disclosure to any Lender (or their respective representatives or contractors) is prohibited by any applicable Law or any binding agreement with a third party (so long as such agreement is not entered into in contemplation of this Agreement) or (iii) that is subject to attorney-client or similar privilege, which could reasonably be expected to be lost or forfeited if disclosed to the Administrative Agent or any Lender. The Borrower shall pay all reasonable and documented costs of all such inspections.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4" w:name="page145"/>
    <w:bookmarkEnd w:id="144"/>
    <w:p>
      <w:pPr>
        <w:jc w:val="both"/>
        <w:spacing w:after="0" w:line="291" w:lineRule="auto"/>
        <w:rPr>
          <w:sz w:val="20"/>
          <w:szCs w:val="20"/>
          <w:color w:val="auto"/>
        </w:rPr>
      </w:pPr>
      <w:r>
        <w:rPr>
          <w:rFonts w:ascii="Arial" w:cs="Arial" w:eastAsia="Arial" w:hAnsi="Arial"/>
          <w:sz w:val="16"/>
          <w:szCs w:val="16"/>
          <w:b w:val="1"/>
          <w:bCs w:val="1"/>
          <w:i w:val="1"/>
          <w:iCs w:val="1"/>
          <w:color w:val="auto"/>
        </w:rPr>
        <w:t>SECTION 245. Compliance with Laws and Other Obligations</w:t>
      </w:r>
      <w:r>
        <w:rPr>
          <w:rFonts w:ascii="Arial" w:cs="Arial" w:eastAsia="Arial" w:hAnsi="Arial"/>
          <w:sz w:val="16"/>
          <w:szCs w:val="16"/>
          <w:color w:val="auto"/>
        </w:rPr>
        <w:t>. Such Obligor will, and will cause each of its Subsidiaries to, (i) comply with all Laws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(including Anti-Terrorism Laws, Sanctions and Environmental Laws) applicable to it and its business activities, (ii) comply with all Healthcare Laws and Governmental Approvals (including Product Authorizations) applicable to it and its business activities and (iii) maintain in full force and effect (other than in accordance with its terms), remain in compliance with, and perform all obligations under all Material Agreements to which it is a party, except, in the case of </w:t>
      </w:r>
      <w:r>
        <w:rPr>
          <w:rFonts w:ascii="Arial" w:cs="Arial" w:eastAsia="Arial" w:hAnsi="Arial"/>
          <w:sz w:val="16"/>
          <w:szCs w:val="16"/>
          <w:b w:val="1"/>
          <w:bCs w:val="1"/>
          <w:color w:val="auto"/>
        </w:rPr>
        <w:t>clauses (i)</w:t>
      </w:r>
      <w:r>
        <w:rPr>
          <w:rFonts w:ascii="Arial" w:cs="Arial" w:eastAsia="Arial" w:hAnsi="Arial"/>
          <w:sz w:val="16"/>
          <w:szCs w:val="16"/>
          <w:color w:val="auto"/>
        </w:rPr>
        <w:t xml:space="preserve">, </w:t>
      </w:r>
      <w:r>
        <w:rPr>
          <w:rFonts w:ascii="Arial" w:cs="Arial" w:eastAsia="Arial" w:hAnsi="Arial"/>
          <w:sz w:val="16"/>
          <w:szCs w:val="16"/>
          <w:b w:val="1"/>
          <w:bCs w:val="1"/>
          <w:color w:val="auto"/>
        </w:rPr>
        <w:t>(ii)</w:t>
      </w:r>
      <w:r>
        <w:rPr>
          <w:rFonts w:ascii="Arial" w:cs="Arial" w:eastAsia="Arial" w:hAnsi="Arial"/>
          <w:sz w:val="16"/>
          <w:szCs w:val="16"/>
          <w:color w:val="auto"/>
        </w:rPr>
        <w:t xml:space="preserve"> and </w:t>
      </w:r>
      <w:r>
        <w:rPr>
          <w:rFonts w:ascii="Arial" w:cs="Arial" w:eastAsia="Arial" w:hAnsi="Arial"/>
          <w:sz w:val="16"/>
          <w:szCs w:val="16"/>
          <w:b w:val="1"/>
          <w:bCs w:val="1"/>
          <w:color w:val="auto"/>
        </w:rPr>
        <w:t>(iii)</w:t>
      </w:r>
      <w:r>
        <w:rPr>
          <w:rFonts w:ascii="Arial" w:cs="Arial" w:eastAsia="Arial" w:hAnsi="Arial"/>
          <w:sz w:val="16"/>
          <w:szCs w:val="16"/>
          <w:color w:val="auto"/>
        </w:rPr>
        <w:t xml:space="preserve"> above, where the failure to do so would not, individually or in the aggregate, reasonably be expected to result in a Material Adverse Effect. Each Obligor has, and shall maintain in effect and enforce policies and procedures reasonably designed to promote compliance by such Obligor, its Subsidiaries and their respective directors, officers, employees and agents with Anti-Terrorism Laws and Sanctions.</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SECTION 246. Maintenance of Properties, Etc. </w:t>
      </w:r>
      <w:r>
        <w:rPr>
          <w:rFonts w:ascii="Arial" w:cs="Arial" w:eastAsia="Arial" w:hAnsi="Arial"/>
          <w:sz w:val="17"/>
          <w:szCs w:val="17"/>
          <w:color w:val="auto"/>
        </w:rPr>
        <w:t>Such Obligor shall, and shall cause each of its Subsidiaries to, maintain and preserve all of its assets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properties (including all assets and properties, whether tangible or intangible, relating to its Products or Product Commercialization and Development Activities) necessary or useful in the conduct of its business in good working order and condition in accordance with the general practice of other Persons of similar character and size, ordinary wear and tear and damage from casualty or condemnation excepted and except where the failure to do so, individually or in the aggregate, would not reasonably be expected to result in a Material Adverse Effect.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SECTION 247. Governmental Licenses</w:t>
      </w:r>
      <w:r>
        <w:rPr>
          <w:rFonts w:ascii="Arial" w:cs="Arial" w:eastAsia="Arial" w:hAnsi="Arial"/>
          <w:sz w:val="18"/>
          <w:szCs w:val="18"/>
          <w:color w:val="auto"/>
        </w:rPr>
        <w:t>. Such Obligor shall, and shall cause each of its Subsidiaries to, obtain and maintain all Governmental Approvals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necessary in connection with the execution, delivery and performance of the Loan Documents, the consummation of the Transactions or the operation and conduct of its business and ownership of its properties (including its Product Commercialization and Development Activities), except where the failure to do so would not reasonably be expected to have a Material Adverse Effect.</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SECTION 248. Use of Proceeds</w:t>
      </w:r>
      <w:r>
        <w:rPr>
          <w:rFonts w:ascii="Arial" w:cs="Arial" w:eastAsia="Arial" w:hAnsi="Arial"/>
          <w:sz w:val="18"/>
          <w:szCs w:val="18"/>
          <w:color w:val="auto"/>
        </w:rPr>
        <w:t>. The proceeds of the Loans will be used only as provided 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2.05</w:t>
      </w:r>
      <w:r>
        <w:rPr>
          <w:rFonts w:ascii="Arial" w:cs="Arial" w:eastAsia="Arial" w:hAnsi="Arial"/>
          <w:sz w:val="18"/>
          <w:szCs w:val="18"/>
          <w:color w:val="auto"/>
        </w:rPr>
        <w:t>. No part of the proceeds of the Loans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used, whether directly or indirectly, for any purpose that entails a violation of any of the Regulations of the Board of Governors of the Federal Reserve System, including Regulations T, U and 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249. Certain Obligations Respecting Subsidiaries; Further Assurances</w:t>
      </w:r>
      <w:r>
        <w:rPr>
          <w:rFonts w:ascii="Arial" w:cs="Arial" w:eastAsia="Arial" w:hAnsi="Arial"/>
          <w:sz w:val="18"/>
          <w:szCs w:val="18"/>
          <w:color w:val="auto"/>
        </w:rPr>
        <w:t>.</w:t>
      </w:r>
    </w:p>
    <w:p>
      <w:pPr>
        <w:spacing w:after="0" w:line="2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SECTION 250. Subsidiary Guarantors, etc</w:t>
      </w:r>
      <w:r>
        <w:rPr>
          <w:rFonts w:ascii="Arial" w:cs="Arial" w:eastAsia="Arial" w:hAnsi="Arial"/>
          <w:sz w:val="16"/>
          <w:szCs w:val="16"/>
          <w:color w:val="auto"/>
        </w:rPr>
        <w:t>. In the event that the Borrower or any of its Subsidiaries shall form or acquire any new Subsidiary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an Excluded Subsidiary), or any Excluded Subsidiary ceases to be an Excluded Subsidiary, the Borrower shall promptly (and in any event within forty-five</w:t>
      </w:r>
    </w:p>
    <w:p>
      <w:pPr>
        <w:spacing w:after="0" w:line="1" w:lineRule="exact"/>
        <w:rPr>
          <w:sz w:val="20"/>
          <w:szCs w:val="20"/>
          <w:color w:val="auto"/>
        </w:rPr>
      </w:pPr>
    </w:p>
    <w:p>
      <w:pPr>
        <w:jc w:val="both"/>
        <w:ind w:firstLine="8"/>
        <w:spacing w:after="0" w:line="255" w:lineRule="auto"/>
        <w:tabs>
          <w:tab w:leader="none" w:pos="351"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calendar days of such formation or acquisition or such longer period as the Administrative Agent may agree to in its sole discretion) with respect to a formed or acquired Subsidiary (other than an Excluded Subsidiary), and immediately with respect to an Excluded Subsidiary ceasing to be an Excluded Subsidiary: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5" w:name="page146"/>
    <w:bookmarkEnd w:id="145"/>
    <w:p>
      <w:pPr>
        <w:jc w:val="both"/>
        <w:spacing w:after="0" w:line="282" w:lineRule="auto"/>
        <w:rPr>
          <w:sz w:val="20"/>
          <w:szCs w:val="20"/>
          <w:color w:val="auto"/>
        </w:rPr>
      </w:pPr>
      <w:r>
        <w:rPr>
          <w:rFonts w:ascii="Arial" w:cs="Arial" w:eastAsia="Arial" w:hAnsi="Arial"/>
          <w:sz w:val="18"/>
          <w:szCs w:val="18"/>
          <w:b w:val="1"/>
          <w:bCs w:val="1"/>
          <w:color w:val="auto"/>
        </w:rPr>
        <w:t>SECTION 251. cause such Subsidiary to become a “Subsidiary Guarantor” hereunder pursuant to a Guarantee Assumption Agreement and a “Grantor” under the Security Agreement;</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SECTION 252. take such action or cause such Subsidiary to take such action (including joining the Security Agreement and delivering shares of stock together with undated transfer powers executed in blank, applicable control agreements and other instruments) as shall be reasonably necessary or desirable or reasonably requested by the Administrative Agent in order to create and perfect, in favor of the Administrative Agent, for the benefit of the Secured Parties, valid and enforceable first priority Liens (subject only to Permitted Liens), on substantially all of the personal property of such Subsidiary as collateral security for the Obligations hereunder as and when required by the terms of the Security Agreement;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any such security interest or Lien shall be subject to the relevant requirements of the Security Documents and the Intercompany Subordination Agreement;</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253. to the extent that the parent of such Subsidiary is not a party to the Security Agreement or has not otherwise pledged or secured Equity Interests in its Subsidiaries in accordance with the terms of the Security Agreement and this Agreement, cause the parent (if possible) of such Subsidiary to execute and deliver a pledge or other security agreement in favor of the Administrative Agent, for the benefit of the Secured Parties, in respect of all outstanding issued shares of such Subsidiary;</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254. deliver such proof of corporate action, incumbency of officers, and other applicable documents as is consistent with those delivered by each Obligor pursuant to Section 6.01 or as the Administrative Agent shall reasonably request; and</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255. cause each such Subsidiary (other than any Subsidiary that is not an Obligor) to become a party to the Intercompany Subordination Agreement.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the foregoing, or anything else herein to the contrary, neither the Borrower nor any of its Subsidiaries shall form or acquire any Foreign Subsidiary.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256. Further Assurances.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257. Such Obligor will take such action from time to time as shall reasonably be requested by the Administrative Agent to effectuate the purposes and objectives of this Agreement and the Security Agreement; and</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SECTION 258. In the event that such Obligor creates, develops or otherwise acquires Intellectual Property or real property during the term of this Agreement, then the provisions of this Agreement and the Security Agreement shall and hereby do automatically apply thereto and any such Intellectual Property or real property shall automatically constitute and hereby does constitute part of the Collateral under the Security Documents (other than Excluded Assets (as defined in the Security Agreement)), without further action by any party, in each case from and after the date of such creation, development or acquisition;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6" w:name="page147"/>
    <w:bookmarkEnd w:id="146"/>
    <w:p>
      <w:pPr>
        <w:jc w:val="both"/>
        <w:spacing w:after="0" w:line="270" w:lineRule="auto"/>
        <w:rPr>
          <w:sz w:val="20"/>
          <w:szCs w:val="20"/>
          <w:color w:val="auto"/>
        </w:rPr>
      </w:pPr>
      <w:r>
        <w:rPr>
          <w:rFonts w:ascii="Arial" w:cs="Arial" w:eastAsia="Arial" w:hAnsi="Arial"/>
          <w:sz w:val="17"/>
          <w:szCs w:val="17"/>
          <w:b w:val="1"/>
          <w:bCs w:val="1"/>
          <w:color w:val="auto"/>
        </w:rPr>
        <w:t xml:space="preserve">SECTION 259. Without limiting the generality of the foregoing, each Obligor will, and will cause each Person that is required to be a Guarantor to, take such action from time to time (including joining the Security Agreement and delivering shares of stock together with undated transfer powers executed in blank, applicable control agreements and other instruments) as shall be required by the terms of the Security Documents or reasonably requested by the Administrative Agent to create, in favor of the Administrative Agent for the benefit of the Secured Parties, perfected security interests and Liens in substantially all of the personal property (other than Excluded Assets (as defined in the Security Agreement)) of such Obligor as collateral security for the Obligations; </w:t>
      </w:r>
      <w:r>
        <w:rPr>
          <w:rFonts w:ascii="Arial" w:cs="Arial" w:eastAsia="Arial" w:hAnsi="Arial"/>
          <w:sz w:val="17"/>
          <w:szCs w:val="17"/>
          <w:b w:val="1"/>
          <w:bCs w:val="1"/>
          <w:u w:val="single" w:color="auto"/>
          <w:color w:val="auto"/>
        </w:rPr>
        <w:t>provided</w:t>
      </w:r>
      <w:r>
        <w:rPr>
          <w:rFonts w:ascii="Arial" w:cs="Arial" w:eastAsia="Arial" w:hAnsi="Arial"/>
          <w:sz w:val="17"/>
          <w:szCs w:val="17"/>
          <w:b w:val="1"/>
          <w:bCs w:val="1"/>
          <w:color w:val="auto"/>
        </w:rPr>
        <w:t xml:space="preserve"> that any such security interest or Lien shall be subject to the relevant requirements of the Security Documents; </w:t>
      </w:r>
      <w:r>
        <w:rPr>
          <w:rFonts w:ascii="Arial" w:cs="Arial" w:eastAsia="Arial" w:hAnsi="Arial"/>
          <w:sz w:val="17"/>
          <w:szCs w:val="17"/>
          <w:b w:val="1"/>
          <w:bCs w:val="1"/>
          <w:u w:val="single" w:color="auto"/>
          <w:color w:val="auto"/>
        </w:rPr>
        <w:t>provided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further</w:t>
      </w:r>
      <w:r>
        <w:rPr>
          <w:rFonts w:ascii="Arial" w:cs="Arial" w:eastAsia="Arial" w:hAnsi="Arial"/>
          <w:sz w:val="17"/>
          <w:szCs w:val="17"/>
          <w:b w:val="1"/>
          <w:bCs w:val="1"/>
          <w:color w:val="auto"/>
        </w:rPr>
        <w:t xml:space="preserve"> that, without limiting the right of the Administrative Agent to require a Lien or security interest in any newly acquired or created Subsidiary or asset, upon the prior written request of the Borrower, the Borrower and the Administrative Agent shall consult, in good faith, as to whether the cost of obtaining a Lien or security interest thereon would be unreasonably excessive relative to the benefit thereof.</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SECTION 260. Termination of Non-Permitted Liens</w:t>
      </w:r>
      <w:r>
        <w:rPr>
          <w:rFonts w:ascii="Arial" w:cs="Arial" w:eastAsia="Arial" w:hAnsi="Arial"/>
          <w:sz w:val="17"/>
          <w:szCs w:val="17"/>
          <w:color w:val="auto"/>
        </w:rPr>
        <w:t>. In the event that any Obligor shall become aware of, or be notified by the Administrative Agent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Lender of the existence of, any outstanding Lien against any assets or property of such Obligor or any of its Subsidiaries, which Lien is not a Permitted Lien, such Obligor shall use its commercially reasonable efforts to promptly terminate or cause the termination of such Lien.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261. Board Materials; Lender Calls</w:t>
      </w:r>
      <w:r>
        <w:rPr>
          <w:rFonts w:ascii="Arial" w:cs="Arial" w:eastAsia="Arial" w:hAnsi="Arial"/>
          <w:sz w:val="18"/>
          <w:szCs w:val="18"/>
          <w:color w:val="auto"/>
        </w:rPr>
        <w:t>.</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SECTION 262. </w:t>
      </w:r>
      <w:r>
        <w:rPr>
          <w:rFonts w:ascii="Arial" w:cs="Arial" w:eastAsia="Arial" w:hAnsi="Arial"/>
          <w:sz w:val="16"/>
          <w:szCs w:val="16"/>
          <w:color w:val="auto"/>
        </w:rPr>
        <w:t>The Borrower shall deliver to the Administrative Agent: (i) copies of any agenda and other written materials provided to the Borrower’s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Board (or any committee thereof) of the Borrower prior to any meeting of the board of directors (or such committee thereof), at or promptly after such materials are furnished to the members of the Borrower’s Board (or such committee thereof), (ii) copies of all minutes of meetings of the Borrower’s Board (or any committee thereof) at or promptly after such minutes are furnished to the members of the Borrower’s Board (or such committee thereof), (iii) copies of all material written consents duly passed by the Borrower’s Board (or any committee thereof) and (iv) promptly upon presentation of any regular periodic materials to the Borrower’s Board (or any committee thereof) reporting on the current, past or future financial performance and business and operations of the Borrower or any of its Subsidiaries (which shall include, among other things, development updates with respect to material Products, and updates with respect to material events relating to other Material Agreements), copies of such materials;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material may be redacted by the Borrower to (A) exclude information relating to the performance of the Administrative Agent or any Lender hereunder or to the Borrower’s strategy regarding the Loans or performance or non-performance under the Loan Documents or any information that could raise a conflict of interest with Administrative Agent or Lenders as reasonably determined based on advice of counsel, (B) preserve attorney-client privilege or required to comply with applicable laws or regulations or (C) protect individually identifiable health information (as defined under HIPAA) or other confidential information relating to healthcare patients to the extent required by applicable Healthcare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redactions are restricted so as to be only as extensive as is reasonably necessary in order to exclude information described in clauses (A) through (C);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7" w:name="page148"/>
    <w:bookmarkEnd w:id="147"/>
    <w:p>
      <w:pPr>
        <w:jc w:val="both"/>
        <w:spacing w:after="0" w:line="303" w:lineRule="auto"/>
        <w:rPr>
          <w:sz w:val="20"/>
          <w:szCs w:val="20"/>
          <w:color w:val="auto"/>
        </w:rPr>
      </w:pPr>
      <w:r>
        <w:rPr>
          <w:rFonts w:ascii="Arial" w:cs="Arial" w:eastAsia="Arial" w:hAnsi="Arial"/>
          <w:sz w:val="16"/>
          <w:szCs w:val="16"/>
          <w:b w:val="1"/>
          <w:bCs w:val="1"/>
          <w:color w:val="auto"/>
        </w:rPr>
        <w:t xml:space="preserve">SECTION 263. </w:t>
      </w:r>
      <w:r>
        <w:rPr>
          <w:rFonts w:ascii="Arial" w:cs="Arial" w:eastAsia="Arial" w:hAnsi="Arial"/>
          <w:sz w:val="16"/>
          <w:szCs w:val="16"/>
          <w:color w:val="auto"/>
        </w:rPr>
        <w:t>On dates and times to be mutually agreed upon by the Borrower and the Administrative Agent following the Administrative Agent’s</w:t>
      </w:r>
      <w:r>
        <w:rPr>
          <w:rFonts w:ascii="Arial" w:cs="Arial" w:eastAsia="Arial" w:hAnsi="Arial"/>
          <w:sz w:val="16"/>
          <w:szCs w:val="16"/>
          <w:b w:val="1"/>
          <w:bCs w:val="1"/>
          <w:color w:val="auto"/>
        </w:rPr>
        <w:t xml:space="preserve"> </w:t>
      </w:r>
      <w:r>
        <w:rPr>
          <w:rFonts w:ascii="Arial" w:cs="Arial" w:eastAsia="Arial" w:hAnsi="Arial"/>
          <w:sz w:val="16"/>
          <w:szCs w:val="16"/>
          <w:color w:val="auto"/>
        </w:rPr>
        <w:t>request therefor (but for the avoidance of doubt, no more than once per fiscal quarter), the Borrower will hold a conference call with Administrative Agent, any Lender who chooses to attend such conference call and senior management of the Borrower, at which conference call shall be reviewed the financial results of the previous fiscal year and other material events and Administrative Agent and the Lenders shall have an opportunity to ask questions.</w:t>
      </w:r>
    </w:p>
    <w:p>
      <w:pPr>
        <w:spacing w:after="0" w:line="15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SECTION 264. Maintenance of Regulatory Approvals, Contracts, Intellectual Property, Etc. </w:t>
      </w:r>
      <w:r>
        <w:rPr>
          <w:rFonts w:ascii="Arial" w:cs="Arial" w:eastAsia="Arial" w:hAnsi="Arial"/>
          <w:sz w:val="16"/>
          <w:szCs w:val="16"/>
          <w:color w:val="auto"/>
        </w:rPr>
        <w:t>Each Obligor shall, and shall cause each of its Subsidiaries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(to the extent applicable) to, (i) maintain in full force and effect all Material Product Authorizations, Material Agreements, Material Intellectual Property and other rights, interests or assets (whether tangible or intangible) reasonably necessary for the business of such Obligor and its Subsidiaries, (ii) maintain in full force and effect, and pay all costs and expenses relating to, such Material Product Authorizations, Material Agreements and Material Intellectual Property owned, used or controlled by such Obligor or any such Subsidiary that are used in or necessary for any related Product Commercialization and Development Activities, except as would not be reasonably expected to have a Material Adverse Effect, (iii) promptly after obtaining knowledge thereof, notify the Administrative Agent of any material violation, misappropriation or other infringement by any Person, or any material Claim, action or proceeding brought by any Person alleging the invalidity or unenforceability, of any Material Intellectual Property, and use commercially reasonable efforts to stop, curtail or abate such violation, action, misappropriation or infringement if determined appropriate by the Borrower in the exercise of its prudent business judgment, and (iv) except as set forth on </w:t>
      </w:r>
      <w:r>
        <w:rPr>
          <w:rFonts w:ascii="Arial" w:cs="Arial" w:eastAsia="Arial" w:hAnsi="Arial"/>
          <w:sz w:val="16"/>
          <w:szCs w:val="16"/>
          <w:b w:val="1"/>
          <w:bCs w:val="1"/>
          <w:color w:val="auto"/>
        </w:rPr>
        <w:t>Schedule 7.05(b)</w:t>
      </w:r>
      <w:r>
        <w:rPr>
          <w:rFonts w:ascii="Arial" w:cs="Arial" w:eastAsia="Arial" w:hAnsi="Arial"/>
          <w:sz w:val="16"/>
          <w:szCs w:val="16"/>
          <w:color w:val="auto"/>
        </w:rPr>
        <w:t>, promptly after obtaining knowledge thereof, notify the Administrative Agent of any Claim by any Person that the conduct of the business of any Obligor or any of its Subsidiaries, including in connection with any Product Commercialization and Development Activities, has violated, misappropriated or otherwise infringed any Intellectual Property of such Person, where such Claim would reasonably be expected to result in a liability to any Obligor or any of their Subsidiaries of greater than $3,000,000.</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SECTION 265. ERISA Compliance and Pension Plans</w:t>
      </w:r>
      <w:r>
        <w:rPr>
          <w:rFonts w:ascii="Arial" w:cs="Arial" w:eastAsia="Arial" w:hAnsi="Arial"/>
          <w:sz w:val="18"/>
          <w:szCs w:val="18"/>
          <w:color w:val="auto"/>
        </w:rPr>
        <w:t>. Such Obligor shall comply, and shall cause each of its Subsidiaries to comply, with the provisions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ERISA with respect to any Benefit Plans to which such Obligor or such Subsidiary is a party as an employer, except where the failure to do so would not reasonably be expected to have a Material Adverse Effect.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266. Cash Management</w:t>
      </w:r>
      <w:r>
        <w:rPr>
          <w:rFonts w:ascii="Arial" w:cs="Arial" w:eastAsia="Arial" w:hAnsi="Arial"/>
          <w:sz w:val="18"/>
          <w:szCs w:val="18"/>
          <w:color w:val="auto"/>
        </w:rPr>
        <w:t>. Such Obligor shall, and shall cause each of its Subsidiaries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8" w:name="page149"/>
    <w:bookmarkEnd w:id="148"/>
    <w:p>
      <w:pPr>
        <w:jc w:val="both"/>
        <w:spacing w:after="0" w:line="292" w:lineRule="auto"/>
        <w:rPr>
          <w:sz w:val="20"/>
          <w:szCs w:val="20"/>
          <w:color w:val="auto"/>
        </w:rPr>
      </w:pPr>
      <w:r>
        <w:rPr>
          <w:rFonts w:ascii="Arial" w:cs="Arial" w:eastAsia="Arial" w:hAnsi="Arial"/>
          <w:sz w:val="16"/>
          <w:szCs w:val="16"/>
          <w:b w:val="1"/>
          <w:bCs w:val="1"/>
          <w:color w:val="auto"/>
        </w:rPr>
        <w:t xml:space="preserve">SECTION 267. </w:t>
      </w:r>
      <w:r>
        <w:rPr>
          <w:rFonts w:ascii="Arial" w:cs="Arial" w:eastAsia="Arial" w:hAnsi="Arial"/>
          <w:sz w:val="16"/>
          <w:szCs w:val="16"/>
          <w:color w:val="auto"/>
        </w:rPr>
        <w:t>subject to</w:t>
      </w:r>
      <w:r>
        <w:rPr>
          <w:rFonts w:ascii="Arial" w:cs="Arial" w:eastAsia="Arial" w:hAnsi="Arial"/>
          <w:sz w:val="16"/>
          <w:szCs w:val="16"/>
          <w:b w:val="1"/>
          <w:bCs w:val="1"/>
          <w:color w:val="auto"/>
        </w:rPr>
        <w:t xml:space="preserve"> Section 8.17(d) </w:t>
      </w:r>
      <w:r>
        <w:rPr>
          <w:rFonts w:ascii="Arial" w:cs="Arial" w:eastAsia="Arial" w:hAnsi="Arial"/>
          <w:sz w:val="16"/>
          <w:szCs w:val="16"/>
          <w:color w:val="auto"/>
        </w:rPr>
        <w:t>and</w:t>
      </w:r>
      <w:r>
        <w:rPr>
          <w:rFonts w:ascii="Arial" w:cs="Arial" w:eastAsia="Arial" w:hAnsi="Arial"/>
          <w:sz w:val="16"/>
          <w:szCs w:val="16"/>
          <w:b w:val="1"/>
          <w:bCs w:val="1"/>
          <w:color w:val="auto"/>
        </w:rPr>
        <w:t xml:space="preserve"> (f)</w:t>
      </w:r>
      <w:r>
        <w:rPr>
          <w:rFonts w:ascii="Arial" w:cs="Arial" w:eastAsia="Arial" w:hAnsi="Arial"/>
          <w:sz w:val="16"/>
          <w:szCs w:val="16"/>
          <w:color w:val="auto"/>
        </w:rPr>
        <w:t>, maintain an aggregate amount of cash of the Borrower and the Subsidiary Guarantors greater than or</w:t>
      </w:r>
      <w:r>
        <w:rPr>
          <w:rFonts w:ascii="Arial" w:cs="Arial" w:eastAsia="Arial" w:hAnsi="Arial"/>
          <w:sz w:val="16"/>
          <w:szCs w:val="16"/>
          <w:b w:val="1"/>
          <w:bCs w:val="1"/>
          <w:color w:val="auto"/>
        </w:rPr>
        <w:t xml:space="preserve"> </w:t>
      </w:r>
      <w:r>
        <w:rPr>
          <w:rFonts w:ascii="Arial" w:cs="Arial" w:eastAsia="Arial" w:hAnsi="Arial"/>
          <w:sz w:val="16"/>
          <w:szCs w:val="16"/>
          <w:color w:val="auto"/>
        </w:rPr>
        <w:t>equal to the Minimum Liquidity Amount in deposit accounts, disbursement accounts, investment accounts (and other similar accounts), securities accounts and lockboxes with a bank or financial institution within the U.S. that has executed and delivered to the Administrative Agent an account control agreement, in form and substance reasonably acceptable to the Administrative Agent (each such agreement, a “</w:t>
      </w:r>
      <w:r>
        <w:rPr>
          <w:rFonts w:ascii="Arial" w:cs="Arial" w:eastAsia="Arial" w:hAnsi="Arial"/>
          <w:sz w:val="16"/>
          <w:szCs w:val="16"/>
          <w:b w:val="1"/>
          <w:bCs w:val="1"/>
          <w:i w:val="1"/>
          <w:iCs w:val="1"/>
          <w:color w:val="auto"/>
        </w:rPr>
        <w:t>Control Agreement</w:t>
      </w:r>
      <w:r>
        <w:rPr>
          <w:rFonts w:ascii="Arial" w:cs="Arial" w:eastAsia="Arial" w:hAnsi="Arial"/>
          <w:sz w:val="16"/>
          <w:szCs w:val="16"/>
          <w:color w:val="auto"/>
        </w:rPr>
        <w:t>” and each such deposit account, disbursement account, investment account (or similar account), securities account and lockbox, a “</w:t>
      </w:r>
      <w:r>
        <w:rPr>
          <w:rFonts w:ascii="Arial" w:cs="Arial" w:eastAsia="Arial" w:hAnsi="Arial"/>
          <w:sz w:val="16"/>
          <w:szCs w:val="16"/>
          <w:b w:val="1"/>
          <w:bCs w:val="1"/>
          <w:i w:val="1"/>
          <w:iCs w:val="1"/>
          <w:color w:val="auto"/>
        </w:rPr>
        <w:t>Controlled Account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Controlled Account shall be a cash collateral account, with all cash, checks and other similar items of payment in such account securing payment of the Obligations, and each Obligor shall have granted a Lien to the Administrative Agent, for the benefit of the Secured Parties, over such Controlled Accounts;</w:t>
      </w:r>
    </w:p>
    <w:p>
      <w:pPr>
        <w:spacing w:after="0" w:line="161" w:lineRule="exact"/>
        <w:rPr>
          <w:sz w:val="20"/>
          <w:szCs w:val="20"/>
          <w:color w:val="auto"/>
        </w:rPr>
      </w:pPr>
    </w:p>
    <w:p>
      <w:pPr>
        <w:ind w:firstLine="656"/>
        <w:spacing w:after="0" w:line="282"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Section 8.17(d)</w:t>
      </w:r>
      <w:r>
        <w:rPr>
          <w:rFonts w:ascii="Arial" w:cs="Arial" w:eastAsia="Arial" w:hAnsi="Arial"/>
          <w:sz w:val="18"/>
          <w:szCs w:val="18"/>
          <w:color w:val="auto"/>
        </w:rPr>
        <w:t xml:space="preserve"> and </w:t>
      </w:r>
      <w:r>
        <w:rPr>
          <w:rFonts w:ascii="Arial" w:cs="Arial" w:eastAsia="Arial" w:hAnsi="Arial"/>
          <w:sz w:val="18"/>
          <w:szCs w:val="18"/>
          <w:b w:val="1"/>
          <w:bCs w:val="1"/>
          <w:color w:val="auto"/>
        </w:rPr>
        <w:t>(f)</w:t>
      </w:r>
      <w:r>
        <w:rPr>
          <w:rFonts w:ascii="Arial" w:cs="Arial" w:eastAsia="Arial" w:hAnsi="Arial"/>
          <w:sz w:val="18"/>
          <w:szCs w:val="18"/>
          <w:color w:val="auto"/>
        </w:rPr>
        <w:t>, maintain each of its deposit accounts, disbursement accounts, investment accounts (or similar accounts), securities accounts and lockboxes (other than, in each case, Excluded Accounts) as Controlled Accounts;</w:t>
      </w:r>
    </w:p>
    <w:p>
      <w:pPr>
        <w:spacing w:after="0" w:line="165" w:lineRule="exact"/>
        <w:rPr>
          <w:rFonts w:ascii="Arial" w:cs="Arial" w:eastAsia="Arial" w:hAnsi="Arial"/>
          <w:sz w:val="18"/>
          <w:szCs w:val="18"/>
          <w:color w:val="auto"/>
        </w:rPr>
      </w:pPr>
    </w:p>
    <w:p>
      <w:pPr>
        <w:jc w:val="both"/>
        <w:ind w:firstLine="656"/>
        <w:spacing w:after="0" w:line="311" w:lineRule="auto"/>
        <w:tabs>
          <w:tab w:leader="none" w:pos="894"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deposit promptly, and in any event no later than five (5) Business Days after the date of receipt thereof (or such longer period of time as agreed by the Administrative Agent in its sole discretion), all cash, checks, drafts or other similar items of payment in an amount in excess of $250,000 and relating to or constituting payments made in respect of any and all accounts and other rights and interests into Controlled Accounts; and</w:t>
      </w:r>
    </w:p>
    <w:p>
      <w:pPr>
        <w:spacing w:after="0" w:line="148" w:lineRule="exact"/>
        <w:rPr>
          <w:rFonts w:ascii="Arial" w:cs="Arial" w:eastAsia="Arial" w:hAnsi="Arial"/>
          <w:sz w:val="16"/>
          <w:szCs w:val="16"/>
          <w:color w:val="auto"/>
        </w:rPr>
      </w:pPr>
    </w:p>
    <w:p>
      <w:pPr>
        <w:jc w:val="both"/>
        <w:ind w:firstLine="656"/>
        <w:spacing w:after="0" w:line="263" w:lineRule="auto"/>
        <w:tabs>
          <w:tab w:leader="none" w:pos="9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any time after the occurrence and during the continuance of an Event of Default, at the request of the Administrative Agent, each Obligor shall cause all payments constituting proceeds of accounts to be directed into lockbox accounts under agreements in form and substance satisfactory to the Administrative Agent.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268. Post-Closing Obligations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75" w:lineRule="auto"/>
        <w:tabs>
          <w:tab w:leader="none" w:pos="902" w:val="left"/>
        </w:tabs>
        <w:numPr>
          <w:ilvl w:val="0"/>
          <w:numId w:val="46"/>
        </w:numPr>
        <w:rPr>
          <w:rFonts w:ascii="Arial" w:cs="Arial" w:eastAsia="Arial" w:hAnsi="Arial"/>
          <w:sz w:val="17"/>
          <w:szCs w:val="17"/>
          <w:color w:val="auto"/>
        </w:rPr>
      </w:pPr>
      <w:r>
        <w:rPr>
          <w:rFonts w:ascii="Arial" w:cs="Arial" w:eastAsia="Arial" w:hAnsi="Arial"/>
          <w:sz w:val="17"/>
          <w:szCs w:val="17"/>
          <w:color w:val="auto"/>
        </w:rPr>
        <w:t>Within seven (7) Business Days following the Closing Date (or such longer period of time as agreed by the Administrative Agent in its sole discretion), the Administrative Agent shall have received (i) all certificates (in the case of Equity Interests that are certificated securities (as defined in the UCC)) evidencing the issued and outstanding Equity Interests owned by each Obligor that are required to be pledged or otherwise secured and so delivered under the Security Documents, which certificates in each case shall be accompanied by undated instruments of transfer duly executed in blank and (ii) the original Melt Note, which note shall be accompanied by an undated allonge, duly executed in blank.</w:t>
      </w:r>
    </w:p>
    <w:p>
      <w:pPr>
        <w:spacing w:after="0" w:line="176" w:lineRule="exact"/>
        <w:rPr>
          <w:rFonts w:ascii="Arial" w:cs="Arial" w:eastAsia="Arial" w:hAnsi="Arial"/>
          <w:sz w:val="17"/>
          <w:szCs w:val="17"/>
          <w:color w:val="auto"/>
        </w:rPr>
      </w:pPr>
    </w:p>
    <w:p>
      <w:pPr>
        <w:jc w:val="both"/>
        <w:ind w:firstLine="656"/>
        <w:spacing w:after="0" w:line="263" w:lineRule="auto"/>
        <w:tabs>
          <w:tab w:leader="none" w:pos="9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Within thirty (30) days following the Closing Date (or such longer period of time as agreed by the Administrative Agent in its sole discretion), the Administrative Agent shall have received endorsements for all such insurance policies required pursuant to the Loan Documents, naming the Administrative Agent as lender loss payee or additional insured, as applicable, on behalf of the Secured Parties.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Within forty-five (45) days following the Closing Date (or such longer period of time as agreed by the Administrative Agent in its sole discretion), the Borrower shall use its commercially reasonable efforts to obtain a Landlord Consent with respect to the leased properties at (i) 102 Woodmont Blvd., (ii) 1000 Aviara Parkway, Suite 220, (iii) 1705 Route 46 W, Suite 4, and (iv) 658 Grassmere Park, Suite 104.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9" w:name="page150"/>
    <w:bookmarkEnd w:id="149"/>
    <w:p>
      <w:pPr>
        <w:jc w:val="both"/>
        <w:ind w:firstLine="656"/>
        <w:spacing w:after="0" w:line="259" w:lineRule="auto"/>
        <w:tabs>
          <w:tab w:leader="none" w:pos="901" w:val="left"/>
        </w:tabs>
        <w:numPr>
          <w:ilvl w:val="1"/>
          <w:numId w:val="47"/>
        </w:numPr>
        <w:rPr>
          <w:rFonts w:ascii="Arial" w:cs="Arial" w:eastAsia="Arial" w:hAnsi="Arial"/>
          <w:sz w:val="18"/>
          <w:szCs w:val="18"/>
          <w:color w:val="auto"/>
        </w:rPr>
      </w:pPr>
      <w:r>
        <w:rPr>
          <w:rFonts w:ascii="Arial" w:cs="Arial" w:eastAsia="Arial" w:hAnsi="Arial"/>
          <w:sz w:val="18"/>
          <w:szCs w:val="18"/>
          <w:color w:val="auto"/>
        </w:rPr>
        <w:t>Within ninety (90) days following the Closing Date (or such longer period of time as agreed by the Administrative Agent in its sole discretion), the Administrative Agent shall have received evidence that all deposit accounts, lockboxes, disbursement accounts, investment accounts, securities accounts or other similar accounts (other than Excluded Accounts and accounts located at MUFG Union Bank, N.A.) of each Obligor have either (i) been closed or (ii) are Controlled Accounts.</w:t>
      </w:r>
    </w:p>
    <w:p>
      <w:pPr>
        <w:spacing w:after="0" w:line="186" w:lineRule="exact"/>
        <w:rPr>
          <w:rFonts w:ascii="Arial" w:cs="Arial" w:eastAsia="Arial" w:hAnsi="Arial"/>
          <w:sz w:val="18"/>
          <w:szCs w:val="18"/>
          <w:color w:val="auto"/>
        </w:rPr>
      </w:pPr>
    </w:p>
    <w:p>
      <w:pPr>
        <w:jc w:val="both"/>
        <w:ind w:firstLine="656"/>
        <w:spacing w:after="0" w:line="311" w:lineRule="auto"/>
        <w:tabs>
          <w:tab w:leader="none" w:pos="893" w:val="left"/>
        </w:tabs>
        <w:numPr>
          <w:ilvl w:val="1"/>
          <w:numId w:val="47"/>
        </w:numPr>
        <w:rPr>
          <w:rFonts w:ascii="Arial" w:cs="Arial" w:eastAsia="Arial" w:hAnsi="Arial"/>
          <w:sz w:val="16"/>
          <w:szCs w:val="16"/>
          <w:color w:val="auto"/>
        </w:rPr>
      </w:pPr>
      <w:r>
        <w:rPr>
          <w:rFonts w:ascii="Arial" w:cs="Arial" w:eastAsia="Arial" w:hAnsi="Arial"/>
          <w:sz w:val="16"/>
          <w:szCs w:val="16"/>
          <w:color w:val="auto"/>
        </w:rPr>
        <w:t>Within one hundred and twenty (120) days following the Closing Date (or such longer period of time as agreed by the Administrative Agent in its sole discretion), the Administrative Agent shall have received evidence that the Borrower has made commercially reasonable efforts (including by posting to customary job sites) to hire a senior counsel or other employee with a similar title and serving the customary functions of a senior counsel.</w:t>
      </w:r>
    </w:p>
    <w:p>
      <w:pPr>
        <w:spacing w:after="0" w:line="148" w:lineRule="exact"/>
        <w:rPr>
          <w:rFonts w:ascii="Arial" w:cs="Arial" w:eastAsia="Arial" w:hAnsi="Arial"/>
          <w:sz w:val="16"/>
          <w:szCs w:val="16"/>
          <w:color w:val="auto"/>
        </w:rPr>
      </w:pPr>
    </w:p>
    <w:p>
      <w:pPr>
        <w:jc w:val="both"/>
        <w:ind w:firstLine="656"/>
        <w:spacing w:after="0" w:line="287" w:lineRule="auto"/>
        <w:tabs>
          <w:tab w:leader="none" w:pos="874" w:val="left"/>
        </w:tabs>
        <w:numPr>
          <w:ilvl w:val="1"/>
          <w:numId w:val="47"/>
        </w:numPr>
        <w:rPr>
          <w:rFonts w:ascii="Arial" w:cs="Arial" w:eastAsia="Arial" w:hAnsi="Arial"/>
          <w:sz w:val="16"/>
          <w:szCs w:val="16"/>
          <w:color w:val="auto"/>
        </w:rPr>
      </w:pPr>
      <w:r>
        <w:rPr>
          <w:rFonts w:ascii="Arial" w:cs="Arial" w:eastAsia="Arial" w:hAnsi="Arial"/>
          <w:sz w:val="16"/>
          <w:szCs w:val="16"/>
          <w:color w:val="auto"/>
        </w:rPr>
        <w:t>Within one hundred and twenty (120) days following the Closing Date (or such longer period of time as agreed by the Administrative Agent in its sole discretion), the Administrative Agent shall have received evidence that all deposit accounts, lockboxes, disbursement accounts, investment accounts, securities accounts or other similar accounts (other than Excluded Accounts) of each Obligor that are located at MUFG Union Bank, N.A. either</w:t>
      </w:r>
    </w:p>
    <w:p>
      <w:pPr>
        <w:spacing w:after="0" w:line="2" w:lineRule="exact"/>
        <w:rPr>
          <w:rFonts w:ascii="Arial" w:cs="Arial" w:eastAsia="Arial" w:hAnsi="Arial"/>
          <w:sz w:val="16"/>
          <w:szCs w:val="16"/>
          <w:color w:val="auto"/>
        </w:rPr>
      </w:pPr>
    </w:p>
    <w:p>
      <w:pPr>
        <w:ind w:firstLine="8"/>
        <w:spacing w:after="0" w:line="260" w:lineRule="auto"/>
        <w:tabs>
          <w:tab w:leader="none" w:pos="241"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have been closed or (ii) are Controlled Accounts;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during the period while such accounts are not Controlled Accounts, the aggregate balance of all such accounts shall not exceed $1,000,000 for more than three consecutive Business Days.</w:t>
      </w:r>
    </w:p>
    <w:p>
      <w:pPr>
        <w:spacing w:after="0" w:line="185" w:lineRule="exact"/>
        <w:rPr>
          <w:rFonts w:ascii="Arial" w:cs="Arial" w:eastAsia="Arial" w:hAnsi="Arial"/>
          <w:sz w:val="18"/>
          <w:szCs w:val="18"/>
          <w:color w:val="auto"/>
        </w:rPr>
      </w:pPr>
    </w:p>
    <w:p>
      <w:pPr>
        <w:jc w:val="both"/>
        <w:ind w:firstLine="656"/>
        <w:spacing w:after="0" w:line="263" w:lineRule="auto"/>
        <w:tabs>
          <w:tab w:leader="none" w:pos="916" w:val="left"/>
        </w:tabs>
        <w:numPr>
          <w:ilvl w:val="1"/>
          <w:numId w:val="48"/>
        </w:numPr>
        <w:rPr>
          <w:rFonts w:ascii="Arial" w:cs="Arial" w:eastAsia="Arial" w:hAnsi="Arial"/>
          <w:sz w:val="18"/>
          <w:szCs w:val="18"/>
          <w:color w:val="auto"/>
        </w:rPr>
      </w:pPr>
      <w:r>
        <w:rPr>
          <w:rFonts w:ascii="Arial" w:cs="Arial" w:eastAsia="Arial" w:hAnsi="Arial"/>
          <w:sz w:val="18"/>
          <w:szCs w:val="18"/>
          <w:color w:val="auto"/>
        </w:rPr>
        <w:t>Within ten (10) Business Days following the Closing Date (or such longer period of time as agreed by the Administrative Agent in its sole discretion), the Administrative Agent shall have received a copy of a good standing certificate with respect to Visionology, Inc., certified as of a recent date by the Delaware Secretary of State.</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SECTION 269. Warrants</w:t>
      </w:r>
      <w:r>
        <w:rPr>
          <w:rFonts w:ascii="Arial" w:cs="Arial" w:eastAsia="Arial" w:hAnsi="Arial"/>
          <w:sz w:val="17"/>
          <w:szCs w:val="17"/>
          <w:color w:val="auto"/>
        </w:rPr>
        <w:t>. On or prior to the date on which financial statements for the fiscal year ending December 31, 2024 are required to be delivered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pursuant to </w:t>
      </w:r>
      <w:r>
        <w:rPr>
          <w:rFonts w:ascii="Arial" w:cs="Arial" w:eastAsia="Arial" w:hAnsi="Arial"/>
          <w:sz w:val="17"/>
          <w:szCs w:val="17"/>
          <w:b w:val="1"/>
          <w:bCs w:val="1"/>
          <w:color w:val="auto"/>
        </w:rPr>
        <w:t>Section 8.01(b)</w:t>
      </w:r>
      <w:r>
        <w:rPr>
          <w:rFonts w:ascii="Arial" w:cs="Arial" w:eastAsia="Arial" w:hAnsi="Arial"/>
          <w:sz w:val="17"/>
          <w:szCs w:val="17"/>
          <w:color w:val="auto"/>
        </w:rPr>
        <w:t xml:space="preserve">, concurrently with the delivery of the Compliance Certificate for such fiscal year, the Borrower shall deliver to the Administrative Agent a certificate of the chief financial officer (or other equivalent financial officer) of the Borrower in form and substance reasonably satisfactory to the Administrative Agent, setting forth the Total Leverage Ratio as of the end of the fiscal quarter ending December 31, 2024, together with a reasonably detailed calculation thereof. If the Total Leverage Ratio as of the end of such fiscal quarter is greater than or equal to 5.00:1.00, then concurrently with the delivery of such certificate, the Borrower shall deliver to the Administrative Agent duly executed warrants, substantially in the form attached hereto as </w:t>
      </w:r>
      <w:r>
        <w:rPr>
          <w:rFonts w:ascii="Arial" w:cs="Arial" w:eastAsia="Arial" w:hAnsi="Arial"/>
          <w:sz w:val="17"/>
          <w:szCs w:val="17"/>
          <w:b w:val="1"/>
          <w:bCs w:val="1"/>
          <w:color w:val="auto"/>
        </w:rPr>
        <w:t>Exhibit I</w:t>
      </w:r>
      <w:r>
        <w:rPr>
          <w:rFonts w:ascii="Arial" w:cs="Arial" w:eastAsia="Arial" w:hAnsi="Arial"/>
          <w:sz w:val="17"/>
          <w:szCs w:val="17"/>
          <w:color w:val="auto"/>
        </w:rPr>
        <w:t xml:space="preserve"> (collectively, the “</w:t>
      </w:r>
      <w:r>
        <w:rPr>
          <w:rFonts w:ascii="Arial" w:cs="Arial" w:eastAsia="Arial" w:hAnsi="Arial"/>
          <w:sz w:val="17"/>
          <w:szCs w:val="17"/>
          <w:b w:val="1"/>
          <w:bCs w:val="1"/>
          <w:color w:val="auto"/>
        </w:rPr>
        <w:t>Warrants</w:t>
      </w:r>
      <w:r>
        <w:rPr>
          <w:rFonts w:ascii="Arial" w:cs="Arial" w:eastAsia="Arial" w:hAnsi="Arial"/>
          <w:sz w:val="17"/>
          <w:szCs w:val="17"/>
          <w:color w:val="auto"/>
        </w:rPr>
        <w:t>”) for each Lender as of the end of such fiscal quarter, in an amount of common shares of the Borrower equal to each such Lender’s Proportionate Share of the aggregate amount set forth below (it being understood that such aggregate amount is subject to adjustment for stock splits, dividends, recapitalizations and any other similar event):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Aggregate Number of</w:t>
            </w:r>
          </w:p>
        </w:tc>
      </w:tr>
      <w:tr>
        <w:trPr>
          <w:trHeight w:val="216"/>
        </w:trPr>
        <w:tc>
          <w:tcPr>
            <w:tcW w:w="8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Common Shares of the</w:t>
            </w:r>
          </w:p>
        </w:tc>
      </w:tr>
      <w:tr>
        <w:trPr>
          <w:trHeight w:val="241"/>
        </w:trPr>
        <w:tc>
          <w:tcPr>
            <w:tcW w:w="8760" w:type="dxa"/>
            <w:vAlign w:val="bottom"/>
          </w:tcPr>
          <w:p>
            <w:pPr>
              <w:jc w:val="center"/>
              <w:spacing w:after="0"/>
              <w:rPr>
                <w:sz w:val="20"/>
                <w:szCs w:val="20"/>
                <w:color w:val="auto"/>
              </w:rPr>
            </w:pPr>
            <w:r>
              <w:rPr>
                <w:rFonts w:ascii="Arial" w:cs="Arial" w:eastAsia="Arial" w:hAnsi="Arial"/>
                <w:sz w:val="18"/>
                <w:szCs w:val="18"/>
                <w:b w:val="1"/>
                <w:bCs w:val="1"/>
                <w:color w:val="auto"/>
                <w:w w:val="91"/>
              </w:rPr>
              <w:t>Total Leverage Ratio</w:t>
            </w:r>
          </w:p>
        </w:tc>
        <w:tc>
          <w:tcPr>
            <w:tcW w:w="240" w:type="dxa"/>
            <w:vAlign w:val="bottom"/>
          </w:tcPr>
          <w:p>
            <w:pPr>
              <w:spacing w:after="0"/>
              <w:rPr>
                <w:sz w:val="20"/>
                <w:szCs w:val="20"/>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Borrower</w:t>
            </w:r>
          </w:p>
        </w:tc>
      </w:tr>
      <w:tr>
        <w:trPr>
          <w:trHeight w:val="243"/>
        </w:trPr>
        <w:tc>
          <w:tcPr>
            <w:tcW w:w="8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Greater than or equal to 5.00:1.00, but less than 7.00:1.00</w:t>
            </w:r>
          </w:p>
        </w:tc>
        <w:tc>
          <w:tcPr>
            <w:tcW w:w="240" w:type="dxa"/>
            <w:vAlign w:val="bottom"/>
            <w:tcBorders>
              <w:top w:val="single" w:sz="8" w:color="CCEEFF"/>
            </w:tcBorders>
            <w:shd w:val="clear" w:color="auto" w:fill="CCEEFF"/>
          </w:tcPr>
          <w:p>
            <w:pPr>
              <w:spacing w:after="0"/>
              <w:rPr>
                <w:sz w:val="21"/>
                <w:szCs w:val="21"/>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tcBorders>
              <w:top w:val="single" w:sz="8" w:color="CCEEFF"/>
            </w:tcBorders>
            <w:shd w:val="clear" w:color="auto" w:fill="CCEEFF"/>
          </w:tcPr>
          <w:p>
            <w:pPr>
              <w:spacing w:after="0"/>
              <w:rPr>
                <w:sz w:val="21"/>
                <w:szCs w:val="21"/>
                <w:color w:val="auto"/>
              </w:rPr>
            </w:pPr>
          </w:p>
        </w:tc>
      </w:tr>
      <w:tr>
        <w:trPr>
          <w:trHeight w:val="237"/>
        </w:trPr>
        <w:tc>
          <w:tcPr>
            <w:tcW w:w="8760" w:type="dxa"/>
            <w:vAlign w:val="bottom"/>
          </w:tcPr>
          <w:p>
            <w:pPr>
              <w:jc w:val="center"/>
              <w:spacing w:after="0"/>
              <w:rPr>
                <w:sz w:val="20"/>
                <w:szCs w:val="20"/>
                <w:color w:val="auto"/>
              </w:rPr>
            </w:pPr>
            <w:r>
              <w:rPr>
                <w:rFonts w:ascii="Arial" w:cs="Arial" w:eastAsia="Arial" w:hAnsi="Arial"/>
                <w:sz w:val="18"/>
                <w:szCs w:val="18"/>
                <w:color w:val="auto"/>
                <w:w w:val="89"/>
              </w:rPr>
              <w:t>Greater than or equal to 7.00:1.00</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0"/>
                <w:szCs w:val="20"/>
                <w:color w:val="auto"/>
              </w:rPr>
            </w:pPr>
          </w:p>
        </w:tc>
      </w:tr>
      <w:tr>
        <w:trPr>
          <w:trHeight w:val="439"/>
        </w:trPr>
        <w:tc>
          <w:tcPr>
            <w:tcW w:w="8760" w:type="dxa"/>
            <w:vAlign w:val="bottom"/>
            <w:tcBorders>
              <w:bottom w:val="single" w:sz="8" w:color="auto"/>
            </w:tcBorders>
          </w:tcPr>
          <w:p>
            <w:pPr>
              <w:jc w:val="right"/>
              <w:ind w:right="2950"/>
              <w:spacing w:after="0"/>
              <w:rPr>
                <w:sz w:val="20"/>
                <w:szCs w:val="20"/>
                <w:color w:val="auto"/>
              </w:rPr>
            </w:pPr>
            <w:r>
              <w:rPr>
                <w:rFonts w:ascii="Arial" w:cs="Arial" w:eastAsia="Arial" w:hAnsi="Arial"/>
                <w:sz w:val="18"/>
                <w:szCs w:val="18"/>
                <w:color w:val="auto"/>
              </w:rPr>
              <w:t>90</w:t>
            </w:r>
          </w:p>
        </w:tc>
        <w:tc>
          <w:tcPr>
            <w:tcW w:w="240" w:type="dxa"/>
            <w:vAlign w:val="bottom"/>
            <w:tcBorders>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150" w:name="page151"/>
    <w:bookmarkEnd w:id="150"/>
    <w:p>
      <w:pPr>
        <w:jc w:val="both"/>
        <w:spacing w:after="0" w:line="259" w:lineRule="auto"/>
        <w:rPr>
          <w:sz w:val="20"/>
          <w:szCs w:val="20"/>
          <w:color w:val="auto"/>
        </w:rPr>
      </w:pPr>
      <w:r>
        <w:rPr>
          <w:rFonts w:ascii="Arial" w:cs="Arial" w:eastAsia="Arial" w:hAnsi="Arial"/>
          <w:sz w:val="18"/>
          <w:szCs w:val="18"/>
          <w:b w:val="1"/>
          <w:bCs w:val="1"/>
          <w:i w:val="1"/>
          <w:iCs w:val="1"/>
          <w:color w:val="auto"/>
        </w:rPr>
        <w:t>SECTION 270. Certain Additional Rights of Lender (VCOC)</w:t>
      </w:r>
      <w:r>
        <w:rPr>
          <w:rFonts w:ascii="Arial" w:cs="Arial" w:eastAsia="Arial" w:hAnsi="Arial"/>
          <w:sz w:val="18"/>
          <w:szCs w:val="18"/>
          <w:color w:val="auto"/>
        </w:rPr>
        <w:t>. The Borrower acknowledges that one of the Lenders (or its direct or indirect member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intends to qualify as a “venture capital operating company” (as defined in the Department of Labor regulations located at 29 C.F.R. Section 2510.3-101, as modified by Section 3(42) of ERISA) (such Lender referred to in this paragraph as the “</w:t>
      </w:r>
      <w:r>
        <w:rPr>
          <w:rFonts w:ascii="Arial" w:cs="Arial" w:eastAsia="Arial" w:hAnsi="Arial"/>
          <w:sz w:val="18"/>
          <w:szCs w:val="18"/>
          <w:b w:val="1"/>
          <w:bCs w:val="1"/>
          <w:i w:val="1"/>
          <w:iCs w:val="1"/>
          <w:color w:val="auto"/>
        </w:rPr>
        <w:t>VCOC Lender</w:t>
      </w:r>
      <w:r>
        <w:rPr>
          <w:rFonts w:ascii="Arial" w:cs="Arial" w:eastAsia="Arial" w:hAnsi="Arial"/>
          <w:sz w:val="18"/>
          <w:szCs w:val="18"/>
          <w:color w:val="auto"/>
        </w:rPr>
        <w:t>”). Notwithstanding anything to the contrary contained in this Agreement, the VCOC Lender shall have the following rights:</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271. </w:t>
      </w:r>
      <w:r>
        <w:rPr>
          <w:rFonts w:ascii="Arial" w:cs="Arial" w:eastAsia="Arial" w:hAnsi="Arial"/>
          <w:sz w:val="18"/>
          <w:szCs w:val="18"/>
          <w:color w:val="auto"/>
        </w:rPr>
        <w:t>the right to consult with and advise the Borrower’s management regarding significant business activities and business and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developments of the Borrower, with the VCOC Lender having the right to call meetings to facilitate such consultation and advice at reasonable times and upon reasonable advance notice, provided that (i) such meetings generally shall not occur more than once per quarter and (ii) such meetings may take place in person, via telephone or video conference;</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272. </w:t>
      </w:r>
      <w:r>
        <w:rPr>
          <w:rFonts w:ascii="Arial" w:cs="Arial" w:eastAsia="Arial" w:hAnsi="Arial"/>
          <w:sz w:val="18"/>
          <w:szCs w:val="18"/>
          <w:color w:val="auto"/>
        </w:rPr>
        <w:t>the right to visit and inspect the Borrower’s facilities and to inspect and examine the books and records of the Borrower in each case at</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times and upon reasonable advance notice, provided that (i) such visitation and inspection generally shall not occur more than once per quarter and (ii) the Borrower shall not be required to provide access to highly confidential or proprietary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273. </w:t>
      </w:r>
      <w:r>
        <w:rPr>
          <w:rFonts w:ascii="Arial" w:cs="Arial" w:eastAsia="Arial" w:hAnsi="Arial"/>
          <w:sz w:val="18"/>
          <w:szCs w:val="18"/>
          <w:color w:val="auto"/>
        </w:rPr>
        <w:t>the right, in accordance with the terms of this Agreement to receive monthly, quarterly and year-end financial reports; and</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274. </w:t>
      </w:r>
      <w:r>
        <w:rPr>
          <w:rFonts w:ascii="Arial" w:cs="Arial" w:eastAsia="Arial" w:hAnsi="Arial"/>
          <w:sz w:val="18"/>
          <w:szCs w:val="18"/>
          <w:color w:val="auto"/>
        </w:rPr>
        <w:t>the Borrower shall use its reasonable best efforts to provide the VCOC Lender with true and correct copies of all documents,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data and other information regarding the Borrower as the VCOC Lender may reasonably request, provided that the Borrower shall not be required to provide access to highly confidential or proprietary information.</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Borrower agrees to cause its management to consider, in good faith, the recommendations of the VCOC Lender provided to the Borrower in connection with the exercise of the foregoing rights, provided that the Borrower retains ultimate discretion with respect to all such matters. All rights granted to the VCOC Lender under this paragraph are in addition to any rights granted to the VCOC Lender in any other capacity and nothing herein shall be construed to limit, restrict or impair any such rights of the VCOC Lender.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275. </w:t>
      </w:r>
      <w:r>
        <w:rPr>
          <w:rFonts w:ascii="Arial" w:cs="Arial" w:eastAsia="Arial" w:hAnsi="Arial"/>
          <w:sz w:val="18"/>
          <w:szCs w:val="18"/>
          <w:color w:val="auto"/>
        </w:rPr>
        <w:t>NEGATIVE COVENANTS</w:t>
      </w:r>
    </w:p>
    <w:p>
      <w:pPr>
        <w:spacing w:after="0" w:line="229"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Each Obligor covenants and agrees with the Administrative Agent and the Lenders that, until the Commitments have expired or been terminated and all Obligations (other than inchoate indemnification obligations for which no claim has been made), have been paid in full in cash: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1" w:name="page152"/>
    <w:bookmarkEnd w:id="151"/>
    <w:p>
      <w:pPr>
        <w:spacing w:after="0"/>
        <w:rPr>
          <w:sz w:val="20"/>
          <w:szCs w:val="20"/>
          <w:color w:val="auto"/>
        </w:rPr>
      </w:pPr>
      <w:r>
        <w:rPr>
          <w:rFonts w:ascii="Arial" w:cs="Arial" w:eastAsia="Arial" w:hAnsi="Arial"/>
          <w:sz w:val="17"/>
          <w:szCs w:val="17"/>
          <w:b w:val="1"/>
          <w:bCs w:val="1"/>
          <w:i w:val="1"/>
          <w:iCs w:val="1"/>
          <w:color w:val="auto"/>
        </w:rPr>
        <w:t>SECTION 276. Indebtedness</w:t>
      </w:r>
      <w:r>
        <w:rPr>
          <w:rFonts w:ascii="Arial" w:cs="Arial" w:eastAsia="Arial" w:hAnsi="Arial"/>
          <w:sz w:val="17"/>
          <w:szCs w:val="17"/>
          <w:color w:val="auto"/>
        </w:rPr>
        <w:t>. Such Obligor will not, and will not permit any of its Subsidiaries to, create, incur, assume or permit to exist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Indebtedness, whether directly or indirectly, except: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277. </w:t>
      </w:r>
      <w:r>
        <w:rPr>
          <w:rFonts w:ascii="Arial" w:cs="Arial" w:eastAsia="Arial" w:hAnsi="Arial"/>
          <w:sz w:val="18"/>
          <w:szCs w:val="18"/>
          <w:color w:val="auto"/>
        </w:rPr>
        <w:t>the Obligations;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278. </w:t>
      </w:r>
      <w:r>
        <w:rPr>
          <w:rFonts w:ascii="Arial" w:cs="Arial" w:eastAsia="Arial" w:hAnsi="Arial"/>
          <w:sz w:val="18"/>
          <w:szCs w:val="18"/>
          <w:color w:val="auto"/>
        </w:rPr>
        <w:t>Indebtedness existing on the date hereof and set forth on</w:t>
      </w:r>
      <w:r>
        <w:rPr>
          <w:rFonts w:ascii="Arial" w:cs="Arial" w:eastAsia="Arial" w:hAnsi="Arial"/>
          <w:sz w:val="18"/>
          <w:szCs w:val="18"/>
          <w:b w:val="1"/>
          <w:bCs w:val="1"/>
          <w:color w:val="auto"/>
        </w:rPr>
        <w:t xml:space="preserve"> Schedule 9.01(b) </w:t>
      </w:r>
      <w:r>
        <w:rPr>
          <w:rFonts w:ascii="Arial" w:cs="Arial" w:eastAsia="Arial" w:hAnsi="Arial"/>
          <w:sz w:val="18"/>
          <w:szCs w:val="18"/>
          <w:color w:val="auto"/>
        </w:rPr>
        <w:t>and Permitted Refinancings thereof;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if such</w:t>
      </w:r>
      <w:r>
        <w:rPr>
          <w:rFonts w:ascii="Arial" w:cs="Arial" w:eastAsia="Arial" w:hAnsi="Arial"/>
          <w:sz w:val="18"/>
          <w:szCs w:val="18"/>
          <w:b w:val="1"/>
          <w:bCs w:val="1"/>
          <w:color w:val="auto"/>
        </w:rPr>
        <w:t xml:space="preserve"> </w:t>
      </w:r>
      <w:r>
        <w:rPr>
          <w:rFonts w:ascii="Arial" w:cs="Arial" w:eastAsia="Arial" w:hAnsi="Arial"/>
          <w:sz w:val="18"/>
          <w:szCs w:val="18"/>
          <w:color w:val="auto"/>
        </w:rPr>
        <w:t>Indebtedness is intercompany Indebtedness, such Indebtedness shall be subject to the Intercompany Subordination Agreement;</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279. </w:t>
      </w:r>
      <w:r>
        <w:rPr>
          <w:rFonts w:ascii="Arial" w:cs="Arial" w:eastAsia="Arial" w:hAnsi="Arial"/>
          <w:sz w:val="18"/>
          <w:szCs w:val="18"/>
          <w:color w:val="auto"/>
        </w:rPr>
        <w:t>accounts payable to trade creditors for goods and services and current operating liabilities (not the result of the borrowing of money)</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in the ordinary course of such Obligor’s or such Subsidiary’s business in accordance with customary terms and paid within the specified time, unless contested in good faith by appropriate proceedings and reserved for in accordance with GAAP;</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280. </w:t>
      </w:r>
      <w:r>
        <w:rPr>
          <w:rFonts w:ascii="Arial" w:cs="Arial" w:eastAsia="Arial" w:hAnsi="Arial"/>
          <w:sz w:val="16"/>
          <w:szCs w:val="16"/>
          <w:color w:val="auto"/>
        </w:rPr>
        <w:t>Indebtedness consisting of guarantees resulting from the endorsement of negotiable instruments for collection in the Ordinary Course;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281. </w:t>
      </w:r>
      <w:r>
        <w:rPr>
          <w:rFonts w:ascii="Arial" w:cs="Arial" w:eastAsia="Arial" w:hAnsi="Arial"/>
          <w:sz w:val="18"/>
          <w:szCs w:val="18"/>
          <w:color w:val="auto"/>
        </w:rPr>
        <w:t>Indebtedness of an Obligor owing to any other Obligor, in each case subject to the Intercompany Subordination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282. </w:t>
      </w:r>
      <w:r>
        <w:rPr>
          <w:rFonts w:ascii="Arial" w:cs="Arial" w:eastAsia="Arial" w:hAnsi="Arial"/>
          <w:sz w:val="18"/>
          <w:szCs w:val="18"/>
          <w:color w:val="auto"/>
        </w:rPr>
        <w:t>Indebtedness of any Subsidiary that is not an Obligor owing to any other Subsidiary that is not an Obligor;</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283. </w:t>
      </w:r>
      <w:r>
        <w:rPr>
          <w:rFonts w:ascii="Arial" w:cs="Arial" w:eastAsia="Arial" w:hAnsi="Arial"/>
          <w:sz w:val="18"/>
          <w:szCs w:val="18"/>
          <w:color w:val="auto"/>
        </w:rPr>
        <w:t>Indebtedness of any Obligor (other than the Borrower) owing to any Subsidiary that is not another Obligor, in each case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Intercompany Subordination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284. </w:t>
      </w:r>
      <w:r>
        <w:rPr>
          <w:rFonts w:ascii="Arial" w:cs="Arial" w:eastAsia="Arial" w:hAnsi="Arial"/>
          <w:sz w:val="18"/>
          <w:szCs w:val="18"/>
          <w:color w:val="auto"/>
        </w:rPr>
        <w:t>Guarantees by any Obligor of Permitted Indebtedness of another Obligor;</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SECTION 285. </w:t>
      </w:r>
      <w:r>
        <w:rPr>
          <w:rFonts w:ascii="Arial" w:cs="Arial" w:eastAsia="Arial" w:hAnsi="Arial"/>
          <w:sz w:val="16"/>
          <w:szCs w:val="16"/>
          <w:color w:val="auto"/>
        </w:rPr>
        <w:t>equipment and software financing and leasing (including Capital Lease Obligations and purchase money Indebtedness) and Permitted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Refinancings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secured, the collateral therefor consists solely of the assets being financed, the products and proceeds thereof and books and records related thereto, and (ii) the aggregate outstanding principal amount of such Indebtedness does not exceed $3,000,000 at any time;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286. </w:t>
      </w:r>
      <w:r>
        <w:rPr>
          <w:rFonts w:ascii="Arial" w:cs="Arial" w:eastAsia="Arial" w:hAnsi="Arial"/>
          <w:sz w:val="18"/>
          <w:szCs w:val="18"/>
          <w:color w:val="auto"/>
        </w:rPr>
        <w:t>Indebtedness under Permitted Hedging Agreements;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287. </w:t>
      </w:r>
      <w:r>
        <w:rPr>
          <w:rFonts w:ascii="Arial" w:cs="Arial" w:eastAsia="Arial" w:hAnsi="Arial"/>
          <w:sz w:val="18"/>
          <w:szCs w:val="18"/>
          <w:color w:val="auto"/>
        </w:rPr>
        <w:t>Indebtedness assumed pursuant to any Permitted Acquisition and Permitted Refinancings thereof;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(i) no such Indebtedness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(individually) shall exceed 15% of the total purchase price paid in connection with such Permitted Acquisition, (ii) the aggregate outstanding principal amount of Indebtedness permitted pursuant to this </w:t>
      </w:r>
      <w:r>
        <w:rPr>
          <w:rFonts w:ascii="Arial" w:cs="Arial" w:eastAsia="Arial" w:hAnsi="Arial"/>
          <w:sz w:val="18"/>
          <w:szCs w:val="18"/>
          <w:b w:val="1"/>
          <w:bCs w:val="1"/>
          <w:color w:val="auto"/>
        </w:rPr>
        <w:t>Section 9.01(k)</w:t>
      </w:r>
      <w:r>
        <w:rPr>
          <w:rFonts w:ascii="Arial" w:cs="Arial" w:eastAsia="Arial" w:hAnsi="Arial"/>
          <w:sz w:val="18"/>
          <w:szCs w:val="18"/>
          <w:color w:val="auto"/>
        </w:rPr>
        <w:t xml:space="preserve"> shall not exceed $5,000,000 at any time outstanding and (iii) no such Indebtedness was created or incurred in connection with, or in contemplation of, such Permitted Acquisition;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 xml:space="preserve">SECTION 288. </w:t>
      </w:r>
      <w:r>
        <w:rPr>
          <w:rFonts w:ascii="Arial" w:cs="Arial" w:eastAsia="Arial" w:hAnsi="Arial"/>
          <w:sz w:val="18"/>
          <w:szCs w:val="18"/>
          <w:color w:val="auto"/>
        </w:rPr>
        <w:t>unsecured Indebtedness in an aggregate outstanding principal amount not to exceed $3,500,000;</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SECTION 289. </w:t>
      </w:r>
      <w:r>
        <w:rPr>
          <w:rFonts w:ascii="Arial" w:cs="Arial" w:eastAsia="Arial" w:hAnsi="Arial"/>
          <w:sz w:val="16"/>
          <w:szCs w:val="16"/>
          <w:color w:val="auto"/>
        </w:rPr>
        <w:t>Indebtedness in respect of letters of credit, bank guarantees, bankers’ acceptances, warehouse receipts or similar instruments issued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created, or related to obligations or liabilities incurred, in the Ordinary Course, including in respect of workers compensation claims, health, disability or other employee benefits or property, leases, commercial contracts, Indebtedness permitted pursuant to </w:t>
      </w:r>
      <w:r>
        <w:rPr>
          <w:rFonts w:ascii="Arial" w:cs="Arial" w:eastAsia="Arial" w:hAnsi="Arial"/>
          <w:sz w:val="16"/>
          <w:szCs w:val="16"/>
          <w:b w:val="1"/>
          <w:bCs w:val="1"/>
          <w:color w:val="auto"/>
        </w:rPr>
        <w:t>Section 9.01(o)</w:t>
      </w:r>
      <w:r>
        <w:rPr>
          <w:rFonts w:ascii="Arial" w:cs="Arial" w:eastAsia="Arial" w:hAnsi="Arial"/>
          <w:sz w:val="16"/>
          <w:szCs w:val="16"/>
          <w:color w:val="auto"/>
        </w:rPr>
        <w:t>, property, casualty or liability insurance or self-insurance or other Indebtedness with respect to reimbursement-type obligations regarding workers compensation claims;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290. </w:t>
      </w:r>
      <w:r>
        <w:rPr>
          <w:rFonts w:ascii="Arial" w:cs="Arial" w:eastAsia="Arial" w:hAnsi="Arial"/>
          <w:sz w:val="18"/>
          <w:szCs w:val="18"/>
          <w:color w:val="auto"/>
        </w:rPr>
        <w:t>Indebtedness arising in connection with the financing of insurance premiums in the Ordinary Course;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291. </w:t>
      </w:r>
      <w:r>
        <w:rPr>
          <w:rFonts w:ascii="Arial" w:cs="Arial" w:eastAsia="Arial" w:hAnsi="Arial"/>
          <w:sz w:val="18"/>
          <w:szCs w:val="18"/>
          <w:color w:val="auto"/>
        </w:rPr>
        <w:t>Indebtedness in respect of (i) performance bonds, bid bonds, appeal bonds, surety bonds, customs bonds, government bonds,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completion guarantees and similar obligations arising in the Ordinary Course and (ii) customary indemnification obligations to purchasers in connection with Asset Sales permitted by </w:t>
      </w:r>
      <w:r>
        <w:rPr>
          <w:rFonts w:ascii="Arial" w:cs="Arial" w:eastAsia="Arial" w:hAnsi="Arial"/>
          <w:sz w:val="18"/>
          <w:szCs w:val="18"/>
          <w:b w:val="1"/>
          <w:bCs w:val="1"/>
          <w:color w:val="auto"/>
        </w:rPr>
        <w:t>Section 9.09</w:t>
      </w:r>
      <w:r>
        <w:rPr>
          <w:rFonts w:ascii="Arial" w:cs="Arial" w:eastAsia="Arial" w:hAnsi="Arial"/>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292. </w:t>
      </w:r>
      <w:r>
        <w:rPr>
          <w:rFonts w:ascii="Arial" w:cs="Arial" w:eastAsia="Arial" w:hAnsi="Arial"/>
          <w:sz w:val="18"/>
          <w:szCs w:val="18"/>
          <w:color w:val="auto"/>
        </w:rPr>
        <w:t>Indebtedness in respect of netting services, overdraft protections, business credit cards, purchasing cards, payment processing, automatic</w:t>
      </w:r>
      <w:r>
        <w:rPr>
          <w:rFonts w:ascii="Arial" w:cs="Arial" w:eastAsia="Arial" w:hAnsi="Arial"/>
          <w:sz w:val="18"/>
          <w:szCs w:val="18"/>
          <w:b w:val="1"/>
          <w:bCs w:val="1"/>
          <w:color w:val="auto"/>
        </w:rPr>
        <w:t xml:space="preserve"> </w:t>
      </w:r>
      <w:r>
        <w:rPr>
          <w:rFonts w:ascii="Arial" w:cs="Arial" w:eastAsia="Arial" w:hAnsi="Arial"/>
          <w:sz w:val="18"/>
          <w:szCs w:val="18"/>
          <w:color w:val="auto"/>
        </w:rPr>
        <w:t>clearinghouse arrangements, arrangements in respect of pooled deposit or sweep accounts, check endorsement guarantees, and otherwise in connection with deposit accounts or cash management services;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293. </w:t>
      </w:r>
      <w:r>
        <w:rPr>
          <w:rFonts w:ascii="Arial" w:cs="Arial" w:eastAsia="Arial" w:hAnsi="Arial"/>
          <w:sz w:val="18"/>
          <w:szCs w:val="18"/>
          <w:color w:val="auto"/>
        </w:rPr>
        <w:t>purchase price adjustments, indemnity payments, incentive, non-compete, consulting or other similar arrangements, contingent</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royalties and other Deferred Acquisition Consideration in connection with (i) any Permitted Acquisition, in each case that are permitted pursuant to the definition of “Permitted Acquisition” and (ii) the Eyevance Acquisition, in each case that are permitted pursuant to the definition of “Eyevance Acquisition”; or</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SECTION 294. </w:t>
      </w:r>
      <w:r>
        <w:rPr>
          <w:rFonts w:ascii="Arial" w:cs="Arial" w:eastAsia="Arial" w:hAnsi="Arial"/>
          <w:sz w:val="17"/>
          <w:szCs w:val="17"/>
          <w:color w:val="auto"/>
        </w:rPr>
        <w:t>Indebtedness in respect of the Existing Notes and any refinancing, extension, renewal or replacement thereof;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(i) any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refinancing, extension, renewal or replacement shall not (A) exceed the outstanding principal amount of the Existing Notes being refinanced, extended, renewed or replaced (including by application of any interest that may be paid-in-kind during the term of such refinanced, extended, renewed or replaced Indebtedness), (B) have a maturity date that is prior to the date that is 91 days after the Maturity Date hereunder, (C) contain any financial covenants, (D) contain any other terms that are less favorable in any material respect to the Obligors and their respective Subsidiaries, and/or to the Administrative Agent or the other Secured Parties, than the terms governing the Existing Notes being refinanced, extended, renewed or replaced, (E) have an applicable all-in yield (whether in the form of interest rate, margin, interest rate floor, upfront fees, original issue discount or any other similar fees paid to all lenders or holders generally;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upfront fees, original issue discount and other similar fees shall be equated to interest rate assuming a four (4) year life to maturity (or, if less, the stated life to maturity at the time of incurrence of the applicable Indebtedness)) which exceeds the rate of interest of the Existing Notes being refinanced, extended, renewed or replaced plus 1.00% per annum, (F) grant any Lien (and such Indebtedness shall be unsecured) or (G) give any Guarantee that was not an existing requirement of the Existing Notes and (ii) immediately prior to and immediately after such refinancing, extension, renewal or replacement, no Default or Event of Default shall exist;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3" w:name="page154"/>
    <w:bookmarkEnd w:id="153"/>
    <w:p>
      <w:pPr>
        <w:jc w:val="both"/>
        <w:spacing w:after="0" w:line="277" w:lineRule="auto"/>
        <w:rPr>
          <w:sz w:val="20"/>
          <w:szCs w:val="20"/>
          <w:color w:val="auto"/>
        </w:rPr>
      </w:pPr>
      <w:r>
        <w:rPr>
          <w:rFonts w:ascii="Arial" w:cs="Arial" w:eastAsia="Arial" w:hAnsi="Arial"/>
          <w:sz w:val="18"/>
          <w:szCs w:val="18"/>
          <w:b w:val="1"/>
          <w:bCs w:val="1"/>
          <w:i w:val="1"/>
          <w:iCs w:val="1"/>
          <w:color w:val="auto"/>
        </w:rPr>
        <w:t>SECTION 295. Liens</w:t>
      </w:r>
      <w:r>
        <w:rPr>
          <w:rFonts w:ascii="Arial" w:cs="Arial" w:eastAsia="Arial" w:hAnsi="Arial"/>
          <w:sz w:val="18"/>
          <w:szCs w:val="18"/>
          <w:color w:val="auto"/>
        </w:rPr>
        <w:t>. Such Obligor will not, and will not permit any of its Subsidiaries to, create, incur, assume or permit to exist any Lien on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now owned by it or such Subsidiary, except: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296. </w:t>
      </w:r>
      <w:r>
        <w:rPr>
          <w:rFonts w:ascii="Arial" w:cs="Arial" w:eastAsia="Arial" w:hAnsi="Arial"/>
          <w:sz w:val="18"/>
          <w:szCs w:val="18"/>
          <w:color w:val="auto"/>
        </w:rPr>
        <w:t>Liens securing the Obligations;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SECTION 297. </w:t>
      </w:r>
      <w:r>
        <w:rPr>
          <w:rFonts w:ascii="Arial" w:cs="Arial" w:eastAsia="Arial" w:hAnsi="Arial"/>
          <w:sz w:val="18"/>
          <w:szCs w:val="18"/>
          <w:color w:val="auto"/>
        </w:rPr>
        <w:t>any Lien on any property or asset of such Obligor or any of its Subsidiaries existing on the date hereof and set forth on</w:t>
      </w:r>
      <w:r>
        <w:rPr>
          <w:rFonts w:ascii="Arial" w:cs="Arial" w:eastAsia="Arial" w:hAnsi="Arial"/>
          <w:sz w:val="18"/>
          <w:szCs w:val="18"/>
          <w:b w:val="1"/>
          <w:bCs w:val="1"/>
          <w:color w:val="auto"/>
        </w:rPr>
        <w:t xml:space="preserve"> Schedule 9.02(b) </w:t>
      </w:r>
      <w:r>
        <w:rPr>
          <w:rFonts w:ascii="Arial" w:cs="Arial" w:eastAsia="Arial" w:hAnsi="Arial"/>
          <w:sz w:val="18"/>
          <w:szCs w:val="18"/>
          <w:color w:val="auto"/>
        </w:rPr>
        <w:t xml:space="preserve">and renewals and extensions thereof in connection with Permitted Refinancings of the Indebtedness being secured by such Lien;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such Lien (including any renewal or extension thereof) shall extend to any other property or asset of such Obligor or any of its Subsidiaries (other than improvements and accessions to such property or asset) and (ii) any such Lien shall secure only those obligations which it secures on the date hereof and renewals, extensions and replacements thereof in connection with Permitted Refinancings of the Indebtedness being secured by such Lien that do not increase the outstanding principal amount thereof (other than by an amount equal to unpaid interest and premiums thereon, including tender premium, and required prepayment premiums, and any customary underwriting discounts, fees, commissions and expenses associated with such extension, renewal or replacement);</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298. </w:t>
      </w:r>
      <w:r>
        <w:rPr>
          <w:rFonts w:ascii="Arial" w:cs="Arial" w:eastAsia="Arial" w:hAnsi="Arial"/>
          <w:sz w:val="18"/>
          <w:szCs w:val="18"/>
          <w:color w:val="auto"/>
        </w:rPr>
        <w:t>Liens securing Indebtedness permitted under</w:t>
      </w:r>
      <w:r>
        <w:rPr>
          <w:rFonts w:ascii="Arial" w:cs="Arial" w:eastAsia="Arial" w:hAnsi="Arial"/>
          <w:sz w:val="18"/>
          <w:szCs w:val="18"/>
          <w:b w:val="1"/>
          <w:bCs w:val="1"/>
          <w:color w:val="auto"/>
        </w:rPr>
        <w:t xml:space="preserve"> Section 9.01(i)</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such Liens are restricted solely to the collateral described in</w:t>
      </w:r>
      <w:r>
        <w:rPr>
          <w:rFonts w:ascii="Arial" w:cs="Arial" w:eastAsia="Arial" w:hAnsi="Arial"/>
          <w:sz w:val="18"/>
          <w:szCs w:val="18"/>
          <w:b w:val="1"/>
          <w:bCs w:val="1"/>
          <w:color w:val="auto"/>
        </w:rPr>
        <w:t xml:space="preserve"> Section 9.01(i)</w:t>
      </w:r>
      <w:r>
        <w:rPr>
          <w:rFonts w:ascii="Arial" w:cs="Arial" w:eastAsia="Arial" w:hAnsi="Arial"/>
          <w:sz w:val="18"/>
          <w:szCs w:val="18"/>
          <w:color w:val="auto"/>
        </w:rPr>
        <w:t>;</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SECTION 299. </w:t>
      </w:r>
      <w:r>
        <w:rPr>
          <w:rFonts w:ascii="Arial" w:cs="Arial" w:eastAsia="Arial" w:hAnsi="Arial"/>
          <w:sz w:val="17"/>
          <w:szCs w:val="17"/>
          <w:color w:val="auto"/>
        </w:rPr>
        <w:t>Liens imposed by any Law and arising in the Ordinary Course, including (but not limited to) carriers’, warehousemen’s, landlords’, and</w:t>
      </w:r>
      <w:r>
        <w:rPr>
          <w:rFonts w:ascii="Arial" w:cs="Arial" w:eastAsia="Arial" w:hAnsi="Arial"/>
          <w:sz w:val="17"/>
          <w:szCs w:val="17"/>
          <w:b w:val="1"/>
          <w:bCs w:val="1"/>
          <w:color w:val="auto"/>
        </w:rPr>
        <w:t xml:space="preserve"> </w:t>
      </w:r>
      <w:r>
        <w:rPr>
          <w:rFonts w:ascii="Arial" w:cs="Arial" w:eastAsia="Arial" w:hAnsi="Arial"/>
          <w:sz w:val="17"/>
          <w:szCs w:val="17"/>
          <w:color w:val="auto"/>
        </w:rPr>
        <w:t>mechanics’ liens, liens relating to leasehold improvements and other similar Liens arising in the Ordinary Course that (x) do not in the aggregate materially detract from the value of the property subject thereto or materially impair the use thereof in the operations of the business of such Person or (y) are being contested in good faith by appropriate proceedings, which proceedings have the effect of preventing the forfeiture or sale of the property subject to such Liens and for which adequate reserves have been made if required in accordance with GAAP;</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300. </w:t>
      </w:r>
      <w:r>
        <w:rPr>
          <w:rFonts w:ascii="Arial" w:cs="Arial" w:eastAsia="Arial" w:hAnsi="Arial"/>
          <w:sz w:val="18"/>
          <w:szCs w:val="18"/>
          <w:color w:val="auto"/>
        </w:rPr>
        <w:t>pledges or deposits made in the Ordinary Course in connection with bids, contract leases, appeal bonds, workers’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unemployment insurance or other similar social security legislation;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4" w:name="page155"/>
    <w:bookmarkEnd w:id="154"/>
    <w:p>
      <w:pPr>
        <w:jc w:val="both"/>
        <w:spacing w:after="0" w:line="266" w:lineRule="auto"/>
        <w:rPr>
          <w:sz w:val="20"/>
          <w:szCs w:val="20"/>
          <w:color w:val="auto"/>
        </w:rPr>
      </w:pPr>
      <w:r>
        <w:rPr>
          <w:rFonts w:ascii="Arial" w:cs="Arial" w:eastAsia="Arial" w:hAnsi="Arial"/>
          <w:sz w:val="18"/>
          <w:szCs w:val="18"/>
          <w:b w:val="1"/>
          <w:bCs w:val="1"/>
          <w:color w:val="auto"/>
        </w:rPr>
        <w:t xml:space="preserve">SECTION 301. </w:t>
      </w:r>
      <w:r>
        <w:rPr>
          <w:rFonts w:ascii="Arial" w:cs="Arial" w:eastAsia="Arial" w:hAnsi="Arial"/>
          <w:sz w:val="18"/>
          <w:szCs w:val="18"/>
          <w:color w:val="auto"/>
        </w:rPr>
        <w:t>Liens securing Taxes, assessments and other governmental charges, the payment of which is not past due or is being contested in good</w:t>
      </w:r>
      <w:r>
        <w:rPr>
          <w:rFonts w:ascii="Arial" w:cs="Arial" w:eastAsia="Arial" w:hAnsi="Arial"/>
          <w:sz w:val="18"/>
          <w:szCs w:val="18"/>
          <w:b w:val="1"/>
          <w:bCs w:val="1"/>
          <w:color w:val="auto"/>
        </w:rPr>
        <w:t xml:space="preserve"> </w:t>
      </w:r>
      <w:r>
        <w:rPr>
          <w:rFonts w:ascii="Arial" w:cs="Arial" w:eastAsia="Arial" w:hAnsi="Arial"/>
          <w:sz w:val="18"/>
          <w:szCs w:val="18"/>
          <w:color w:val="auto"/>
        </w:rPr>
        <w:t>faith by appropriate proceedings promptly initiated and diligently conducted and for which such reserve or other appropriate provisions, if any, as shall be required by GAAP shall have been made;</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302. </w:t>
      </w:r>
      <w:r>
        <w:rPr>
          <w:rFonts w:ascii="Arial" w:cs="Arial" w:eastAsia="Arial" w:hAnsi="Arial"/>
          <w:sz w:val="18"/>
          <w:szCs w:val="18"/>
          <w:color w:val="auto"/>
        </w:rPr>
        <w:t>any (i) servitudes, easements, rights of way, restrictions and other similar encumbrances on real property imposed by any Law, (ii) Liens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of zoning or building restrictions, (iii) easements, licenses, restrictions on the use of real property or minor imperfections in title thereto which, in the aggregate, are not material, and which do not in any case materially detract from the value of the property subject thereto or interfere with the ordinary conduct of the business of any of the Obligors or any of their Subsidiaries; and</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SECTION 303. </w:t>
      </w:r>
      <w:r>
        <w:rPr>
          <w:rFonts w:ascii="Arial" w:cs="Arial" w:eastAsia="Arial" w:hAnsi="Arial"/>
          <w:sz w:val="17"/>
          <w:szCs w:val="17"/>
          <w:color w:val="auto"/>
        </w:rPr>
        <w:t>with respect to any real property, (i) such defects or encroachments as might be revealed by an up-to-date survey of such real property; (ii)</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reservations, limitations, provisos and conditions expressed in the original grant, deed or patent of such property by the original owner of such real property pursuant to all applicable Laws; and (iii) rights of expropriation, access or user or any similar right conferred or reserved by or in any Law, which, in the aggregate for </w:t>
      </w:r>
      <w:r>
        <w:rPr>
          <w:rFonts w:ascii="Arial" w:cs="Arial" w:eastAsia="Arial" w:hAnsi="Arial"/>
          <w:sz w:val="17"/>
          <w:szCs w:val="17"/>
          <w:b w:val="1"/>
          <w:bCs w:val="1"/>
          <w:color w:val="auto"/>
        </w:rPr>
        <w:t>clauses (i)</w:t>
      </w:r>
      <w:r>
        <w:rPr>
          <w:rFonts w:ascii="Arial" w:cs="Arial" w:eastAsia="Arial" w:hAnsi="Arial"/>
          <w:sz w:val="17"/>
          <w:szCs w:val="17"/>
          <w:color w:val="auto"/>
        </w:rPr>
        <w:t xml:space="preserve">, </w:t>
      </w:r>
      <w:r>
        <w:rPr>
          <w:rFonts w:ascii="Arial" w:cs="Arial" w:eastAsia="Arial" w:hAnsi="Arial"/>
          <w:sz w:val="17"/>
          <w:szCs w:val="17"/>
          <w:b w:val="1"/>
          <w:bCs w:val="1"/>
          <w:color w:val="auto"/>
        </w:rPr>
        <w:t>(ii)</w:t>
      </w:r>
      <w:r>
        <w:rPr>
          <w:rFonts w:ascii="Arial" w:cs="Arial" w:eastAsia="Arial" w:hAnsi="Arial"/>
          <w:sz w:val="17"/>
          <w:szCs w:val="17"/>
          <w:color w:val="auto"/>
        </w:rPr>
        <w:t xml:space="preserve"> and </w:t>
      </w:r>
      <w:r>
        <w:rPr>
          <w:rFonts w:ascii="Arial" w:cs="Arial" w:eastAsia="Arial" w:hAnsi="Arial"/>
          <w:sz w:val="17"/>
          <w:szCs w:val="17"/>
          <w:b w:val="1"/>
          <w:bCs w:val="1"/>
          <w:color w:val="auto"/>
        </w:rPr>
        <w:t>(iii)</w:t>
      </w:r>
      <w:r>
        <w:rPr>
          <w:rFonts w:ascii="Arial" w:cs="Arial" w:eastAsia="Arial" w:hAnsi="Arial"/>
          <w:sz w:val="17"/>
          <w:szCs w:val="17"/>
          <w:color w:val="auto"/>
        </w:rPr>
        <w:t>, are not material, and which do not in any case materially detract from the value of the property subject thereto or interfere with the ordinary conduct of the business of any of the Obligors or its Subsidiaries;</w:t>
      </w:r>
    </w:p>
    <w:p>
      <w:pPr>
        <w:spacing w:after="0" w:line="172" w:lineRule="exact"/>
        <w:rPr>
          <w:sz w:val="20"/>
          <w:szCs w:val="20"/>
          <w:color w:val="auto"/>
        </w:rPr>
      </w:pPr>
    </w:p>
    <w:p>
      <w:pPr>
        <w:ind w:firstLine="656"/>
        <w:spacing w:after="0" w:line="277" w:lineRule="auto"/>
        <w:tabs>
          <w:tab w:leader="none" w:pos="876"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bankers liens, rights of setoff and similar Liens incurred on deposits or other assets credited to any deposit or securities account made in the Ordinary Course;</w:t>
      </w:r>
    </w:p>
    <w:p>
      <w:pPr>
        <w:spacing w:after="0" w:line="166" w:lineRule="exact"/>
        <w:rPr>
          <w:rFonts w:ascii="Arial" w:cs="Arial" w:eastAsia="Arial" w:hAnsi="Arial"/>
          <w:sz w:val="18"/>
          <w:szCs w:val="18"/>
          <w:color w:val="auto"/>
        </w:rPr>
      </w:pPr>
    </w:p>
    <w:p>
      <w:pPr>
        <w:jc w:val="both"/>
        <w:ind w:firstLine="656"/>
        <w:spacing w:after="0" w:line="277" w:lineRule="auto"/>
        <w:tabs>
          <w:tab w:leader="none" w:pos="876"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under </w:t>
      </w:r>
      <w:r>
        <w:rPr>
          <w:rFonts w:ascii="Arial" w:cs="Arial" w:eastAsia="Arial" w:hAnsi="Arial"/>
          <w:sz w:val="17"/>
          <w:szCs w:val="17"/>
          <w:b w:val="1"/>
          <w:bCs w:val="1"/>
          <w:color w:val="auto"/>
        </w:rPr>
        <w:t>Section 9.01(k)</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 is not created in contemplation of or in connection with such Permitted Acquisition pursuant to which such Indebtedness was assumed, (ii) such Lien shall not apply to any other property or assets of the Borrower or any Subsidiary other than the assets subject to such Liens immediately prior to the consummation of the Permitted Acquisition, and (iii) such Lien shall secure only those obligations that it secured immediately prior to the consummation of such Permitted Acquisition, and extensions, renewals and replacements thereof that do not increase the outstanding principal amount thereof;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 xml:space="preserve">SECTION 304. </w:t>
      </w:r>
      <w:r>
        <w:rPr>
          <w:rFonts w:ascii="Arial" w:cs="Arial" w:eastAsia="Arial" w:hAnsi="Arial"/>
          <w:sz w:val="18"/>
          <w:szCs w:val="18"/>
          <w:color w:val="auto"/>
        </w:rPr>
        <w:t>Liens securing Indebtedness permitted under</w:t>
      </w:r>
      <w:r>
        <w:rPr>
          <w:rFonts w:ascii="Arial" w:cs="Arial" w:eastAsia="Arial" w:hAnsi="Arial"/>
          <w:sz w:val="18"/>
          <w:szCs w:val="18"/>
          <w:b w:val="1"/>
          <w:bCs w:val="1"/>
          <w:color w:val="auto"/>
        </w:rPr>
        <w:t xml:space="preserve"> Sections 9.01(m), (n), (o) </w:t>
      </w:r>
      <w:r>
        <w:rPr>
          <w:rFonts w:ascii="Arial" w:cs="Arial" w:eastAsia="Arial" w:hAnsi="Arial"/>
          <w:sz w:val="18"/>
          <w:szCs w:val="18"/>
          <w:color w:val="auto"/>
        </w:rPr>
        <w:t>and</w:t>
      </w:r>
      <w:r>
        <w:rPr>
          <w:rFonts w:ascii="Arial" w:cs="Arial" w:eastAsia="Arial" w:hAnsi="Arial"/>
          <w:sz w:val="18"/>
          <w:szCs w:val="18"/>
          <w:b w:val="1"/>
          <w:bCs w:val="1"/>
          <w:color w:val="auto"/>
        </w:rPr>
        <w:t xml:space="preserve"> (p)</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305. </w:t>
      </w:r>
      <w:r>
        <w:rPr>
          <w:rFonts w:ascii="Arial" w:cs="Arial" w:eastAsia="Arial" w:hAnsi="Arial"/>
          <w:sz w:val="18"/>
          <w:szCs w:val="18"/>
          <w:color w:val="auto"/>
        </w:rPr>
        <w:t>any judgment Lien or Lien arising from decrees or attachments not constituting an Event of Default;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306. </w:t>
      </w:r>
      <w:r>
        <w:rPr>
          <w:rFonts w:ascii="Arial" w:cs="Arial" w:eastAsia="Arial" w:hAnsi="Arial"/>
          <w:sz w:val="18"/>
          <w:szCs w:val="18"/>
          <w:color w:val="auto"/>
        </w:rPr>
        <w:t>Liens arising from precautionary UCC financing statement filings regarding operating leases of personal property and consignment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entered into in the Ordinary Course in an Arm’s Length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307. </w:t>
      </w:r>
      <w:r>
        <w:rPr>
          <w:rFonts w:ascii="Arial" w:cs="Arial" w:eastAsia="Arial" w:hAnsi="Arial"/>
          <w:sz w:val="18"/>
          <w:szCs w:val="18"/>
          <w:color w:val="auto"/>
        </w:rPr>
        <w:t>Liens which secure obligations in an aggregate amount not to exceed $3,500,000 at any time outstanding;</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308. </w:t>
      </w:r>
      <w:r>
        <w:rPr>
          <w:rFonts w:ascii="Arial" w:cs="Arial" w:eastAsia="Arial" w:hAnsi="Arial"/>
          <w:sz w:val="18"/>
          <w:szCs w:val="18"/>
          <w:color w:val="auto"/>
        </w:rPr>
        <w:t>Liens in favor of customs and revenue authorities arising as a matter of law to secure payment of customs duties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importation of goods and incurred in the Ordinary Course;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309. </w:t>
      </w:r>
      <w:r>
        <w:rPr>
          <w:rFonts w:ascii="Arial" w:cs="Arial" w:eastAsia="Arial" w:hAnsi="Arial"/>
          <w:sz w:val="18"/>
          <w:szCs w:val="18"/>
          <w:color w:val="auto"/>
        </w:rPr>
        <w:t>Permitted Licenses;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310. </w:t>
      </w:r>
      <w:r>
        <w:rPr>
          <w:rFonts w:ascii="Arial" w:cs="Arial" w:eastAsia="Arial" w:hAnsi="Arial"/>
          <w:sz w:val="18"/>
          <w:szCs w:val="18"/>
          <w:color w:val="auto"/>
        </w:rPr>
        <w:t>Liens on cash and Cash Equivalent Investments securing obligations under Permitted Hedging Agreements;</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SECTION 311. </w:t>
      </w:r>
      <w:r>
        <w:rPr>
          <w:rFonts w:ascii="Arial" w:cs="Arial" w:eastAsia="Arial" w:hAnsi="Arial"/>
          <w:sz w:val="16"/>
          <w:szCs w:val="16"/>
          <w:color w:val="auto"/>
        </w:rPr>
        <w:t>(i) Liens to secure payment of workers’ compensation, employment insurance, old age pensions, social security and other like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incurred in the Ordinary Course (other than Liens imposed by ERISA) and (ii) deposits in respect of letters of credit, bank guarantees or similar instruments issued for the account of any Obligor or any Subsidiary in the Ordinary Course supporting obligations of the type set forth in clause (i) above;</w:t>
      </w:r>
    </w:p>
    <w:p>
      <w:pPr>
        <w:spacing w:after="0" w:line="142"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SECTION 312. </w:t>
      </w:r>
      <w:r>
        <w:rPr>
          <w:rFonts w:ascii="Arial" w:cs="Arial" w:eastAsia="Arial" w:hAnsi="Arial"/>
          <w:sz w:val="17"/>
          <w:szCs w:val="17"/>
          <w:color w:val="auto"/>
        </w:rPr>
        <w:t>to the extent constituting a Lien, customary cash escrow arrangements securing indemnification obligations associated with a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Acquisition, the Eyevance Acquisition or any other Investment permitted under </w:t>
      </w:r>
      <w:r>
        <w:rPr>
          <w:rFonts w:ascii="Arial" w:cs="Arial" w:eastAsia="Arial" w:hAnsi="Arial"/>
          <w:sz w:val="17"/>
          <w:szCs w:val="17"/>
          <w:b w:val="1"/>
          <w:bCs w:val="1"/>
          <w:color w:val="auto"/>
        </w:rPr>
        <w:t>Section 9.05</w:t>
      </w:r>
      <w:r>
        <w:rPr>
          <w:rFonts w:ascii="Arial" w:cs="Arial" w:eastAsia="Arial" w:hAnsi="Arial"/>
          <w:sz w:val="17"/>
          <w:szCs w:val="17"/>
          <w:color w:val="auto"/>
        </w:rPr>
        <w:t xml:space="preserve"> not to exceed $2,500,000 in the aggregate;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313. </w:t>
      </w:r>
      <w:r>
        <w:rPr>
          <w:rFonts w:ascii="Arial" w:cs="Arial" w:eastAsia="Arial" w:hAnsi="Arial"/>
          <w:sz w:val="18"/>
          <w:szCs w:val="18"/>
          <w:color w:val="auto"/>
        </w:rPr>
        <w:t>Liens of a collection bank arising under Section 4-210 of the Uniform Commercial Code on items in the course of collection;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SECTION 314. </w:t>
      </w:r>
      <w:r>
        <w:rPr>
          <w:rFonts w:ascii="Arial" w:cs="Arial" w:eastAsia="Arial" w:hAnsi="Arial"/>
          <w:sz w:val="17"/>
          <w:szCs w:val="17"/>
          <w:color w:val="auto"/>
        </w:rPr>
        <w:t>Liens of sellers of goods to the Borrower and any of its Subsidiaries arising under Article 2 of the Uniform Commercial Code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Ordinary Course, covering only the goods sold and securing only the unpaid purchase price for such goods and related expenses;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6" w:name="page157"/>
    <w:bookmarkEnd w:id="156"/>
    <w:p>
      <w:pPr>
        <w:spacing w:after="0" w:line="282" w:lineRule="auto"/>
        <w:rPr>
          <w:sz w:val="20"/>
          <w:szCs w:val="20"/>
          <w:color w:val="auto"/>
        </w:rPr>
      </w:pPr>
      <w:r>
        <w:rPr>
          <w:rFonts w:ascii="Arial" w:cs="Arial" w:eastAsia="Arial" w:hAnsi="Arial"/>
          <w:sz w:val="18"/>
          <w:szCs w:val="18"/>
          <w:b w:val="1"/>
          <w:bCs w:val="1"/>
          <w:color w:val="auto"/>
        </w:rPr>
        <w:t xml:space="preserve">SECTION 315. </w:t>
      </w:r>
      <w:r>
        <w:rPr>
          <w:rFonts w:ascii="Arial" w:cs="Arial" w:eastAsia="Arial" w:hAnsi="Arial"/>
          <w:sz w:val="18"/>
          <w:szCs w:val="18"/>
          <w:color w:val="auto"/>
        </w:rPr>
        <w:t>rights of first refusal, voting, redemption, transfer or other restrictions (including call provisions and buy-sell provisions)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Equity Interests of any Joint Venture or other Persons that are not Subsidiaries; and</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SECTION 316. </w:t>
      </w:r>
      <w:r>
        <w:rPr>
          <w:rFonts w:ascii="Arial" w:cs="Arial" w:eastAsia="Arial" w:hAnsi="Arial"/>
          <w:sz w:val="18"/>
          <w:szCs w:val="18"/>
          <w:color w:val="auto"/>
        </w:rPr>
        <w:t>any Lien arising under conditional sale, title retention, consignment or similar arrangements for the sale of goods in the Ordinary Course;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 attaches only to the goods subject to such sale, title retention, consignment or similar arrangement;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Lien otherwise permitted under any of the foregoing </w:t>
      </w:r>
      <w:r>
        <w:rPr>
          <w:rFonts w:ascii="Arial" w:cs="Arial" w:eastAsia="Arial" w:hAnsi="Arial"/>
          <w:sz w:val="16"/>
          <w:szCs w:val="16"/>
          <w:b w:val="1"/>
          <w:bCs w:val="1"/>
          <w:color w:val="auto"/>
        </w:rPr>
        <w:t>clauses (c), (d), (e)</w:t>
      </w:r>
      <w:r>
        <w:rPr>
          <w:rFonts w:ascii="Arial" w:cs="Arial" w:eastAsia="Arial" w:hAnsi="Arial"/>
          <w:sz w:val="16"/>
          <w:szCs w:val="16"/>
          <w:color w:val="auto"/>
        </w:rPr>
        <w:t xml:space="preserve">, </w:t>
      </w:r>
      <w:r>
        <w:rPr>
          <w:rFonts w:ascii="Arial" w:cs="Arial" w:eastAsia="Arial" w:hAnsi="Arial"/>
          <w:sz w:val="16"/>
          <w:szCs w:val="16"/>
          <w:b w:val="1"/>
          <w:bCs w:val="1"/>
          <w:color w:val="auto"/>
        </w:rPr>
        <w:t>(g)</w:t>
      </w:r>
      <w:r>
        <w:rPr>
          <w:rFonts w:ascii="Arial" w:cs="Arial" w:eastAsia="Arial" w:hAnsi="Arial"/>
          <w:sz w:val="16"/>
          <w:szCs w:val="16"/>
          <w:color w:val="auto"/>
        </w:rPr>
        <w:t xml:space="preserve"> through </w:t>
      </w:r>
      <w:r>
        <w:rPr>
          <w:rFonts w:ascii="Arial" w:cs="Arial" w:eastAsia="Arial" w:hAnsi="Arial"/>
          <w:sz w:val="16"/>
          <w:szCs w:val="16"/>
          <w:b w:val="1"/>
          <w:bCs w:val="1"/>
          <w:color w:val="auto"/>
        </w:rPr>
        <w:t>(k), (m), (n), (o)</w:t>
      </w:r>
      <w:r>
        <w:rPr>
          <w:rFonts w:ascii="Arial" w:cs="Arial" w:eastAsia="Arial" w:hAnsi="Arial"/>
          <w:sz w:val="16"/>
          <w:szCs w:val="16"/>
          <w:color w:val="auto"/>
        </w:rPr>
        <w:t xml:space="preserve"> and </w:t>
      </w:r>
      <w:r>
        <w:rPr>
          <w:rFonts w:ascii="Arial" w:cs="Arial" w:eastAsia="Arial" w:hAnsi="Arial"/>
          <w:sz w:val="16"/>
          <w:szCs w:val="16"/>
          <w:b w:val="1"/>
          <w:bCs w:val="1"/>
          <w:color w:val="auto"/>
        </w:rPr>
        <w:t>(q)</w:t>
      </w:r>
      <w:r>
        <w:rPr>
          <w:rFonts w:ascii="Arial" w:cs="Arial" w:eastAsia="Arial" w:hAnsi="Arial"/>
          <w:sz w:val="16"/>
          <w:szCs w:val="16"/>
          <w:color w:val="auto"/>
        </w:rPr>
        <w:t xml:space="preserve"> through</w:t>
      </w:r>
    </w:p>
    <w:p>
      <w:pPr>
        <w:spacing w:after="0" w:line="50" w:lineRule="exact"/>
        <w:rPr>
          <w:sz w:val="20"/>
          <w:szCs w:val="20"/>
          <w:color w:val="auto"/>
        </w:rPr>
      </w:pPr>
    </w:p>
    <w:p>
      <w:pPr>
        <w:ind w:left="300" w:hanging="292"/>
        <w:spacing w:after="0"/>
        <w:tabs>
          <w:tab w:leader="none" w:pos="30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 xml:space="preserve">of this </w:t>
      </w:r>
      <w:r>
        <w:rPr>
          <w:rFonts w:ascii="Arial" w:cs="Arial" w:eastAsia="Arial" w:hAnsi="Arial"/>
          <w:sz w:val="18"/>
          <w:szCs w:val="18"/>
          <w:b w:val="1"/>
          <w:bCs w:val="1"/>
          <w:color w:val="auto"/>
        </w:rPr>
        <w:t>Section 9.02</w:t>
      </w:r>
      <w:r>
        <w:rPr>
          <w:rFonts w:ascii="Arial" w:cs="Arial" w:eastAsia="Arial" w:hAnsi="Arial"/>
          <w:sz w:val="18"/>
          <w:szCs w:val="18"/>
          <w:color w:val="auto"/>
        </w:rPr>
        <w:t xml:space="preserve"> shall apply to any Material Intellectual Property.</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SECTION 317. Fundamental Changes and Acquisitions</w:t>
      </w:r>
      <w:r>
        <w:rPr>
          <w:rFonts w:ascii="Arial" w:cs="Arial" w:eastAsia="Arial" w:hAnsi="Arial"/>
          <w:sz w:val="18"/>
          <w:szCs w:val="18"/>
          <w:color w:val="auto"/>
        </w:rPr>
        <w:t>. Such Obligor will not, and will not permit any of its Subsidiaries to, (i) enter into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transaction of merger, amalgamation or consolidation, (ii) liquidate, wind up or dissolve itself (or suffer any liquidation or dissolution), (iii) sell or issue any of its Disqualified Equity Interests or (iv) other than Permitted Acquisitions, the Eyevance Acquisition and any Acquisition permitted by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9.05(a) </w:t>
      </w:r>
      <w:r>
        <w:rPr>
          <w:rFonts w:ascii="Arial" w:cs="Arial" w:eastAsia="Arial" w:hAnsi="Arial"/>
          <w:sz w:val="18"/>
          <w:szCs w:val="18"/>
          <w:color w:val="auto"/>
        </w:rPr>
        <w:t>or</w:t>
      </w:r>
      <w:r>
        <w:rPr>
          <w:rFonts w:ascii="Arial" w:cs="Arial" w:eastAsia="Arial" w:hAnsi="Arial"/>
          <w:sz w:val="18"/>
          <w:szCs w:val="18"/>
          <w:b w:val="1"/>
          <w:bCs w:val="1"/>
          <w:color w:val="auto"/>
        </w:rPr>
        <w:t xml:space="preserve"> Section 9.05(t)</w:t>
      </w:r>
      <w:r>
        <w:rPr>
          <w:rFonts w:ascii="Arial" w:cs="Arial" w:eastAsia="Arial" w:hAnsi="Arial"/>
          <w:sz w:val="18"/>
          <w:szCs w:val="18"/>
          <w:color w:val="auto"/>
        </w:rPr>
        <w:t>, make any Acquisition or otherwise acquire any business or substantially all the property from, or Equity Interests of, or be a</w:t>
      </w:r>
      <w:r>
        <w:rPr>
          <w:rFonts w:ascii="Arial" w:cs="Arial" w:eastAsia="Arial" w:hAnsi="Arial"/>
          <w:sz w:val="18"/>
          <w:szCs w:val="18"/>
          <w:b w:val="1"/>
          <w:bCs w:val="1"/>
          <w:color w:val="auto"/>
        </w:rPr>
        <w:t xml:space="preserve"> </w:t>
      </w:r>
      <w:r>
        <w:rPr>
          <w:rFonts w:ascii="Arial" w:cs="Arial" w:eastAsia="Arial" w:hAnsi="Arial"/>
          <w:sz w:val="18"/>
          <w:szCs w:val="18"/>
          <w:color w:val="auto"/>
        </w:rPr>
        <w:t>party to any Acquisition of, any Person, except:</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318. </w:t>
      </w:r>
      <w:r>
        <w:rPr>
          <w:rFonts w:ascii="Arial" w:cs="Arial" w:eastAsia="Arial" w:hAnsi="Arial"/>
          <w:sz w:val="18"/>
          <w:szCs w:val="18"/>
          <w:color w:val="auto"/>
        </w:rPr>
        <w:t>the merger, amalgamation, consolidation, dissolution, winding up or liquidation of any (i) Subsidiary with or into any Obligor;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with respect to any such transaction involving (x) the Borrower, the Borrower must be the surviving or successor entity of such transaction or (y) any other Obligor, an Obligor must be the surviving or successor entity of such transaction or the surviving Person shall concurrently therewith become an Obligor or (ii) Subsidiary that is not an Obligor with or into any other Subsidiary that is not an Obligor;</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319. </w:t>
      </w:r>
      <w:r>
        <w:rPr>
          <w:rFonts w:ascii="Arial" w:cs="Arial" w:eastAsia="Arial" w:hAnsi="Arial"/>
          <w:sz w:val="18"/>
          <w:szCs w:val="18"/>
          <w:color w:val="auto"/>
        </w:rPr>
        <w:t>the sale, lease, transfer or other disposition by (i) any Obligor (other than the Borrower) of any or all of its property (upon voluntary</w:t>
      </w:r>
      <w:r>
        <w:rPr>
          <w:rFonts w:ascii="Arial" w:cs="Arial" w:eastAsia="Arial" w:hAnsi="Arial"/>
          <w:sz w:val="18"/>
          <w:szCs w:val="18"/>
          <w:b w:val="1"/>
          <w:bCs w:val="1"/>
          <w:color w:val="auto"/>
        </w:rPr>
        <w:t xml:space="preserve"> </w:t>
      </w:r>
      <w:r>
        <w:rPr>
          <w:rFonts w:ascii="Arial" w:cs="Arial" w:eastAsia="Arial" w:hAnsi="Arial"/>
          <w:sz w:val="18"/>
          <w:szCs w:val="18"/>
          <w:color w:val="auto"/>
        </w:rPr>
        <w:t>liquidation, dissolution, winding-up or otherwise) to the any other Obligor or to any entity that concurrently therewith shall become an Obligor or (ii) any Subsidiary that not an Obligor of any or all of its property (upon voluntary liquidation, dissolution, winding-up or otherwise) to any other Subsidiary that is not an Obligor;</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320. </w:t>
      </w:r>
      <w:r>
        <w:rPr>
          <w:rFonts w:ascii="Arial" w:cs="Arial" w:eastAsia="Arial" w:hAnsi="Arial"/>
          <w:sz w:val="18"/>
          <w:szCs w:val="18"/>
          <w:color w:val="auto"/>
        </w:rPr>
        <w:t>the sale, transfer or other disposition of the Equity Interests of (i) any Subsidiary to an Obligor or (ii) any Subsidiary that is not an Obligor</w:t>
      </w:r>
      <w:r>
        <w:rPr>
          <w:rFonts w:ascii="Arial" w:cs="Arial" w:eastAsia="Arial" w:hAnsi="Arial"/>
          <w:sz w:val="18"/>
          <w:szCs w:val="18"/>
          <w:b w:val="1"/>
          <w:bCs w:val="1"/>
          <w:color w:val="auto"/>
        </w:rPr>
        <w:t xml:space="preserve"> </w:t>
      </w:r>
      <w:r>
        <w:rPr>
          <w:rFonts w:ascii="Arial" w:cs="Arial" w:eastAsia="Arial" w:hAnsi="Arial"/>
          <w:sz w:val="18"/>
          <w:szCs w:val="18"/>
          <w:color w:val="auto"/>
        </w:rPr>
        <w:t>owned by a Subsidiary that is not an Obligor, to any other Subsidiary that is not an Obligor;</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321. </w:t>
      </w:r>
      <w:r>
        <w:rPr>
          <w:rFonts w:ascii="Arial" w:cs="Arial" w:eastAsia="Arial" w:hAnsi="Arial"/>
          <w:sz w:val="18"/>
          <w:szCs w:val="18"/>
          <w:color w:val="auto"/>
        </w:rPr>
        <w:t>mergers, amalgamations, consolidations, dissolutions or liquidations of any Subsidiary to effectuate any Asset Sales permitted under</w:t>
      </w:r>
      <w:r>
        <w:rPr>
          <w:rFonts w:ascii="Arial" w:cs="Arial" w:eastAsia="Arial" w:hAnsi="Arial"/>
          <w:sz w:val="18"/>
          <w:szCs w:val="18"/>
          <w:b w:val="1"/>
          <w:bCs w:val="1"/>
          <w:color w:val="auto"/>
        </w:rPr>
        <w:t xml:space="preserve"> Section 9.09</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Borrower shall be the surviving or receiving party, as applicable, with respect to any such merger, amalgamation,</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consolidation, dissolution or liquidation that involves the Borrower; 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7" w:name="page158"/>
    <w:bookmarkEnd w:id="157"/>
    <w:p>
      <w:pPr>
        <w:jc w:val="both"/>
        <w:spacing w:after="0" w:line="277" w:lineRule="auto"/>
        <w:rPr>
          <w:sz w:val="20"/>
          <w:szCs w:val="20"/>
          <w:color w:val="auto"/>
        </w:rPr>
      </w:pPr>
      <w:r>
        <w:rPr>
          <w:rFonts w:ascii="Arial" w:cs="Arial" w:eastAsia="Arial" w:hAnsi="Arial"/>
          <w:sz w:val="17"/>
          <w:szCs w:val="17"/>
          <w:b w:val="1"/>
          <w:bCs w:val="1"/>
          <w:color w:val="auto"/>
        </w:rPr>
        <w:t xml:space="preserve">SECTION 322. </w:t>
      </w:r>
      <w:r>
        <w:rPr>
          <w:rFonts w:ascii="Arial" w:cs="Arial" w:eastAsia="Arial" w:hAnsi="Arial"/>
          <w:sz w:val="17"/>
          <w:szCs w:val="17"/>
          <w:color w:val="auto"/>
        </w:rPr>
        <w:t>in connection with any Permitted Acquisition or other Investment permitted under</w:t>
      </w:r>
      <w:r>
        <w:rPr>
          <w:rFonts w:ascii="Arial" w:cs="Arial" w:eastAsia="Arial" w:hAnsi="Arial"/>
          <w:sz w:val="17"/>
          <w:szCs w:val="17"/>
          <w:b w:val="1"/>
          <w:bCs w:val="1"/>
          <w:color w:val="auto"/>
        </w:rPr>
        <w:t xml:space="preserve"> Section 9.05</w:t>
      </w:r>
      <w:r>
        <w:rPr>
          <w:rFonts w:ascii="Arial" w:cs="Arial" w:eastAsia="Arial" w:hAnsi="Arial"/>
          <w:sz w:val="17"/>
          <w:szCs w:val="17"/>
          <w:color w:val="auto"/>
        </w:rPr>
        <w:t>, any Obligor or any of its Subsidiaries may</w:t>
      </w:r>
      <w:r>
        <w:rPr>
          <w:rFonts w:ascii="Arial" w:cs="Arial" w:eastAsia="Arial" w:hAnsi="Arial"/>
          <w:sz w:val="17"/>
          <w:szCs w:val="17"/>
          <w:b w:val="1"/>
          <w:bCs w:val="1"/>
          <w:color w:val="auto"/>
        </w:rPr>
        <w:t xml:space="preserve"> </w:t>
      </w:r>
      <w:r>
        <w:rPr>
          <w:rFonts w:ascii="Arial" w:cs="Arial" w:eastAsia="Arial" w:hAnsi="Arial"/>
          <w:sz w:val="17"/>
          <w:szCs w:val="17"/>
          <w:color w:val="auto"/>
        </w:rPr>
        <w:t>merge into or consolidate with any other Person or permit any other Person to merge into or consolidate with it, so long as (i) the Person surviving such merger with any Subsidiary shall be a direct or indirect wholly-owned Subsidiary of the Borrower, (ii) in the case of any such merger to which the Borrower is a party, the Borrower is the surviving Person, and (iii) in the case of any such merger to which a Subsidiary Guarantor is a party, the surviving Person is such Subsidiary Guarantor or concurrently therewith becomes a Subsidiary Guarantor.</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SECTION 323. Lines of Business</w:t>
      </w:r>
      <w:r>
        <w:rPr>
          <w:rFonts w:ascii="Arial" w:cs="Arial" w:eastAsia="Arial" w:hAnsi="Arial"/>
          <w:sz w:val="18"/>
          <w:szCs w:val="18"/>
          <w:color w:val="auto"/>
        </w:rPr>
        <w:t>. Such Obligor will not, and will not permit any of its Subsidiaries to, engage in any business other than the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engaged in on the date hereof by such Persons or a business reasonably related, incidental or complementary thereto or reasonable expansions or extensions thereof.</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SECTION 324. Investments</w:t>
      </w:r>
      <w:r>
        <w:rPr>
          <w:rFonts w:ascii="Arial" w:cs="Arial" w:eastAsia="Arial" w:hAnsi="Arial"/>
          <w:sz w:val="18"/>
          <w:szCs w:val="18"/>
          <w:color w:val="auto"/>
        </w:rPr>
        <w:t>. Such Obligor will not, and will not permit any of its Subsidiaries to, make, directly or indirectly, or permit to remain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any Investments except:</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SECTION 325. </w:t>
      </w:r>
      <w:r>
        <w:rPr>
          <w:rFonts w:ascii="Arial" w:cs="Arial" w:eastAsia="Arial" w:hAnsi="Arial"/>
          <w:sz w:val="17"/>
          <w:szCs w:val="17"/>
          <w:color w:val="auto"/>
        </w:rPr>
        <w:t>Investments (but without giving effect to the cash return provision contained in the definition thereof) outstanding on the date hereof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identified in </w:t>
      </w:r>
      <w:r>
        <w:rPr>
          <w:rFonts w:ascii="Arial" w:cs="Arial" w:eastAsia="Arial" w:hAnsi="Arial"/>
          <w:sz w:val="17"/>
          <w:szCs w:val="17"/>
          <w:b w:val="1"/>
          <w:bCs w:val="1"/>
          <w:color w:val="auto"/>
        </w:rPr>
        <w:t>Schedule 9.05(a)</w:t>
      </w:r>
      <w:r>
        <w:rPr>
          <w:rFonts w:ascii="Arial" w:cs="Arial" w:eastAsia="Arial" w:hAnsi="Arial"/>
          <w:sz w:val="17"/>
          <w:szCs w:val="17"/>
          <w:color w:val="auto"/>
        </w:rPr>
        <w:t xml:space="preserve"> and any renewals, amendments and replacements thereof that do not increase the amount thereof of any such Investment, net of cash returns thereon, or require that any additional Investment be made (unless otherwise permitted hereunder);</w:t>
      </w:r>
    </w:p>
    <w:p>
      <w:pPr>
        <w:spacing w:after="0" w:line="1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326. </w:t>
      </w:r>
      <w:r>
        <w:rPr>
          <w:rFonts w:ascii="Arial" w:cs="Arial" w:eastAsia="Arial" w:hAnsi="Arial"/>
          <w:sz w:val="18"/>
          <w:szCs w:val="18"/>
          <w:color w:val="auto"/>
        </w:rPr>
        <w:t>deposit accounts with banks (or similar deposit-taking institutions) and securities accounts maintained by the Obligors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which in the case of the Obligors shall be Controlled Accounts (unless Excluded Accounts);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327. </w:t>
      </w:r>
      <w:r>
        <w:rPr>
          <w:rFonts w:ascii="Arial" w:cs="Arial" w:eastAsia="Arial" w:hAnsi="Arial"/>
          <w:sz w:val="18"/>
          <w:szCs w:val="18"/>
          <w:color w:val="auto"/>
        </w:rPr>
        <w:t>extensions of credit in the nature of accounts receivable or notes receivable arising from the sales of goods or services or the grant of trade</w:t>
      </w:r>
      <w:r>
        <w:rPr>
          <w:rFonts w:ascii="Arial" w:cs="Arial" w:eastAsia="Arial" w:hAnsi="Arial"/>
          <w:sz w:val="18"/>
          <w:szCs w:val="18"/>
          <w:b w:val="1"/>
          <w:bCs w:val="1"/>
          <w:color w:val="auto"/>
        </w:rPr>
        <w:t xml:space="preserve"> </w:t>
      </w:r>
      <w:r>
        <w:rPr>
          <w:rFonts w:ascii="Arial" w:cs="Arial" w:eastAsia="Arial" w:hAnsi="Arial"/>
          <w:sz w:val="18"/>
          <w:szCs w:val="18"/>
          <w:color w:val="auto"/>
        </w:rPr>
        <w:t>credit in the Ordinary Course in an Arm’s Length Transaction;</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328. </w:t>
      </w:r>
      <w:r>
        <w:rPr>
          <w:rFonts w:ascii="Arial" w:cs="Arial" w:eastAsia="Arial" w:hAnsi="Arial"/>
          <w:sz w:val="18"/>
          <w:szCs w:val="18"/>
          <w:color w:val="auto"/>
        </w:rPr>
        <w:t>Permitted Cash Equivalent Investments, which in the case of the Obligors shall be maintained in Controlled Accounts subject to</w:t>
      </w:r>
      <w:r>
        <w:rPr>
          <w:rFonts w:ascii="Arial" w:cs="Arial" w:eastAsia="Arial" w:hAnsi="Arial"/>
          <w:sz w:val="18"/>
          <w:szCs w:val="18"/>
          <w:b w:val="1"/>
          <w:bCs w:val="1"/>
          <w:color w:val="auto"/>
        </w:rPr>
        <w:t xml:space="preserve"> Section 8.17(d) </w:t>
      </w:r>
      <w:r>
        <w:rPr>
          <w:rFonts w:ascii="Arial" w:cs="Arial" w:eastAsia="Arial" w:hAnsi="Arial"/>
          <w:sz w:val="18"/>
          <w:szCs w:val="18"/>
          <w:color w:val="auto"/>
        </w:rPr>
        <w:t>and</w:t>
      </w:r>
      <w:r>
        <w:rPr>
          <w:rFonts w:ascii="Arial" w:cs="Arial" w:eastAsia="Arial" w:hAnsi="Arial"/>
          <w:sz w:val="18"/>
          <w:szCs w:val="18"/>
          <w:b w:val="1"/>
          <w:bCs w:val="1"/>
          <w:color w:val="auto"/>
        </w:rPr>
        <w:t xml:space="preserve"> (f) </w:t>
      </w:r>
      <w:r>
        <w:rPr>
          <w:rFonts w:ascii="Arial" w:cs="Arial" w:eastAsia="Arial" w:hAnsi="Arial"/>
          <w:sz w:val="18"/>
          <w:szCs w:val="18"/>
          <w:color w:val="auto"/>
        </w:rPr>
        <w:t>(unless maintained in Excluded Accounts);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329. </w:t>
      </w:r>
      <w:r>
        <w:rPr>
          <w:rFonts w:ascii="Arial" w:cs="Arial" w:eastAsia="Arial" w:hAnsi="Arial"/>
          <w:sz w:val="16"/>
          <w:szCs w:val="16"/>
          <w:color w:val="auto"/>
        </w:rPr>
        <w:t>Investments by (i) an Obligor in another Obligor and (ii) a Subsidiary that is not an Obligor in any other Subsidiary that is not an Obligor;</w:t>
      </w:r>
    </w:p>
    <w:p>
      <w:pPr>
        <w:spacing w:after="0" w:line="248"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SECTION 330. </w:t>
      </w:r>
      <w:r>
        <w:rPr>
          <w:rFonts w:ascii="Arial" w:cs="Arial" w:eastAsia="Arial" w:hAnsi="Arial"/>
          <w:sz w:val="16"/>
          <w:szCs w:val="16"/>
          <w:color w:val="auto"/>
        </w:rPr>
        <w:t>Investments by a Subsidiary that is not an Obligor in an Obligor;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any Investment made by any Subsidiary that is not 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Obligor pursuant to this </w:t>
      </w:r>
      <w:r>
        <w:rPr>
          <w:rFonts w:ascii="Arial" w:cs="Arial" w:eastAsia="Arial" w:hAnsi="Arial"/>
          <w:sz w:val="16"/>
          <w:szCs w:val="16"/>
          <w:b w:val="1"/>
          <w:bCs w:val="1"/>
          <w:color w:val="auto"/>
        </w:rPr>
        <w:t>clause (f)</w:t>
      </w:r>
      <w:r>
        <w:rPr>
          <w:rFonts w:ascii="Arial" w:cs="Arial" w:eastAsia="Arial" w:hAnsi="Arial"/>
          <w:sz w:val="16"/>
          <w:szCs w:val="16"/>
          <w:color w:val="auto"/>
        </w:rPr>
        <w:t xml:space="preserve"> shall be subordinated in right of payment to the Obligations pursuant to the Intercompany Subordination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 xml:space="preserve">SECTION 331. </w:t>
      </w:r>
      <w:r>
        <w:rPr>
          <w:rFonts w:ascii="Arial" w:cs="Arial" w:eastAsia="Arial" w:hAnsi="Arial"/>
          <w:sz w:val="18"/>
          <w:szCs w:val="18"/>
          <w:color w:val="auto"/>
        </w:rPr>
        <w:t>Permitted Hedging Agreements;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SECTION 332. </w:t>
      </w:r>
      <w:r>
        <w:rPr>
          <w:rFonts w:ascii="Arial" w:cs="Arial" w:eastAsia="Arial" w:hAnsi="Arial"/>
          <w:sz w:val="17"/>
          <w:szCs w:val="17"/>
          <w:color w:val="auto"/>
        </w:rPr>
        <w:t>Investments consisting of prepaid expenses, deposits under commercial contracts for the purchase of assets, negotiable instruments held</w:t>
      </w:r>
      <w:r>
        <w:rPr>
          <w:rFonts w:ascii="Arial" w:cs="Arial" w:eastAsia="Arial" w:hAnsi="Arial"/>
          <w:sz w:val="17"/>
          <w:szCs w:val="17"/>
          <w:b w:val="1"/>
          <w:bCs w:val="1"/>
          <w:color w:val="auto"/>
        </w:rPr>
        <w:t xml:space="preserve"> </w:t>
      </w:r>
      <w:r>
        <w:rPr>
          <w:rFonts w:ascii="Arial" w:cs="Arial" w:eastAsia="Arial" w:hAnsi="Arial"/>
          <w:sz w:val="17"/>
          <w:szCs w:val="17"/>
          <w:color w:val="auto"/>
        </w:rPr>
        <w:t>for collection or deposit, security deposits with utilities, landlords and other like Persons and deposits in connection with workers’ compensation and similar deposits, in each case, made in the Ordinary Course, and other deposits and cash collateral constituting Permitted Liens;</w:t>
      </w:r>
    </w:p>
    <w:p>
      <w:pPr>
        <w:spacing w:after="0" w:line="15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SECTION 333. </w:t>
      </w:r>
      <w:r>
        <w:rPr>
          <w:rFonts w:ascii="Arial" w:cs="Arial" w:eastAsia="Arial" w:hAnsi="Arial"/>
          <w:sz w:val="16"/>
          <w:szCs w:val="16"/>
          <w:color w:val="auto"/>
        </w:rPr>
        <w:t>employee, officer and director loans, travel advances and guarantees in accordance with the Borrower’s usual and customary practices</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thereto (if permitted by applicable Laws) and non-cash loans to employees, officers, or directors relating to the purchase of Equity Interests of the Borrower pursuant to employee stock purchase plans or agreements, which in the aggregate shall not exceed $2,500,000 outstanding at any time;</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334. </w:t>
      </w:r>
      <w:r>
        <w:rPr>
          <w:rFonts w:ascii="Arial" w:cs="Arial" w:eastAsia="Arial" w:hAnsi="Arial"/>
          <w:sz w:val="18"/>
          <w:szCs w:val="18"/>
          <w:color w:val="auto"/>
        </w:rPr>
        <w:t>Investments received in connection with any Insolvency Proceedings in respect of any customers, suppliers or clients or in settlement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delinquent obligations of, and other disputes with, customers, suppliers or clients;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335. </w:t>
      </w:r>
      <w:r>
        <w:rPr>
          <w:rFonts w:ascii="Arial" w:cs="Arial" w:eastAsia="Arial" w:hAnsi="Arial"/>
          <w:sz w:val="18"/>
          <w:szCs w:val="18"/>
          <w:color w:val="auto"/>
        </w:rPr>
        <w:t>the increase in value of any Investment otherwise permitted pursuant to this</w:t>
      </w:r>
      <w:r>
        <w:rPr>
          <w:rFonts w:ascii="Arial" w:cs="Arial" w:eastAsia="Arial" w:hAnsi="Arial"/>
          <w:sz w:val="18"/>
          <w:szCs w:val="18"/>
          <w:b w:val="1"/>
          <w:bCs w:val="1"/>
          <w:color w:val="auto"/>
        </w:rPr>
        <w:t xml:space="preserve"> Section 9.05</w:t>
      </w:r>
      <w:r>
        <w:rPr>
          <w:rFonts w:ascii="Arial" w:cs="Arial" w:eastAsia="Arial" w:hAnsi="Arial"/>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336. </w:t>
      </w:r>
      <w:r>
        <w:rPr>
          <w:rFonts w:ascii="Arial" w:cs="Arial" w:eastAsia="Arial" w:hAnsi="Arial"/>
          <w:sz w:val="18"/>
          <w:szCs w:val="18"/>
          <w:color w:val="auto"/>
        </w:rPr>
        <w:t>(i) non-cash Investments in joint ventures or strategic alliances in the Ordinary Course consisting of the non-exclusive licensing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technology, the development of technology or the providing of technical support, and (ii) cash Investments in joint ventures or strategic alliances;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such Investments under this sub-clause (ii), the aggregate amount of all such cash Investments made during any fiscal year shall not exceed $2,500,000;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337. </w:t>
      </w:r>
      <w:r>
        <w:rPr>
          <w:rFonts w:ascii="Arial" w:cs="Arial" w:eastAsia="Arial" w:hAnsi="Arial"/>
          <w:sz w:val="18"/>
          <w:szCs w:val="18"/>
          <w:color w:val="auto"/>
        </w:rPr>
        <w:t>Investments (except in Excluded Subsidiaries) in an aggregate amount not to exceed $5,000,000;</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SECTION 338. </w:t>
      </w:r>
      <w:r>
        <w:rPr>
          <w:rFonts w:ascii="Arial" w:cs="Arial" w:eastAsia="Arial" w:hAnsi="Arial"/>
          <w:sz w:val="17"/>
          <w:szCs w:val="17"/>
          <w:color w:val="auto"/>
        </w:rPr>
        <w:t>Investments of any Person in existence at the time such Person becomes a Subsidiary;</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such Investment was not made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or anticipation of such Person becoming a Subsidiary and any modification, replacement, renewal or extension thereof;</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339. </w:t>
      </w:r>
      <w:r>
        <w:rPr>
          <w:rFonts w:ascii="Arial" w:cs="Arial" w:eastAsia="Arial" w:hAnsi="Arial"/>
          <w:sz w:val="18"/>
          <w:szCs w:val="18"/>
          <w:color w:val="auto"/>
        </w:rPr>
        <w:t>Investments permitted under</w:t>
      </w:r>
      <w:r>
        <w:rPr>
          <w:rFonts w:ascii="Arial" w:cs="Arial" w:eastAsia="Arial" w:hAnsi="Arial"/>
          <w:sz w:val="18"/>
          <w:szCs w:val="18"/>
          <w:b w:val="1"/>
          <w:bCs w:val="1"/>
          <w:color w:val="auto"/>
        </w:rPr>
        <w:t xml:space="preserve"> Section 9.03</w:t>
      </w:r>
      <w:r>
        <w:rPr>
          <w:rFonts w:ascii="Arial" w:cs="Arial" w:eastAsia="Arial" w:hAnsi="Arial"/>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340. </w:t>
      </w:r>
      <w:r>
        <w:rPr>
          <w:rFonts w:ascii="Arial" w:cs="Arial" w:eastAsia="Arial" w:hAnsi="Arial"/>
          <w:sz w:val="18"/>
          <w:szCs w:val="18"/>
          <w:color w:val="auto"/>
        </w:rPr>
        <w:t>Permitted Acquisitions and earnest money deposits in connection with Permitted Acquisitions and Investments acquired as a result of a</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Acquisition to the extent that such Investments were not made in contemplation of or in connection with such Permitted Acquisition and were in existence prior to the date of such Permitted Acquisition;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9" w:name="page160"/>
    <w:bookmarkEnd w:id="159"/>
    <w:p>
      <w:pPr>
        <w:jc w:val="both"/>
        <w:spacing w:after="0" w:line="282" w:lineRule="auto"/>
        <w:rPr>
          <w:sz w:val="20"/>
          <w:szCs w:val="20"/>
          <w:color w:val="auto"/>
        </w:rPr>
      </w:pPr>
      <w:r>
        <w:rPr>
          <w:rFonts w:ascii="Arial" w:cs="Arial" w:eastAsia="Arial" w:hAnsi="Arial"/>
          <w:sz w:val="18"/>
          <w:szCs w:val="18"/>
          <w:b w:val="1"/>
          <w:bCs w:val="1"/>
          <w:color w:val="auto"/>
        </w:rPr>
        <w:t xml:space="preserve">SECTION 341. </w:t>
      </w:r>
      <w:r>
        <w:rPr>
          <w:rFonts w:ascii="Arial" w:cs="Arial" w:eastAsia="Arial" w:hAnsi="Arial"/>
          <w:sz w:val="18"/>
          <w:szCs w:val="18"/>
          <w:color w:val="auto"/>
        </w:rPr>
        <w:t>Investments consisting of the non-cash portion of the sales consideration received by the Borrower or any of its Subsidiaries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any Asset Sale permitted under </w:t>
      </w:r>
      <w:r>
        <w:rPr>
          <w:rFonts w:ascii="Arial" w:cs="Arial" w:eastAsia="Arial" w:hAnsi="Arial"/>
          <w:sz w:val="18"/>
          <w:szCs w:val="18"/>
          <w:b w:val="1"/>
          <w:bCs w:val="1"/>
          <w:color w:val="auto"/>
        </w:rPr>
        <w:t>Section 9.09</w:t>
      </w:r>
      <w:r>
        <w:rPr>
          <w:rFonts w:ascii="Arial" w:cs="Arial" w:eastAsia="Arial" w:hAnsi="Arial"/>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342. </w:t>
      </w:r>
      <w:r>
        <w:rPr>
          <w:rFonts w:ascii="Arial" w:cs="Arial" w:eastAsia="Arial" w:hAnsi="Arial"/>
          <w:sz w:val="18"/>
          <w:szCs w:val="18"/>
          <w:color w:val="auto"/>
        </w:rPr>
        <w:t>Investments consisting of the endorsement of negotiable instruments for deposit or collection or similar transactions in the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Course;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343. </w:t>
      </w:r>
      <w:r>
        <w:rPr>
          <w:rFonts w:ascii="Arial" w:cs="Arial" w:eastAsia="Arial" w:hAnsi="Arial"/>
          <w:sz w:val="18"/>
          <w:szCs w:val="18"/>
          <w:color w:val="auto"/>
        </w:rPr>
        <w:t>to the extent constituting Investments, Guarantees of Indebtedness, which Guarantees are permitted under</w:t>
      </w:r>
      <w:r>
        <w:rPr>
          <w:rFonts w:ascii="Arial" w:cs="Arial" w:eastAsia="Arial" w:hAnsi="Arial"/>
          <w:sz w:val="18"/>
          <w:szCs w:val="18"/>
          <w:b w:val="1"/>
          <w:bCs w:val="1"/>
          <w:color w:val="auto"/>
        </w:rPr>
        <w:t xml:space="preserve"> Section 9.01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344. </w:t>
      </w:r>
      <w:r>
        <w:rPr>
          <w:rFonts w:ascii="Arial" w:cs="Arial" w:eastAsia="Arial" w:hAnsi="Arial"/>
          <w:sz w:val="18"/>
          <w:szCs w:val="18"/>
          <w:color w:val="auto"/>
        </w:rPr>
        <w:t>(i) Investments contemplated by</w:t>
      </w:r>
      <w:r>
        <w:rPr>
          <w:rFonts w:ascii="Arial" w:cs="Arial" w:eastAsia="Arial" w:hAnsi="Arial"/>
          <w:sz w:val="18"/>
          <w:szCs w:val="18"/>
          <w:b w:val="1"/>
          <w:bCs w:val="1"/>
          <w:color w:val="auto"/>
        </w:rPr>
        <w:t xml:space="preserve"> Schedule 9.05(s) </w:t>
      </w:r>
      <w:r>
        <w:rPr>
          <w:rFonts w:ascii="Arial" w:cs="Arial" w:eastAsia="Arial" w:hAnsi="Arial"/>
          <w:sz w:val="18"/>
          <w:szCs w:val="18"/>
          <w:color w:val="auto"/>
        </w:rPr>
        <w:t>and (ii) the Permitted Minority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345. </w:t>
      </w:r>
      <w:r>
        <w:rPr>
          <w:rFonts w:ascii="Arial" w:cs="Arial" w:eastAsia="Arial" w:hAnsi="Arial"/>
          <w:sz w:val="18"/>
          <w:szCs w:val="18"/>
          <w:color w:val="auto"/>
        </w:rPr>
        <w:t>Investments consisting of Permitted Liens;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346. </w:t>
      </w:r>
      <w:r>
        <w:rPr>
          <w:rFonts w:ascii="Arial" w:cs="Arial" w:eastAsia="Arial" w:hAnsi="Arial"/>
          <w:sz w:val="18"/>
          <w:szCs w:val="18"/>
          <w:color w:val="auto"/>
        </w:rPr>
        <w:t>Investments in the Ordinary Course consisting of UCC Article 3 endorsements for collection or deposit and UCC Article 4 customary trade</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with customers consistent with past practices;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347. </w:t>
      </w:r>
      <w:r>
        <w:rPr>
          <w:rFonts w:ascii="Arial" w:cs="Arial" w:eastAsia="Arial" w:hAnsi="Arial"/>
          <w:sz w:val="18"/>
          <w:szCs w:val="18"/>
          <w:color w:val="auto"/>
        </w:rPr>
        <w:t>to the extent constituting Investments, purchases and acquisitions of inventory, supplies, materials and equipment; and</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SECTION 348. </w:t>
      </w:r>
      <w:r>
        <w:rPr>
          <w:rFonts w:ascii="Arial" w:cs="Arial" w:eastAsia="Arial" w:hAnsi="Arial"/>
          <w:sz w:val="17"/>
          <w:szCs w:val="17"/>
          <w:color w:val="auto"/>
        </w:rPr>
        <w:t>the Eyevance Acquisition and Investments acquired as a result of the Eyevance Acquisition to the extent that such Investments were not</w:t>
      </w:r>
      <w:r>
        <w:rPr>
          <w:rFonts w:ascii="Arial" w:cs="Arial" w:eastAsia="Arial" w:hAnsi="Arial"/>
          <w:sz w:val="17"/>
          <w:szCs w:val="17"/>
          <w:b w:val="1"/>
          <w:bCs w:val="1"/>
          <w:color w:val="auto"/>
        </w:rPr>
        <w:t xml:space="preserve"> </w:t>
      </w:r>
      <w:r>
        <w:rPr>
          <w:rFonts w:ascii="Arial" w:cs="Arial" w:eastAsia="Arial" w:hAnsi="Arial"/>
          <w:sz w:val="17"/>
          <w:szCs w:val="17"/>
          <w:color w:val="auto"/>
        </w:rPr>
        <w:t>made in contemplation of or in connection with the Eyevance Acquisition and were in existence prior to the date of the Eyevance Acquisition.</w:t>
      </w:r>
    </w:p>
    <w:p>
      <w:pPr>
        <w:spacing w:after="0" w:line="14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Notwithstanding anything in this Agreement to the contrary, (i) the Obligors shall not, and shall not permit any of their Subsidiaries to (x) directly or indirectly transfer, by means of contribution, sale, assignment, lease or sublease, license or sublicense, or other disposition of any kind (including, for avoidance of doubt, as an Investment, Restricted Payment or Asset Sale), any Material Intellectual Property other than (I) pursuant to Permitted Licenses or</w:t>
      </w:r>
    </w:p>
    <w:p>
      <w:pPr>
        <w:spacing w:after="0" w:line="2" w:lineRule="exact"/>
        <w:rPr>
          <w:sz w:val="20"/>
          <w:szCs w:val="20"/>
          <w:color w:val="auto"/>
        </w:rPr>
      </w:pPr>
    </w:p>
    <w:p>
      <w:pPr>
        <w:jc w:val="both"/>
        <w:ind w:firstLine="8"/>
        <w:spacing w:after="0" w:line="290" w:lineRule="auto"/>
        <w:tabs>
          <w:tab w:leader="none" w:pos="304"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as permitted pursuant to </w:t>
      </w:r>
      <w:r>
        <w:rPr>
          <w:rFonts w:ascii="Arial" w:cs="Arial" w:eastAsia="Arial" w:hAnsi="Arial"/>
          <w:sz w:val="16"/>
          <w:szCs w:val="16"/>
          <w:b w:val="1"/>
          <w:bCs w:val="1"/>
          <w:color w:val="auto"/>
        </w:rPr>
        <w:t>Section 9.09(g)</w:t>
      </w:r>
      <w:r>
        <w:rPr>
          <w:rFonts w:ascii="Arial" w:cs="Arial" w:eastAsia="Arial" w:hAnsi="Arial"/>
          <w:sz w:val="16"/>
          <w:szCs w:val="16"/>
          <w:color w:val="auto"/>
        </w:rPr>
        <w:t xml:space="preserve"> or (y) permit any Person other than an Obligor to license or own any interest in any Material Intellectual Property owned by such Obligor other than pursuant to (I) Permitted Licenses or (II) as permitted pursuant to </w:t>
      </w:r>
      <w:r>
        <w:rPr>
          <w:rFonts w:ascii="Arial" w:cs="Arial" w:eastAsia="Arial" w:hAnsi="Arial"/>
          <w:sz w:val="16"/>
          <w:szCs w:val="16"/>
          <w:b w:val="1"/>
          <w:bCs w:val="1"/>
          <w:color w:val="auto"/>
        </w:rPr>
        <w:t>Section 9.09(g)</w:t>
      </w:r>
      <w:r>
        <w:rPr>
          <w:rFonts w:ascii="Arial" w:cs="Arial" w:eastAsia="Arial" w:hAnsi="Arial"/>
          <w:sz w:val="16"/>
          <w:szCs w:val="16"/>
          <w:color w:val="auto"/>
        </w:rPr>
        <w:t>, (ii) no Material Intellectual Property shall be contributed as an Investment or distributed as a Restricted Payment to any Subsidiary other than an Obligor (other than pursuant to Permitted Licenses) and (iii) neither any Obligor nor any of their Subsidiaries shall be permitted to directly or indirectly transfer, by means of contribution, sale, assignment, lease or sublease, license or sublicense, or other disposition of any kind (including, for avoidance of doubt, as an Investment, Restricted Payment or Asset Sale) any assets or property of any kind (including, without limitation, any Intellectual Property) to any Excluded Subsidiary.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0" w:name="page161"/>
    <w:bookmarkEnd w:id="160"/>
    <w:p>
      <w:pPr>
        <w:jc w:val="both"/>
        <w:spacing w:after="0" w:line="301" w:lineRule="auto"/>
        <w:rPr>
          <w:sz w:val="20"/>
          <w:szCs w:val="20"/>
          <w:color w:val="auto"/>
        </w:rPr>
      </w:pPr>
      <w:r>
        <w:rPr>
          <w:rFonts w:ascii="Arial" w:cs="Arial" w:eastAsia="Arial" w:hAnsi="Arial"/>
          <w:sz w:val="16"/>
          <w:szCs w:val="16"/>
          <w:b w:val="1"/>
          <w:bCs w:val="1"/>
          <w:i w:val="1"/>
          <w:iCs w:val="1"/>
          <w:color w:val="auto"/>
        </w:rPr>
        <w:t>SECTION 349. Restricted Payments</w:t>
      </w:r>
      <w:r>
        <w:rPr>
          <w:rFonts w:ascii="Arial" w:cs="Arial" w:eastAsia="Arial" w:hAnsi="Arial"/>
          <w:sz w:val="16"/>
          <w:szCs w:val="16"/>
          <w:color w:val="auto"/>
        </w:rPr>
        <w:t>. Such Obligor will not, and will not permit any of its Subsidiaries to, declare or make, or agree to pay or make,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directly or indirectly, any Restricted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Restricted Payments consisting of the payment of interest, principal or fees in respect of any intercompany Indebtedness permitted by </w:t>
      </w:r>
      <w:r>
        <w:rPr>
          <w:rFonts w:ascii="Arial" w:cs="Arial" w:eastAsia="Arial" w:hAnsi="Arial"/>
          <w:sz w:val="16"/>
          <w:szCs w:val="16"/>
          <w:b w:val="1"/>
          <w:bCs w:val="1"/>
          <w:color w:val="auto"/>
        </w:rPr>
        <w:t>Section 9.01(e)</w:t>
      </w:r>
      <w:r>
        <w:rPr>
          <w:rFonts w:ascii="Arial" w:cs="Arial" w:eastAsia="Arial" w:hAnsi="Arial"/>
          <w:sz w:val="16"/>
          <w:szCs w:val="16"/>
          <w:color w:val="auto"/>
        </w:rPr>
        <w:t xml:space="preserve"> and </w:t>
      </w:r>
      <w:r>
        <w:rPr>
          <w:rFonts w:ascii="Arial" w:cs="Arial" w:eastAsia="Arial" w:hAnsi="Arial"/>
          <w:sz w:val="16"/>
          <w:szCs w:val="16"/>
          <w:b w:val="1"/>
          <w:bCs w:val="1"/>
          <w:color w:val="auto"/>
        </w:rPr>
        <w:t>(f)</w:t>
      </w:r>
      <w:r>
        <w:rPr>
          <w:rFonts w:ascii="Arial" w:cs="Arial" w:eastAsia="Arial" w:hAnsi="Arial"/>
          <w:sz w:val="16"/>
          <w:szCs w:val="16"/>
          <w:color w:val="auto"/>
        </w:rPr>
        <w:t xml:space="preserve"> shall be permitted and (ii) the following Restricted Payments shall be permitted so long as no Event of Default has occurred and is continuing or would reasonably be expected to occur or result from such Restricted Payment:</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350. </w:t>
      </w:r>
      <w:r>
        <w:rPr>
          <w:rFonts w:ascii="Arial" w:cs="Arial" w:eastAsia="Arial" w:hAnsi="Arial"/>
          <w:sz w:val="18"/>
          <w:szCs w:val="18"/>
          <w:color w:val="auto"/>
        </w:rPr>
        <w:t>dividends with respect to the Borrower’s Equity Interests payable solely in shares of its Qualified Equity Interests (or the equivalent</w:t>
      </w:r>
      <w:r>
        <w:rPr>
          <w:rFonts w:ascii="Arial" w:cs="Arial" w:eastAsia="Arial" w:hAnsi="Arial"/>
          <w:sz w:val="18"/>
          <w:szCs w:val="18"/>
          <w:b w:val="1"/>
          <w:bCs w:val="1"/>
          <w:color w:val="auto"/>
        </w:rPr>
        <w:t xml:space="preserve"> </w:t>
      </w:r>
      <w:r>
        <w:rPr>
          <w:rFonts w:ascii="Arial" w:cs="Arial" w:eastAsia="Arial" w:hAnsi="Arial"/>
          <w:sz w:val="18"/>
          <w:szCs w:val="18"/>
          <w:color w:val="auto"/>
        </w:rPr>
        <w:t>thereof);</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351. </w:t>
      </w:r>
      <w:r>
        <w:rPr>
          <w:rFonts w:ascii="Arial" w:cs="Arial" w:eastAsia="Arial" w:hAnsi="Arial"/>
          <w:sz w:val="18"/>
          <w:szCs w:val="18"/>
          <w:color w:val="auto"/>
        </w:rPr>
        <w:t>the Borrower’s purchase, redemption, retirement, or other acquisition of shares of its Equity Interests with the proceeds received from a</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concurrent issue of new shares of its Qualified Equity Interests;</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352. </w:t>
      </w:r>
      <w:r>
        <w:rPr>
          <w:rFonts w:ascii="Arial" w:cs="Arial" w:eastAsia="Arial" w:hAnsi="Arial"/>
          <w:sz w:val="18"/>
          <w:szCs w:val="18"/>
          <w:color w:val="auto"/>
        </w:rPr>
        <w:t>(1) each Subsidiary that is an Obligor may make Restricted Payments (it being understood that Restricted Payments consisting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payment of interest, principal or fees in respect of intercompany Indebtedness permitted by </w:t>
      </w:r>
      <w:r>
        <w:rPr>
          <w:rFonts w:ascii="Arial" w:cs="Arial" w:eastAsia="Arial" w:hAnsi="Arial"/>
          <w:sz w:val="18"/>
          <w:szCs w:val="18"/>
          <w:b w:val="1"/>
          <w:bCs w:val="1"/>
          <w:color w:val="auto"/>
        </w:rPr>
        <w:t>Section 9.01(e)</w:t>
      </w:r>
      <w:r>
        <w:rPr>
          <w:rFonts w:ascii="Arial" w:cs="Arial" w:eastAsia="Arial" w:hAnsi="Arial"/>
          <w:sz w:val="18"/>
          <w:szCs w:val="18"/>
          <w:color w:val="auto"/>
        </w:rPr>
        <w:t xml:space="preserve"> and </w:t>
      </w:r>
      <w:r>
        <w:rPr>
          <w:rFonts w:ascii="Arial" w:cs="Arial" w:eastAsia="Arial" w:hAnsi="Arial"/>
          <w:sz w:val="18"/>
          <w:szCs w:val="18"/>
          <w:b w:val="1"/>
          <w:bCs w:val="1"/>
          <w:color w:val="auto"/>
        </w:rPr>
        <w:t>(f)</w:t>
      </w:r>
      <w:r>
        <w:rPr>
          <w:rFonts w:ascii="Arial" w:cs="Arial" w:eastAsia="Arial" w:hAnsi="Arial"/>
          <w:sz w:val="18"/>
          <w:szCs w:val="18"/>
          <w:color w:val="auto"/>
        </w:rPr>
        <w:t xml:space="preserve"> shall be covered by </w:t>
      </w:r>
      <w:r>
        <w:rPr>
          <w:rFonts w:ascii="Arial" w:cs="Arial" w:eastAsia="Arial" w:hAnsi="Arial"/>
          <w:sz w:val="18"/>
          <w:szCs w:val="18"/>
          <w:b w:val="1"/>
          <w:bCs w:val="1"/>
          <w:color w:val="auto"/>
        </w:rPr>
        <w:t>Section 9.06(i)</w:t>
      </w:r>
      <w:r>
        <w:rPr>
          <w:rFonts w:ascii="Arial" w:cs="Arial" w:eastAsia="Arial" w:hAnsi="Arial"/>
          <w:sz w:val="18"/>
          <w:szCs w:val="18"/>
          <w:color w:val="auto"/>
        </w:rPr>
        <w:t xml:space="preserve">) to any other Obligor, and (2) each Subsidiary that is not an Obligor may make Restricted Payments to its equity holders generally;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Obligor that owns the Equity Interests in such Subsidiary paying such Restricted Payment receives at least its proportional share (including at least its proportional share of any portion of such Restricted Payment made in cash) thereof;</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SECTION 353. </w:t>
      </w:r>
      <w:r>
        <w:rPr>
          <w:rFonts w:ascii="Arial" w:cs="Arial" w:eastAsia="Arial" w:hAnsi="Arial"/>
          <w:sz w:val="17"/>
          <w:szCs w:val="17"/>
          <w:color w:val="auto"/>
        </w:rPr>
        <w:t>any purchase, redemption, retirement or other acquisition of Equity Interests of the Borrower held by consultants, officers, directors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employees or former consultants, officers, directors or employees (or their transferees, estates, or beneficiaries under their estates) of Borrower and its Subsidiaries not to exceed $1,500,000 in the aggregate in any fiscal year (it being agreed that, to the extent constituting an Investment permitted by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9.05(i)</w:t>
      </w:r>
      <w:r>
        <w:rPr>
          <w:rFonts w:ascii="Arial" w:cs="Arial" w:eastAsia="Arial" w:hAnsi="Arial"/>
          <w:sz w:val="17"/>
          <w:szCs w:val="17"/>
          <w:color w:val="auto"/>
        </w:rPr>
        <w:t>, the amount of any Indebtedness of such Persons owing to the Borrower or any Subsidiary forgiven in connection with such Restricted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be excluded from any determination pursuant to this </w:t>
      </w:r>
      <w:r>
        <w:rPr>
          <w:rFonts w:ascii="Arial" w:cs="Arial" w:eastAsia="Arial" w:hAnsi="Arial"/>
          <w:sz w:val="17"/>
          <w:szCs w:val="17"/>
          <w:b w:val="1"/>
          <w:bCs w:val="1"/>
          <w:color w:val="auto"/>
        </w:rPr>
        <w:t>clause (ii)(d)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portion of such basket that is not used by the Borrower or its Subsidiaries in any fiscal year shall be carried forward and shall increase such basket for succeeding fiscal years;</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SECTION 354. </w:t>
      </w:r>
      <w:r>
        <w:rPr>
          <w:rFonts w:ascii="Arial" w:cs="Arial" w:eastAsia="Arial" w:hAnsi="Arial"/>
          <w:sz w:val="17"/>
          <w:szCs w:val="17"/>
          <w:color w:val="auto"/>
        </w:rPr>
        <w:t>cashless repurchases of Equity Interests deemed to occur upon exercises of options and warrants or the settlement or vesting of other</w:t>
      </w:r>
      <w:r>
        <w:rPr>
          <w:rFonts w:ascii="Arial" w:cs="Arial" w:eastAsia="Arial" w:hAnsi="Arial"/>
          <w:sz w:val="17"/>
          <w:szCs w:val="17"/>
          <w:b w:val="1"/>
          <w:bCs w:val="1"/>
          <w:color w:val="auto"/>
        </w:rPr>
        <w:t xml:space="preserve"> </w:t>
      </w:r>
      <w:r>
        <w:rPr>
          <w:rFonts w:ascii="Arial" w:cs="Arial" w:eastAsia="Arial" w:hAnsi="Arial"/>
          <w:sz w:val="17"/>
          <w:szCs w:val="17"/>
          <w:color w:val="auto"/>
        </w:rPr>
        <w:t>equity awards if such Equity Interests represent a portion of the exercise price of such options or warrants or similar equity incentive awards;</w:t>
      </w:r>
    </w:p>
    <w:p>
      <w:pPr>
        <w:spacing w:after="0" w:line="140"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SECTION 355. </w:t>
      </w:r>
      <w:r>
        <w:rPr>
          <w:rFonts w:ascii="Arial" w:cs="Arial" w:eastAsia="Arial" w:hAnsi="Arial"/>
          <w:sz w:val="17"/>
          <w:szCs w:val="17"/>
          <w:color w:val="auto"/>
        </w:rPr>
        <w:t>cash payments made by the Borrower to redeem, purchase, repurchase or retire its obligations under options, warrants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convertible securities issued by it in the nature of customary cash payments in lieu of fractional shares in accordance with the terms thereof;</w:t>
      </w:r>
    </w:p>
    <w:p>
      <w:pPr>
        <w:spacing w:after="0" w:line="14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SECTION 356. </w:t>
      </w:r>
      <w:r>
        <w:rPr>
          <w:rFonts w:ascii="Arial" w:cs="Arial" w:eastAsia="Arial" w:hAnsi="Arial"/>
          <w:sz w:val="17"/>
          <w:szCs w:val="17"/>
          <w:color w:val="auto"/>
        </w:rPr>
        <w:t>Borrower may acquire (or withhold) its Equity Interests pursuant to any employee stock option or similar plan to pay withholding taxes for</w:t>
      </w:r>
      <w:r>
        <w:rPr>
          <w:rFonts w:ascii="Arial" w:cs="Arial" w:eastAsia="Arial" w:hAnsi="Arial"/>
          <w:sz w:val="17"/>
          <w:szCs w:val="17"/>
          <w:b w:val="1"/>
          <w:bCs w:val="1"/>
          <w:color w:val="auto"/>
        </w:rPr>
        <w:t xml:space="preserve"> </w:t>
      </w:r>
      <w:r>
        <w:rPr>
          <w:rFonts w:ascii="Arial" w:cs="Arial" w:eastAsia="Arial" w:hAnsi="Arial"/>
          <w:sz w:val="17"/>
          <w:szCs w:val="17"/>
          <w:color w:val="auto"/>
        </w:rPr>
        <w:t>which Borrower is liable in respect of a current or former officer, director, employee, member of management or consultant upon such grant or award (or upon vesting or exercise thereof) and the Borrower may make deemed repurchases in connection with the exercise of stock options;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1" w:name="page162"/>
    <w:bookmarkEnd w:id="161"/>
    <w:p>
      <w:pPr>
        <w:jc w:val="both"/>
        <w:spacing w:after="0" w:line="347" w:lineRule="auto"/>
        <w:rPr>
          <w:sz w:val="20"/>
          <w:szCs w:val="20"/>
          <w:color w:val="auto"/>
        </w:rPr>
      </w:pPr>
      <w:r>
        <w:rPr>
          <w:rFonts w:ascii="Arial" w:cs="Arial" w:eastAsia="Arial" w:hAnsi="Arial"/>
          <w:sz w:val="16"/>
          <w:szCs w:val="16"/>
          <w:b w:val="1"/>
          <w:bCs w:val="1"/>
          <w:color w:val="auto"/>
        </w:rPr>
        <w:t xml:space="preserve">SECTION 357. </w:t>
      </w:r>
      <w:r>
        <w:rPr>
          <w:rFonts w:ascii="Arial" w:cs="Arial" w:eastAsia="Arial" w:hAnsi="Arial"/>
          <w:sz w:val="16"/>
          <w:szCs w:val="16"/>
          <w:color w:val="auto"/>
        </w:rPr>
        <w:t>any payment of interest, principal or fees in respect of any Indebtedness owed by any Obligor or any of its Subsidiaries to any holder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more than ten percent (10%) of the Equity Interests of any Obligor or any of its Subsidiaries, in each case to the extent permitted under </w:t>
      </w:r>
      <w:r>
        <w:rPr>
          <w:rFonts w:ascii="Arial" w:cs="Arial" w:eastAsia="Arial" w:hAnsi="Arial"/>
          <w:sz w:val="16"/>
          <w:szCs w:val="16"/>
          <w:b w:val="1"/>
          <w:bCs w:val="1"/>
          <w:color w:val="auto"/>
        </w:rPr>
        <w:t>Section 9.07</w:t>
      </w:r>
      <w:r>
        <w:rPr>
          <w:rFonts w:ascii="Arial" w:cs="Arial" w:eastAsia="Arial" w:hAnsi="Arial"/>
          <w:sz w:val="16"/>
          <w:szCs w:val="16"/>
          <w:color w:val="auto"/>
        </w:rPr>
        <w:t>;</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SECTION 358. </w:t>
      </w:r>
      <w:r>
        <w:rPr>
          <w:rFonts w:ascii="Arial" w:cs="Arial" w:eastAsia="Arial" w:hAnsi="Arial"/>
          <w:sz w:val="16"/>
          <w:szCs w:val="16"/>
          <w:color w:val="auto"/>
        </w:rPr>
        <w:t>payments related to share withholdings for individual taxes related to vested restricted stock units (RSUs), options and other equity grants</w:t>
      </w:r>
      <w:r>
        <w:rPr>
          <w:rFonts w:ascii="Arial" w:cs="Arial" w:eastAsia="Arial" w:hAnsi="Arial"/>
          <w:sz w:val="16"/>
          <w:szCs w:val="16"/>
          <w:b w:val="1"/>
          <w:bCs w:val="1"/>
          <w:color w:val="auto"/>
        </w:rPr>
        <w:t xml:space="preserve"> </w:t>
      </w:r>
      <w:r>
        <w:rPr>
          <w:rFonts w:ascii="Arial" w:cs="Arial" w:eastAsia="Arial" w:hAnsi="Arial"/>
          <w:sz w:val="16"/>
          <w:szCs w:val="16"/>
          <w:color w:val="auto"/>
        </w:rPr>
        <w:t>made to employees, as permitted under the Borrower’s 2017 and 2007 Incentive Stock and Awards Plans (as amended as of Closing Date), and required under certain of Borrower’s equity grants and employment agreements (in each case as in effect on the Closing Date), in an aggregate amount not to exceed</w:t>
      </w:r>
    </w:p>
    <w:p>
      <w:pPr>
        <w:spacing w:after="0" w:line="2" w:lineRule="exact"/>
        <w:rPr>
          <w:sz w:val="20"/>
          <w:szCs w:val="20"/>
          <w:color w:val="auto"/>
        </w:rPr>
      </w:pPr>
    </w:p>
    <w:p>
      <w:pPr>
        <w:jc w:val="both"/>
        <w:ind w:firstLine="8"/>
        <w:spacing w:after="0" w:line="253" w:lineRule="auto"/>
        <w:tabs>
          <w:tab w:leader="none" w:pos="216"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$10,000,000 for the fiscal year ending December 31, 2023 and (ii) $3,000,000 for the fiscal year ending December 31, 2024;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together with the financial statements for the fiscal years ending December 31, 2023 and December 31, 2024 required pursuant to </w:t>
      </w:r>
      <w:r>
        <w:rPr>
          <w:rFonts w:ascii="Arial" w:cs="Arial" w:eastAsia="Arial" w:hAnsi="Arial"/>
          <w:sz w:val="18"/>
          <w:szCs w:val="18"/>
          <w:b w:val="1"/>
          <w:bCs w:val="1"/>
          <w:color w:val="auto"/>
        </w:rPr>
        <w:t>Section 8.01(a)</w:t>
      </w:r>
      <w:r>
        <w:rPr>
          <w:rFonts w:ascii="Arial" w:cs="Arial" w:eastAsia="Arial" w:hAnsi="Arial"/>
          <w:sz w:val="18"/>
          <w:szCs w:val="18"/>
          <w:color w:val="auto"/>
        </w:rPr>
        <w:t xml:space="preserve"> and </w:t>
      </w:r>
      <w:r>
        <w:rPr>
          <w:rFonts w:ascii="Arial" w:cs="Arial" w:eastAsia="Arial" w:hAnsi="Arial"/>
          <w:sz w:val="18"/>
          <w:szCs w:val="18"/>
          <w:b w:val="1"/>
          <w:bCs w:val="1"/>
          <w:color w:val="auto"/>
        </w:rPr>
        <w:t>(b)</w:t>
      </w:r>
      <w:r>
        <w:rPr>
          <w:rFonts w:ascii="Arial" w:cs="Arial" w:eastAsia="Arial" w:hAnsi="Arial"/>
          <w:sz w:val="18"/>
          <w:szCs w:val="18"/>
          <w:color w:val="auto"/>
        </w:rPr>
        <w:t>, concurrently with the delivery of the Compliance Certificate for such accounting period, a Responsible Officer of the Borrower shall deliver to the Administrative Agent a certificate setting forth the amount of the foregoing payments for such accounting period, together with supporting information in form and substance reasonably satisfactory to the Administrative Agent; and</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359. </w:t>
      </w:r>
      <w:r>
        <w:rPr>
          <w:rFonts w:ascii="Arial" w:cs="Arial" w:eastAsia="Arial" w:hAnsi="Arial"/>
          <w:sz w:val="18"/>
          <w:szCs w:val="18"/>
          <w:color w:val="auto"/>
        </w:rPr>
        <w:t>Restricted Payments in an aggregate amount not to exceed (1) $1,000,000 in any fiscal year or (2) $2,500,000 during the term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SECTION 360. Payments of Indebtedness</w:t>
      </w:r>
      <w:r>
        <w:rPr>
          <w:rFonts w:ascii="Arial" w:cs="Arial" w:eastAsia="Arial" w:hAnsi="Arial"/>
          <w:sz w:val="17"/>
          <w:szCs w:val="17"/>
          <w:color w:val="auto"/>
        </w:rPr>
        <w:t>. Such Obligor will not, and will not permit any of its Subsidiaries to, make any payments in respect of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Indebtedness other than (i) payments of the Obligations, (ii) scheduled payments in respect of the Existing Notes pursuant to the terms of the Existing Notes Indenture as in effect on the date hereof, (iii) scheduled payments of other Indebtedness (and with respect to such Indebtedness that is subject to a subordination or intercreditor agreement in respect of the Obligations, solely to the extent permitted pursuant to the terms of such subordination or intercreditor agreement); (iv) intercompany indebtedness permitted under </w:t>
      </w:r>
      <w:r>
        <w:rPr>
          <w:rFonts w:ascii="Arial" w:cs="Arial" w:eastAsia="Arial" w:hAnsi="Arial"/>
          <w:sz w:val="17"/>
          <w:szCs w:val="17"/>
          <w:b w:val="1"/>
          <w:bCs w:val="1"/>
          <w:color w:val="auto"/>
        </w:rPr>
        <w:t>Section 9.01</w:t>
      </w:r>
      <w:r>
        <w:rPr>
          <w:rFonts w:ascii="Arial" w:cs="Arial" w:eastAsia="Arial" w:hAnsi="Arial"/>
          <w:sz w:val="17"/>
          <w:szCs w:val="17"/>
          <w:color w:val="auto"/>
        </w:rPr>
        <w:t xml:space="preserve"> (subject to the terms of the Intercompany Subordination Agreement, if applicable), (v) Indebtedness permitted to be incurred under </w:t>
      </w:r>
      <w:r>
        <w:rPr>
          <w:rFonts w:ascii="Arial" w:cs="Arial" w:eastAsia="Arial" w:hAnsi="Arial"/>
          <w:sz w:val="17"/>
          <w:szCs w:val="17"/>
          <w:b w:val="1"/>
          <w:bCs w:val="1"/>
          <w:color w:val="auto"/>
        </w:rPr>
        <w:t>Sections 9.01(b), (i), (j), (k), (l), (m)</w:t>
      </w:r>
      <w:r>
        <w:rPr>
          <w:rFonts w:ascii="Arial" w:cs="Arial" w:eastAsia="Arial" w:hAnsi="Arial"/>
          <w:sz w:val="17"/>
          <w:szCs w:val="17"/>
          <w:color w:val="auto"/>
        </w:rPr>
        <w:t xml:space="preserve"> and </w:t>
      </w:r>
      <w:r>
        <w:rPr>
          <w:rFonts w:ascii="Arial" w:cs="Arial" w:eastAsia="Arial" w:hAnsi="Arial"/>
          <w:sz w:val="17"/>
          <w:szCs w:val="17"/>
          <w:b w:val="1"/>
          <w:bCs w:val="1"/>
          <w:color w:val="auto"/>
        </w:rPr>
        <w:t>(p)</w:t>
      </w:r>
      <w:r>
        <w:rPr>
          <w:rFonts w:ascii="Arial" w:cs="Arial" w:eastAsia="Arial" w:hAnsi="Arial"/>
          <w:sz w:val="17"/>
          <w:szCs w:val="17"/>
          <w:color w:val="auto"/>
        </w:rPr>
        <w:t>, (vi) payments of Deferred Acquisition Consideration in respect of the Eyevance Acquisition, pursuant to, and in the amounts and at the times provided for in, the Eyevance Acquisition Agreements and payments of Deferred Acquisition Consideration in respect of any Permitted Acquisition to the extent such Deferred Acquisition Consideration is permitted hereunder; provided that, with respect to the Eyevance Milestone Payments and payments of such Deferred Acquisition Consideration, both immediately before and immediately after giving effect to such payments, no Event of Default pursuant to Section 11.01(a), (b), (d) (solely with respect to a failure to observe or perform the covenant under Section 10.01) or (h) has occurred and is continuing (it being understood and agreed that this proviso shall not apply to Deferred Acquisition Consideration that consists of purchase price adjustments, royalty, non-compete and/or consulting payments) and (vii) Permitted Refinancings permitted hereunder.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2" w:name="page163"/>
    <w:bookmarkEnd w:id="162"/>
    <w:p>
      <w:pPr>
        <w:jc w:val="both"/>
        <w:spacing w:after="0" w:line="263" w:lineRule="auto"/>
        <w:rPr>
          <w:sz w:val="20"/>
          <w:szCs w:val="20"/>
          <w:color w:val="auto"/>
        </w:rPr>
      </w:pPr>
      <w:r>
        <w:rPr>
          <w:rFonts w:ascii="Arial" w:cs="Arial" w:eastAsia="Arial" w:hAnsi="Arial"/>
          <w:sz w:val="18"/>
          <w:szCs w:val="18"/>
          <w:b w:val="1"/>
          <w:bCs w:val="1"/>
          <w:i w:val="1"/>
          <w:iCs w:val="1"/>
          <w:color w:val="auto"/>
        </w:rPr>
        <w:t>SECTION 361. Change in Fiscal Year</w:t>
      </w:r>
      <w:r>
        <w:rPr>
          <w:rFonts w:ascii="Arial" w:cs="Arial" w:eastAsia="Arial" w:hAnsi="Arial"/>
          <w:sz w:val="18"/>
          <w:szCs w:val="18"/>
          <w:color w:val="auto"/>
        </w:rPr>
        <w:t>. Such Obligor will not, and will not permit any of its Subsidiaries to, change the last day of its fiscal year from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effect on the date hereof without the prior written consent of Administrative Agent, except to change the fiscal year of a Subsidiary acquired in connection with an Acquisition to conform its fiscal year to that of the Borrower.</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SECTION 362. Sales of Assets, Etc. </w:t>
      </w:r>
      <w:r>
        <w:rPr>
          <w:rFonts w:ascii="Arial" w:cs="Arial" w:eastAsia="Arial" w:hAnsi="Arial"/>
          <w:sz w:val="17"/>
          <w:szCs w:val="17"/>
          <w:color w:val="auto"/>
        </w:rPr>
        <w:t>Such Obligor will not, and will not permit any of its Subsidiaries to, sell, lease or sublease (as lessor or sub-lessor),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sale and leaseback, assign, convey, exclusively license (in terms of geography or field of use), transfer, or otherwise dispose of any of its businesses, assets or property of any kind, whether real, personal, or mixed and whether tangible or intangible, whether now owned or hereafter acquired (including accounts receivable and Equity Interests of Subsidiaries), or forgive, release or compromise any amount owed to such Obligor or Subsidiary, in each case, in one transaction or series of related transactions (any thereof, an “</w:t>
      </w:r>
      <w:r>
        <w:rPr>
          <w:rFonts w:ascii="Arial" w:cs="Arial" w:eastAsia="Arial" w:hAnsi="Arial"/>
          <w:sz w:val="17"/>
          <w:szCs w:val="17"/>
          <w:b w:val="1"/>
          <w:bCs w:val="1"/>
          <w:i w:val="1"/>
          <w:iCs w:val="1"/>
          <w:color w:val="auto"/>
        </w:rPr>
        <w:t>Asset Sale</w:t>
      </w:r>
      <w:r>
        <w:rPr>
          <w:rFonts w:ascii="Arial" w:cs="Arial" w:eastAsia="Arial" w:hAnsi="Arial"/>
          <w:sz w:val="17"/>
          <w:szCs w:val="17"/>
          <w:color w:val="auto"/>
        </w:rPr>
        <w:t>”), except: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3" w:name="page164"/>
    <w:bookmarkEnd w:id="163"/>
    <w:p>
      <w:pPr>
        <w:jc w:val="both"/>
        <w:spacing w:after="0" w:line="282" w:lineRule="auto"/>
        <w:rPr>
          <w:sz w:val="20"/>
          <w:szCs w:val="20"/>
          <w:color w:val="auto"/>
        </w:rPr>
      </w:pPr>
      <w:r>
        <w:rPr>
          <w:rFonts w:ascii="Arial" w:cs="Arial" w:eastAsia="Arial" w:hAnsi="Arial"/>
          <w:sz w:val="18"/>
          <w:szCs w:val="18"/>
          <w:b w:val="1"/>
          <w:bCs w:val="1"/>
          <w:color w:val="auto"/>
        </w:rPr>
        <w:t xml:space="preserve">SECTION 363. </w:t>
      </w:r>
      <w:r>
        <w:rPr>
          <w:rFonts w:ascii="Arial" w:cs="Arial" w:eastAsia="Arial" w:hAnsi="Arial"/>
          <w:sz w:val="18"/>
          <w:szCs w:val="18"/>
          <w:color w:val="auto"/>
        </w:rPr>
        <w:t>sales, transfers and other dispositions of receivables in connection with the compromise, settlement or collection thereof in the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Course;</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364. </w:t>
      </w:r>
      <w:r>
        <w:rPr>
          <w:rFonts w:ascii="Arial" w:cs="Arial" w:eastAsia="Arial" w:hAnsi="Arial"/>
          <w:sz w:val="18"/>
          <w:szCs w:val="18"/>
          <w:color w:val="auto"/>
        </w:rPr>
        <w:t>sales of inventory, including to end users (through wholesalers or other typical sales channels) or to distributors, in the Ordinary Course in</w:t>
      </w:r>
      <w:r>
        <w:rPr>
          <w:rFonts w:ascii="Arial" w:cs="Arial" w:eastAsia="Arial" w:hAnsi="Arial"/>
          <w:sz w:val="18"/>
          <w:szCs w:val="18"/>
          <w:b w:val="1"/>
          <w:bCs w:val="1"/>
          <w:color w:val="auto"/>
        </w:rPr>
        <w:t xml:space="preserve"> </w:t>
      </w:r>
      <w:r>
        <w:rPr>
          <w:rFonts w:ascii="Arial" w:cs="Arial" w:eastAsia="Arial" w:hAnsi="Arial"/>
          <w:sz w:val="18"/>
          <w:szCs w:val="18"/>
          <w:color w:val="auto"/>
        </w:rPr>
        <w:t>an Arm’s Length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365. </w:t>
      </w:r>
      <w:r>
        <w:rPr>
          <w:rFonts w:ascii="Arial" w:cs="Arial" w:eastAsia="Arial" w:hAnsi="Arial"/>
          <w:sz w:val="18"/>
          <w:szCs w:val="18"/>
          <w:color w:val="auto"/>
        </w:rPr>
        <w:t>the forgiveness, release or compromise of any amount owed to any Obligor or Subsidiary in the Ordinary Course;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366. </w:t>
      </w:r>
      <w:r>
        <w:rPr>
          <w:rFonts w:ascii="Arial" w:cs="Arial" w:eastAsia="Arial" w:hAnsi="Arial"/>
          <w:sz w:val="18"/>
          <w:szCs w:val="18"/>
          <w:color w:val="auto"/>
        </w:rPr>
        <w:t>Permitted Licenses;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367. </w:t>
      </w:r>
      <w:r>
        <w:rPr>
          <w:rFonts w:ascii="Arial" w:cs="Arial" w:eastAsia="Arial" w:hAnsi="Arial"/>
          <w:sz w:val="18"/>
          <w:szCs w:val="18"/>
          <w:color w:val="auto"/>
        </w:rPr>
        <w:t>transfers of assets, rights or property (i) among Obligors or (ii) any Subsidiary that is not an Obligor to an Obligor or another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not an Obligor;</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368. </w:t>
      </w:r>
      <w:r>
        <w:rPr>
          <w:rFonts w:ascii="Arial" w:cs="Arial" w:eastAsia="Arial" w:hAnsi="Arial"/>
          <w:sz w:val="18"/>
          <w:szCs w:val="18"/>
          <w:color w:val="auto"/>
        </w:rPr>
        <w:t>dispositions (including by way of abandonment or cancellation) of any equipment and other tangible property that is obsolete or worn out</w:t>
      </w:r>
      <w:r>
        <w:rPr>
          <w:rFonts w:ascii="Arial" w:cs="Arial" w:eastAsia="Arial" w:hAnsi="Arial"/>
          <w:sz w:val="18"/>
          <w:szCs w:val="18"/>
          <w:b w:val="1"/>
          <w:bCs w:val="1"/>
          <w:color w:val="auto"/>
        </w:rPr>
        <w:t xml:space="preserve"> </w:t>
      </w:r>
      <w:r>
        <w:rPr>
          <w:rFonts w:ascii="Arial" w:cs="Arial" w:eastAsia="Arial" w:hAnsi="Arial"/>
          <w:sz w:val="18"/>
          <w:szCs w:val="18"/>
          <w:color w:val="auto"/>
        </w:rPr>
        <w:t>or no longer used or useful in the business disposed of in the Ordinary Course in an Arm’s-Length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369. </w:t>
      </w:r>
      <w:r>
        <w:rPr>
          <w:rFonts w:ascii="Arial" w:cs="Arial" w:eastAsia="Arial" w:hAnsi="Arial"/>
          <w:sz w:val="18"/>
          <w:szCs w:val="18"/>
          <w:color w:val="auto"/>
        </w:rPr>
        <w:t>dispositions resulting from casualty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370. </w:t>
      </w:r>
      <w:r>
        <w:rPr>
          <w:rFonts w:ascii="Arial" w:cs="Arial" w:eastAsia="Arial" w:hAnsi="Arial"/>
          <w:sz w:val="18"/>
          <w:szCs w:val="18"/>
          <w:color w:val="auto"/>
        </w:rPr>
        <w:t>the unwinding of any Hedging Agreement permitted by</w:t>
      </w:r>
      <w:r>
        <w:rPr>
          <w:rFonts w:ascii="Arial" w:cs="Arial" w:eastAsia="Arial" w:hAnsi="Arial"/>
          <w:sz w:val="18"/>
          <w:szCs w:val="18"/>
          <w:b w:val="1"/>
          <w:bCs w:val="1"/>
          <w:color w:val="auto"/>
        </w:rPr>
        <w:t xml:space="preserve"> Section 9.05 </w:t>
      </w:r>
      <w:r>
        <w:rPr>
          <w:rFonts w:ascii="Arial" w:cs="Arial" w:eastAsia="Arial" w:hAnsi="Arial"/>
          <w:sz w:val="18"/>
          <w:szCs w:val="18"/>
          <w:color w:val="auto"/>
        </w:rPr>
        <w:t>pursuant to its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371. </w:t>
      </w:r>
      <w:r>
        <w:rPr>
          <w:rFonts w:ascii="Arial" w:cs="Arial" w:eastAsia="Arial" w:hAnsi="Arial"/>
          <w:sz w:val="18"/>
          <w:szCs w:val="18"/>
          <w:color w:val="auto"/>
        </w:rPr>
        <w:t>in connection with any transaction permitted under</w:t>
      </w:r>
      <w:r>
        <w:rPr>
          <w:rFonts w:ascii="Arial" w:cs="Arial" w:eastAsia="Arial" w:hAnsi="Arial"/>
          <w:sz w:val="18"/>
          <w:szCs w:val="18"/>
          <w:b w:val="1"/>
          <w:bCs w:val="1"/>
          <w:color w:val="auto"/>
        </w:rPr>
        <w:t xml:space="preserve"> Section 9.03</w:t>
      </w:r>
      <w:r>
        <w:rPr>
          <w:rFonts w:ascii="Arial" w:cs="Arial" w:eastAsia="Arial" w:hAnsi="Arial"/>
          <w:sz w:val="18"/>
          <w:szCs w:val="18"/>
          <w:color w:val="auto"/>
        </w:rPr>
        <w:t>,</w:t>
      </w:r>
      <w:r>
        <w:rPr>
          <w:rFonts w:ascii="Arial" w:cs="Arial" w:eastAsia="Arial" w:hAnsi="Arial"/>
          <w:sz w:val="18"/>
          <w:szCs w:val="18"/>
          <w:b w:val="1"/>
          <w:bCs w:val="1"/>
          <w:color w:val="auto"/>
        </w:rPr>
        <w:t xml:space="preserve"> 9.05</w:t>
      </w:r>
      <w:r>
        <w:rPr>
          <w:rFonts w:ascii="Arial" w:cs="Arial" w:eastAsia="Arial" w:hAnsi="Arial"/>
          <w:sz w:val="18"/>
          <w:szCs w:val="18"/>
          <w:color w:val="auto"/>
        </w:rPr>
        <w:t>,</w:t>
      </w:r>
      <w:r>
        <w:rPr>
          <w:rFonts w:ascii="Arial" w:cs="Arial" w:eastAsia="Arial" w:hAnsi="Arial"/>
          <w:sz w:val="18"/>
          <w:szCs w:val="18"/>
          <w:b w:val="1"/>
          <w:bCs w:val="1"/>
          <w:color w:val="auto"/>
        </w:rPr>
        <w:t xml:space="preserve"> 9.06 </w:t>
      </w:r>
      <w:r>
        <w:rPr>
          <w:rFonts w:ascii="Arial" w:cs="Arial" w:eastAsia="Arial" w:hAnsi="Arial"/>
          <w:sz w:val="18"/>
          <w:szCs w:val="18"/>
          <w:color w:val="auto"/>
        </w:rPr>
        <w:t>or</w:t>
      </w:r>
      <w:r>
        <w:rPr>
          <w:rFonts w:ascii="Arial" w:cs="Arial" w:eastAsia="Arial" w:hAnsi="Arial"/>
          <w:sz w:val="18"/>
          <w:szCs w:val="18"/>
          <w:b w:val="1"/>
          <w:bCs w:val="1"/>
          <w:color w:val="auto"/>
        </w:rPr>
        <w:t xml:space="preserve"> 9.14</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372. </w:t>
      </w:r>
      <w:r>
        <w:rPr>
          <w:rFonts w:ascii="Arial" w:cs="Arial" w:eastAsia="Arial" w:hAnsi="Arial"/>
          <w:sz w:val="18"/>
          <w:szCs w:val="18"/>
          <w:color w:val="auto"/>
        </w:rPr>
        <w:t>(i) Asset Sales identified in</w:t>
      </w:r>
      <w:r>
        <w:rPr>
          <w:rFonts w:ascii="Arial" w:cs="Arial" w:eastAsia="Arial" w:hAnsi="Arial"/>
          <w:sz w:val="18"/>
          <w:szCs w:val="18"/>
          <w:b w:val="1"/>
          <w:bCs w:val="1"/>
          <w:color w:val="auto"/>
        </w:rPr>
        <w:t xml:space="preserve"> Schedule 9.09 </w:t>
      </w:r>
      <w:r>
        <w:rPr>
          <w:rFonts w:ascii="Arial" w:cs="Arial" w:eastAsia="Arial" w:hAnsi="Arial"/>
          <w:sz w:val="18"/>
          <w:szCs w:val="18"/>
          <w:color w:val="auto"/>
        </w:rPr>
        <w:t>and (ii) Asset Sales of the Permitted Minority Investments;</w:t>
      </w:r>
    </w:p>
    <w:p>
      <w:pPr>
        <w:spacing w:after="0" w:line="22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SECTION 373. </w:t>
      </w:r>
      <w:r>
        <w:rPr>
          <w:rFonts w:ascii="Arial" w:cs="Arial" w:eastAsia="Arial" w:hAnsi="Arial"/>
          <w:sz w:val="16"/>
          <w:szCs w:val="16"/>
          <w:color w:val="auto"/>
        </w:rPr>
        <w:t>so long as no Default or Event of Default has occurred and is continuing (or could reasonably be expected to occur after giving effect to</w:t>
      </w:r>
      <w:r>
        <w:rPr>
          <w:rFonts w:ascii="Arial" w:cs="Arial" w:eastAsia="Arial" w:hAnsi="Arial"/>
          <w:sz w:val="16"/>
          <w:szCs w:val="16"/>
          <w:b w:val="1"/>
          <w:bCs w:val="1"/>
          <w:color w:val="auto"/>
        </w:rPr>
        <w:t xml:space="preserve"> </w:t>
      </w:r>
      <w:r>
        <w:rPr>
          <w:rFonts w:ascii="Arial" w:cs="Arial" w:eastAsia="Arial" w:hAnsi="Arial"/>
          <w:sz w:val="16"/>
          <w:szCs w:val="16"/>
          <w:color w:val="auto"/>
        </w:rPr>
        <w:t>such Asset Sale), Asset Sales (other than with respect to Material Intellectual Property) with a fair market value not in excess of $10,000,000 in aggregate;</w:t>
      </w:r>
    </w:p>
    <w:p>
      <w:pPr>
        <w:spacing w:after="0" w:line="11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374. </w:t>
      </w:r>
      <w:r>
        <w:rPr>
          <w:rFonts w:ascii="Arial" w:cs="Arial" w:eastAsia="Arial" w:hAnsi="Arial"/>
          <w:sz w:val="18"/>
          <w:szCs w:val="18"/>
          <w:color w:val="auto"/>
        </w:rPr>
        <w:t>Asset Sales (other than with respect to Material Intellectual Property) not in excess of $3,000,000 in the aggregate in any fiscal year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which any Obligor or any Subsidiary will receive cash proceeds in an amount equal to no less than seventy-five percent (75%) of the total consideration (fixed or contingent) paid or payable to such Obligor or such Subsidiary, but only so long as, unless otherwise waived by Administrative Agent in its sole discretion, the net cash proceeds of such Asset Sale are utilized to repay or prepay, in whole or in part, Indebtedness under and in accordance with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3.03(b) </w:t>
      </w:r>
      <w:r>
        <w:rPr>
          <w:rFonts w:ascii="Arial" w:cs="Arial" w:eastAsia="Arial" w:hAnsi="Arial"/>
          <w:sz w:val="18"/>
          <w:szCs w:val="18"/>
          <w:color w:val="auto"/>
        </w:rPr>
        <w:t>to the extent required thereby;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4" w:name="page165"/>
    <w:bookmarkEnd w:id="164"/>
    <w:p>
      <w:pPr>
        <w:jc w:val="both"/>
        <w:spacing w:after="0" w:line="266" w:lineRule="auto"/>
        <w:rPr>
          <w:sz w:val="20"/>
          <w:szCs w:val="20"/>
          <w:color w:val="auto"/>
        </w:rPr>
      </w:pPr>
      <w:r>
        <w:rPr>
          <w:rFonts w:ascii="Arial" w:cs="Arial" w:eastAsia="Arial" w:hAnsi="Arial"/>
          <w:sz w:val="18"/>
          <w:szCs w:val="18"/>
          <w:b w:val="1"/>
          <w:bCs w:val="1"/>
          <w:color w:val="auto"/>
        </w:rPr>
        <w:t xml:space="preserve">SECTION 375. </w:t>
      </w:r>
      <w:r>
        <w:rPr>
          <w:rFonts w:ascii="Arial" w:cs="Arial" w:eastAsia="Arial" w:hAnsi="Arial"/>
          <w:sz w:val="18"/>
          <w:szCs w:val="18"/>
          <w:color w:val="auto"/>
        </w:rPr>
        <w:t>dispositions in the Ordinary Course consisting of the abandonment, lapse or cancellation of Intellectual Property (other than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Intellectual Property) which, in the reasonable good faith determination of Borrower, are not material to the conduct of the business of Borrower or any of its Subsidiaries; and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376. </w:t>
      </w:r>
      <w:r>
        <w:rPr>
          <w:rFonts w:ascii="Arial" w:cs="Arial" w:eastAsia="Arial" w:hAnsi="Arial"/>
          <w:sz w:val="16"/>
          <w:szCs w:val="16"/>
          <w:color w:val="auto"/>
        </w:rPr>
        <w:t>dispositions of cash and Permitted Cash Equivalents Investment in the Ordinary Course or otherwise in transactions permitted hereunder.</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SECTION 377. Transactions with Affiliates</w:t>
      </w:r>
      <w:r>
        <w:rPr>
          <w:rFonts w:ascii="Arial" w:cs="Arial" w:eastAsia="Arial" w:hAnsi="Arial"/>
          <w:sz w:val="16"/>
          <w:szCs w:val="16"/>
          <w:color w:val="auto"/>
        </w:rPr>
        <w:t>. Such Obligor will not, and will not permit any of its Subsidiaries to, directly or indirectly, enter into or permit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to exist any transaction to sell, lease, license or otherwise transfer any assets to, or purchase, lease, license or otherwise acquire any assets from, or otherwise engage in any other transactions with, any of its Affiliates, unless such arrangement or transaction (i) is an Arm’s Length Transaction, (ii) is between or among (x) Obligors, (y) Subsidiaries that are not Obligors or (z) an Obligor and a Subsidiary that is not an Obligor;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clause (z) only, the terms thereof are (A) no less favorable to the Obligor than those that would be obtained in a comparable arm’s-length transaction with a non-affiliated Person and (B) such transaction is otherwise permitted hereunder and under the other Loan Documents, (iii) constitutes customary compensation (including performance, discretionary, retention, relocation, transaction and other special bonuses and payment, severance payments and payments pursuant to employment agreements), other benefits (including retirement, health, stock option and other benefit plans, life insurance, disability insurance and other equity (or equity-linked) awards) and indemnification of, and other employment arrangements with, directors, officers, and employees of any Obligor or its Subsidiaries in the Ordinary Course, (iv) constitutes payment of customary fees, reimbursement of expenses, and payment of indemnification to officers and directors and customary payment of insurance premiums on behalf of officers and directors by the Obligors or their Subsidiaries, in each case, in the Ordinary Course, (v) are the transactions set forth on </w:t>
      </w:r>
      <w:r>
        <w:rPr>
          <w:rFonts w:ascii="Arial" w:cs="Arial" w:eastAsia="Arial" w:hAnsi="Arial"/>
          <w:sz w:val="16"/>
          <w:szCs w:val="16"/>
          <w:b w:val="1"/>
          <w:bCs w:val="1"/>
          <w:color w:val="auto"/>
        </w:rPr>
        <w:t>Schedule 9.10</w:t>
      </w:r>
      <w:r>
        <w:rPr>
          <w:rFonts w:ascii="Arial" w:cs="Arial" w:eastAsia="Arial" w:hAnsi="Arial"/>
          <w:sz w:val="16"/>
          <w:szCs w:val="16"/>
          <w:color w:val="auto"/>
        </w:rPr>
        <w:t>) or (vi) is a transaction (with any series of related transactions being aggregated for the purposes of this clause (vi)) including consideration of less than $100,000.</w:t>
      </w:r>
    </w:p>
    <w:p>
      <w:pPr>
        <w:spacing w:after="0" w:line="17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i w:val="1"/>
          <w:iCs w:val="1"/>
          <w:color w:val="auto"/>
        </w:rPr>
        <w:t>SECTION 378. Restrictive Agreements</w:t>
      </w:r>
      <w:r>
        <w:rPr>
          <w:rFonts w:ascii="Arial" w:cs="Arial" w:eastAsia="Arial" w:hAnsi="Arial"/>
          <w:sz w:val="16"/>
          <w:szCs w:val="16"/>
          <w:color w:val="auto"/>
        </w:rPr>
        <w:t>. Such Obligor will not, and will not permit any of its Subsidiaries to, directly or indirectly, enter into, incur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permit to exist any Restrictive Agreement other than (i) restrictions and conditions imposed by applicable Laws or by the Loan Documents, (ii) Restrictive Agreements listed on </w:t>
      </w:r>
      <w:r>
        <w:rPr>
          <w:rFonts w:ascii="Arial" w:cs="Arial" w:eastAsia="Arial" w:hAnsi="Arial"/>
          <w:sz w:val="16"/>
          <w:szCs w:val="16"/>
          <w:b w:val="1"/>
          <w:bCs w:val="1"/>
          <w:color w:val="auto"/>
        </w:rPr>
        <w:t>Schedule 7.15</w:t>
      </w:r>
      <w:r>
        <w:rPr>
          <w:rFonts w:ascii="Arial" w:cs="Arial" w:eastAsia="Arial" w:hAnsi="Arial"/>
          <w:sz w:val="16"/>
          <w:szCs w:val="16"/>
          <w:color w:val="auto"/>
        </w:rPr>
        <w:t xml:space="preserve">, (iii) limitations associated with Permitted Liens or any document or instrument governing any Permitted Lien, (iv) any documentation governing Indebtedness referenced in clause </w:t>
      </w:r>
      <w:r>
        <w:rPr>
          <w:rFonts w:ascii="Arial" w:cs="Arial" w:eastAsia="Arial" w:hAnsi="Arial"/>
          <w:sz w:val="16"/>
          <w:szCs w:val="16"/>
          <w:b w:val="1"/>
          <w:bCs w:val="1"/>
          <w:color w:val="auto"/>
        </w:rPr>
        <w:t>(k)</w:t>
      </w:r>
      <w:r>
        <w:rPr>
          <w:rFonts w:ascii="Arial" w:cs="Arial" w:eastAsia="Arial" w:hAnsi="Arial"/>
          <w:sz w:val="16"/>
          <w:szCs w:val="16"/>
          <w:color w:val="auto"/>
        </w:rPr>
        <w:t xml:space="preserve"> (or any Permitted Refinancing thereof) or clause </w:t>
      </w:r>
      <w:r>
        <w:rPr>
          <w:rFonts w:ascii="Arial" w:cs="Arial" w:eastAsia="Arial" w:hAnsi="Arial"/>
          <w:sz w:val="16"/>
          <w:szCs w:val="16"/>
          <w:b w:val="1"/>
          <w:bCs w:val="1"/>
          <w:color w:val="auto"/>
        </w:rPr>
        <w:t>(r)</w:t>
      </w:r>
      <w:r>
        <w:rPr>
          <w:rFonts w:ascii="Arial" w:cs="Arial" w:eastAsia="Arial" w:hAnsi="Arial"/>
          <w:sz w:val="16"/>
          <w:szCs w:val="16"/>
          <w:color w:val="auto"/>
        </w:rPr>
        <w:t xml:space="preserve"> of </w:t>
      </w:r>
      <w:r>
        <w:rPr>
          <w:rFonts w:ascii="Arial" w:cs="Arial" w:eastAsia="Arial" w:hAnsi="Arial"/>
          <w:sz w:val="16"/>
          <w:szCs w:val="16"/>
          <w:b w:val="1"/>
          <w:bCs w:val="1"/>
          <w:color w:val="auto"/>
        </w:rPr>
        <w:t>Section 9.01</w:t>
      </w:r>
      <w:r>
        <w:rPr>
          <w:rFonts w:ascii="Arial" w:cs="Arial" w:eastAsia="Arial" w:hAnsi="Arial"/>
          <w:sz w:val="16"/>
          <w:szCs w:val="16"/>
          <w:color w:val="auto"/>
        </w:rPr>
        <w:t xml:space="preserve">, (v) customary provisions in leases, subleases, Permitted Licenses and other Contracts restricting the assignment thereof or restricting the assignment, pledge, transfer or sublease or sublicense of the property leased, licensed or otherwise the subject thereof; (vi) any restrictions or conditions set forth in any agreement in effect at any time any Person becomes a Subsidiary (but not any modification or amendment expanding the scope of any such restriction or condition);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was not entered into in contemplation of such Person becoming a Subsidiary; (vii) restrictions or conditions in any Indebtedness permitted pursuant to </w:t>
      </w:r>
      <w:r>
        <w:rPr>
          <w:rFonts w:ascii="Arial" w:cs="Arial" w:eastAsia="Arial" w:hAnsi="Arial"/>
          <w:sz w:val="16"/>
          <w:szCs w:val="16"/>
          <w:b w:val="1"/>
          <w:bCs w:val="1"/>
          <w:color w:val="auto"/>
        </w:rPr>
        <w:t>Section 9.01</w:t>
      </w:r>
      <w:r>
        <w:rPr>
          <w:rFonts w:ascii="Arial" w:cs="Arial" w:eastAsia="Arial" w:hAnsi="Arial"/>
          <w:sz w:val="16"/>
          <w:szCs w:val="16"/>
          <w:color w:val="auto"/>
        </w:rPr>
        <w:t xml:space="preserve"> that is incurred or assumed by Subsidiaries that are not Obligors to the extent such restrictions or conditions are no more restrictive in any material respect than the restrictions and conditions in the Loan Documents; (viii) restrictions or conditions imposed by any agreement relating to purchase money Indebtedness and other secured Indebtedness or to leases, subleases and licenses permitted by this Agreement if such restrictions or conditions apply only to the property or assets securing such Indebtedness or the property leased, subleased or licensed;</w:t>
      </w:r>
    </w:p>
    <w:p>
      <w:pPr>
        <w:spacing w:after="0" w:line="3" w:lineRule="exact"/>
        <w:rPr>
          <w:sz w:val="20"/>
          <w:szCs w:val="20"/>
          <w:color w:val="auto"/>
        </w:rPr>
      </w:pPr>
    </w:p>
    <w:p>
      <w:pPr>
        <w:jc w:val="both"/>
        <w:ind w:firstLine="8"/>
        <w:spacing w:after="0" w:line="290" w:lineRule="auto"/>
        <w:tabs>
          <w:tab w:leader="none" w:pos="314"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customary provisions in contracts for the disposition of any assets;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restrictions in any such contract shall apply only to the assets or Subsidiary that is to be disposed of and such disposition is permitted hereunder; (x) customary provisions regarding confidentiality or restricting assignment, pledges or transfer of any Permitted License or any other agreement entered into in the Ordinary Course; (xi) customary provisions in joint venture agreements and other similar agreements applicable to joint ventures and applicable solely to such joint venture; and (xii) restrictions or encumbrances in any agreement in effect at the time any Person becomes a Subsidiary, so long as (x) such agreement was not entered into in contemplation of such Person becoming a Subsidiary and (y) such restrictions or encumbrances do not extend beyond such Subsidiary or its assets.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5" w:name="page166"/>
    <w:bookmarkEnd w:id="165"/>
    <w:p>
      <w:pPr>
        <w:spacing w:after="0"/>
        <w:rPr>
          <w:sz w:val="20"/>
          <w:szCs w:val="20"/>
          <w:color w:val="auto"/>
        </w:rPr>
      </w:pPr>
      <w:r>
        <w:rPr>
          <w:rFonts w:ascii="Arial" w:cs="Arial" w:eastAsia="Arial" w:hAnsi="Arial"/>
          <w:sz w:val="16"/>
          <w:szCs w:val="16"/>
          <w:b w:val="1"/>
          <w:bCs w:val="1"/>
          <w:i w:val="1"/>
          <w:iCs w:val="1"/>
          <w:color w:val="auto"/>
        </w:rPr>
        <w:t>SECTION 379. Modifications and Terminations of Material Agreements and Organic Documents</w:t>
      </w:r>
      <w:r>
        <w:rPr>
          <w:rFonts w:ascii="Arial" w:cs="Arial" w:eastAsia="Arial" w:hAnsi="Arial"/>
          <w:sz w:val="16"/>
          <w:szCs w:val="16"/>
          <w:color w:val="auto"/>
        </w:rPr>
        <w:t>. The Obligors will not, and will not permit any of their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Subsidiaries to:</w:t>
      </w:r>
    </w:p>
    <w:p>
      <w:pPr>
        <w:spacing w:after="0" w:line="211" w:lineRule="exact"/>
        <w:rPr>
          <w:sz w:val="20"/>
          <w:szCs w:val="20"/>
          <w:color w:val="auto"/>
        </w:rPr>
      </w:pPr>
    </w:p>
    <w:p>
      <w:pPr>
        <w:ind w:firstLine="656"/>
        <w:spacing w:after="0" w:line="277" w:lineRule="auto"/>
        <w:tabs>
          <w:tab w:leader="none" w:pos="919" w:val="left"/>
        </w:tabs>
        <w:numPr>
          <w:ilvl w:val="0"/>
          <w:numId w:val="54"/>
        </w:numPr>
        <w:rPr>
          <w:rFonts w:ascii="Arial" w:cs="Arial" w:eastAsia="Arial" w:hAnsi="Arial"/>
          <w:sz w:val="18"/>
          <w:szCs w:val="18"/>
          <w:color w:val="auto"/>
        </w:rPr>
      </w:pPr>
      <w:r>
        <w:rPr>
          <w:rFonts w:ascii="Arial" w:cs="Arial" w:eastAsia="Arial" w:hAnsi="Arial"/>
          <w:sz w:val="18"/>
          <w:szCs w:val="18"/>
          <w:color w:val="auto"/>
        </w:rPr>
        <w:t>waive, amend, terminate, replace or otherwise modify any term or provision of any Organic Document in any way or manner materially adverse to the interests of the Administrative Agent and the Lenders; or</w:t>
      </w:r>
    </w:p>
    <w:p>
      <w:pPr>
        <w:spacing w:after="0" w:line="170" w:lineRule="exact"/>
        <w:rPr>
          <w:rFonts w:ascii="Arial" w:cs="Arial" w:eastAsia="Arial" w:hAnsi="Arial"/>
          <w:sz w:val="18"/>
          <w:szCs w:val="18"/>
          <w:color w:val="auto"/>
        </w:rPr>
      </w:pPr>
    </w:p>
    <w:p>
      <w:pPr>
        <w:ind w:firstLine="656"/>
        <w:spacing w:after="0" w:line="277" w:lineRule="auto"/>
        <w:tabs>
          <w:tab w:leader="none" w:pos="91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waive, amend, replace or otherwise modify any term or provision of any Material Agreement in a manner materially adverse to the rights and remedies the Administrative Agent and the Lenders hereunder; or</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03" w:val="left"/>
        </w:tabs>
        <w:numPr>
          <w:ilvl w:val="0"/>
          <w:numId w:val="54"/>
        </w:numPr>
        <w:rPr>
          <w:rFonts w:ascii="Arial" w:cs="Arial" w:eastAsia="Arial" w:hAnsi="Arial"/>
          <w:sz w:val="18"/>
          <w:szCs w:val="18"/>
          <w:color w:val="auto"/>
        </w:rPr>
      </w:pPr>
      <w:r>
        <w:rPr>
          <w:rFonts w:ascii="Arial" w:cs="Arial" w:eastAsia="Arial" w:hAnsi="Arial"/>
          <w:sz w:val="18"/>
          <w:szCs w:val="18"/>
          <w:color w:val="auto"/>
        </w:rPr>
        <w:t>(x) take or omit to take any action that results in the termination of, or permits any other Person to terminate, any Material Agreement or the Obligors’ or their Subsidiaries’ rights in or to Material Intellectual Property or (y) take any action that permits any Material Agreement or the Borrower, such Subsidiary Guarantor, or their Subsidiaries’ rights in or to Material Intellectual Property to be terminated by any counterparty thereto prior to its stated date of expiration.</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SECTION 380. Outbound Licenses</w:t>
      </w:r>
      <w:r>
        <w:rPr>
          <w:rFonts w:ascii="Arial" w:cs="Arial" w:eastAsia="Arial" w:hAnsi="Arial"/>
          <w:sz w:val="17"/>
          <w:szCs w:val="17"/>
          <w:color w:val="auto"/>
        </w:rPr>
        <w:t>. No Obligor shall, nor shall it permit any of its Subsidiaries to, enter into or become or remain bound by any outbound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license, covenant not to sue or other grant of rights or immunities under Material Intellectual Property, except for Permitted Licenses.</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SECTION 381. Sales and Leasebacks</w:t>
      </w:r>
      <w:r>
        <w:rPr>
          <w:rFonts w:ascii="Arial" w:cs="Arial" w:eastAsia="Arial" w:hAnsi="Arial"/>
          <w:sz w:val="17"/>
          <w:szCs w:val="17"/>
          <w:color w:val="auto"/>
        </w:rPr>
        <w:t>. Except as disclosed on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Schedule 9.14</w:t>
      </w:r>
      <w:r>
        <w:rPr>
          <w:rFonts w:ascii="Arial" w:cs="Arial" w:eastAsia="Arial" w:hAnsi="Arial"/>
          <w:sz w:val="17"/>
          <w:szCs w:val="17"/>
          <w:color w:val="auto"/>
        </w:rPr>
        <w:t>, except as otherwise consented to in writing by the Administrative Agent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consent not to be unreasonably withheld), each Obligor will not, and will not permit any of its Subsidiaries to, become liable, directly or indirectly, with respect to any lease, whether an operating lease or a Capital Lease Obligation, of any property (whether real, personal, or mixed), whether now owned or hereafter acquired, (i) which such Person has sold or transferred or is to sell or transfer to any other Person and (ii) which such Obligor or Subsidiary intends to use for substantially the same purposes as property which has been or is to be sold or transferred.</w:t>
      </w:r>
    </w:p>
    <w:p>
      <w:pPr>
        <w:spacing w:after="0" w:line="17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SECTION 382. Hazardous Material</w:t>
      </w:r>
      <w:r>
        <w:rPr>
          <w:rFonts w:ascii="Arial" w:cs="Arial" w:eastAsia="Arial" w:hAnsi="Arial"/>
          <w:sz w:val="17"/>
          <w:szCs w:val="17"/>
          <w:color w:val="auto"/>
        </w:rPr>
        <w:t>. Each Obligor will not, and will not permit any of its Subsidiaries to, use, generate, manufacture, install, treat, release,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store or dispose of any Hazardous Material, except as would not reasonably be expected to result in a Material Environmental Liability.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6" w:name="page167"/>
    <w:bookmarkEnd w:id="166"/>
    <w:p>
      <w:pPr>
        <w:jc w:val="both"/>
        <w:spacing w:after="0" w:line="277" w:lineRule="auto"/>
        <w:rPr>
          <w:sz w:val="20"/>
          <w:szCs w:val="20"/>
          <w:color w:val="auto"/>
        </w:rPr>
      </w:pPr>
      <w:r>
        <w:rPr>
          <w:rFonts w:ascii="Arial" w:cs="Arial" w:eastAsia="Arial" w:hAnsi="Arial"/>
          <w:sz w:val="18"/>
          <w:szCs w:val="18"/>
          <w:b w:val="1"/>
          <w:bCs w:val="1"/>
          <w:i w:val="1"/>
          <w:iCs w:val="1"/>
          <w:color w:val="auto"/>
        </w:rPr>
        <w:t>SECTION 384. Accounting Changes</w:t>
      </w:r>
      <w:r>
        <w:rPr>
          <w:rFonts w:ascii="Arial" w:cs="Arial" w:eastAsia="Arial" w:hAnsi="Arial"/>
          <w:sz w:val="18"/>
          <w:szCs w:val="18"/>
          <w:color w:val="auto"/>
        </w:rPr>
        <w:t>. Such Obligor will not, and will not permit any of its Subsidiaries to, make any significant change in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or reporting practices, except as required or permitted by GAAP.</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SECTION 385. Compliance with ERISA</w:t>
      </w:r>
      <w:r>
        <w:rPr>
          <w:rFonts w:ascii="Arial" w:cs="Arial" w:eastAsia="Arial" w:hAnsi="Arial"/>
          <w:sz w:val="18"/>
          <w:szCs w:val="18"/>
          <w:color w:val="auto"/>
        </w:rPr>
        <w:t>. No ERISA Affiliate shall cause or suffer to exist (i) any event that could result in the imposition of a Lien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to any Title IV Plan or Multiemployer Plan or (ii) any other ERISA Event that could, in the aggregate, reasonably be expected to result in a Material Adverse Effect. No Obligor or any of its Subsidiaries shall cause or suffer to exist any event that could result in the imposition of a Lien with respect to any Benefit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386. Sanctions; Anti-Corruption Use of Proceeds</w:t>
      </w:r>
      <w:r>
        <w:rPr>
          <w:rFonts w:ascii="Arial" w:cs="Arial" w:eastAsia="Arial" w:hAnsi="Arial"/>
          <w:sz w:val="18"/>
          <w:szCs w:val="18"/>
          <w:color w:val="auto"/>
        </w:rPr>
        <w:t>.</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SECTION 387. </w:t>
      </w:r>
      <w:r>
        <w:rPr>
          <w:rFonts w:ascii="Arial" w:cs="Arial" w:eastAsia="Arial" w:hAnsi="Arial"/>
          <w:sz w:val="17"/>
          <w:szCs w:val="17"/>
          <w:color w:val="auto"/>
        </w:rPr>
        <w:t>No Obligor nor any of its Subsidiaries or their respective agents shall (i) conduct any business or engage in any transaction or dealing with</w:t>
      </w:r>
      <w:r>
        <w:rPr>
          <w:rFonts w:ascii="Arial" w:cs="Arial" w:eastAsia="Arial" w:hAnsi="Arial"/>
          <w:sz w:val="17"/>
          <w:szCs w:val="17"/>
          <w:b w:val="1"/>
          <w:bCs w:val="1"/>
          <w:color w:val="auto"/>
        </w:rPr>
        <w:t xml:space="preserve"> </w:t>
      </w:r>
      <w:r>
        <w:rPr>
          <w:rFonts w:ascii="Arial" w:cs="Arial" w:eastAsia="Arial" w:hAnsi="Arial"/>
          <w:sz w:val="17"/>
          <w:szCs w:val="17"/>
          <w:color w:val="auto"/>
        </w:rPr>
        <w:t>any Sanctioned Person in violation of Sanctions, including making or receiving any contribution of funds, goods or services to or for the benefit of any Sanctioned Person; (ii) deal in, or otherwise engage in any transaction relating to, any property or interests in property blocked pursuant to any Sanctions; or (iii) engage in or conspire to engage in any transaction that evades or avoids, or has the purpose of evading or avoiding, or attempts to violate, any of the prohibitions set forth in any applicable Sanctions, the Patriot Act or any other Anti-Terrorism Law.</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SECTION 388. </w:t>
      </w:r>
      <w:r>
        <w:rPr>
          <w:rFonts w:ascii="Arial" w:cs="Arial" w:eastAsia="Arial" w:hAnsi="Arial"/>
          <w:sz w:val="17"/>
          <w:szCs w:val="17"/>
          <w:color w:val="auto"/>
        </w:rPr>
        <w:t>The Borrower will not, directly or, to the knowledge of the Borrower, indirectly, use the proceeds of the Loans, or lend, contribute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make available such proceeds to any subsidiary, joint venture partner or other Person, (i) in furtherance of an offer, payment, promise to pay, or authorization of the payment or giving of money, or anything else of value, to any Person in violation of any applicable anti-corruption Law, or (ii) (A) for the purpose of funding any activities or business of or with any Sanctioned Person or any Designated Jurisdiction in violation of Sanctions or (B) in any other manner that would result in a violation of Sanctions by any party to this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389. </w:t>
      </w:r>
      <w:r>
        <w:rPr>
          <w:rFonts w:ascii="Arial" w:cs="Arial" w:eastAsia="Arial" w:hAnsi="Arial"/>
          <w:sz w:val="18"/>
          <w:szCs w:val="18"/>
          <w:color w:val="auto"/>
        </w:rPr>
        <w:t>FINANCIAL COVENANTS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SECTION 390. Minimum Liquidity</w:t>
      </w:r>
      <w:r>
        <w:rPr>
          <w:rFonts w:ascii="Arial" w:cs="Arial" w:eastAsia="Arial" w:hAnsi="Arial"/>
          <w:sz w:val="17"/>
          <w:szCs w:val="17"/>
          <w:color w:val="auto"/>
        </w:rPr>
        <w:t>. Subject to</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Section 8.17(d)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(f)</w:t>
      </w:r>
      <w:r>
        <w:rPr>
          <w:rFonts w:ascii="Arial" w:cs="Arial" w:eastAsia="Arial" w:hAnsi="Arial"/>
          <w:sz w:val="17"/>
          <w:szCs w:val="17"/>
          <w:color w:val="auto"/>
        </w:rPr>
        <w:t>, the Obligors shall at all times maintain the Minimum Liquidity Amount in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and/or Permitted Cash Equivalent Investments in one or more Controlled Accounts that is free and clear of all Liens, other than Liens granted under the Loan Documents in favor of the Administrative Agent and Liens permitted under </w:t>
      </w:r>
      <w:r>
        <w:rPr>
          <w:rFonts w:ascii="Arial" w:cs="Arial" w:eastAsia="Arial" w:hAnsi="Arial"/>
          <w:sz w:val="17"/>
          <w:szCs w:val="17"/>
          <w:b w:val="1"/>
          <w:bCs w:val="1"/>
          <w:color w:val="auto"/>
        </w:rPr>
        <w:t>Section 9.02(i)</w:t>
      </w:r>
      <w:r>
        <w:rPr>
          <w:rFonts w:ascii="Arial" w:cs="Arial" w:eastAsia="Arial" w:hAnsi="Arial"/>
          <w:sz w:val="17"/>
          <w:szCs w:val="17"/>
          <w:color w:val="auto"/>
        </w:rPr>
        <w:t xml:space="preserve"> or </w:t>
      </w:r>
      <w:r>
        <w:rPr>
          <w:rFonts w:ascii="Arial" w:cs="Arial" w:eastAsia="Arial" w:hAnsi="Arial"/>
          <w:sz w:val="17"/>
          <w:szCs w:val="17"/>
          <w:b w:val="1"/>
          <w:bCs w:val="1"/>
          <w:color w:val="auto"/>
        </w:rPr>
        <w:t>Section 9.02(s)</w:t>
      </w:r>
      <w:r>
        <w:rPr>
          <w:rFonts w:ascii="Arial" w:cs="Arial" w:eastAsia="Arial" w:hAnsi="Arial"/>
          <w:sz w:val="17"/>
          <w:szCs w:val="17"/>
          <w:color w:val="auto"/>
        </w:rPr>
        <w:t>.</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SECTION 391. Minimum Net Revenues</w:t>
      </w:r>
      <w:r>
        <w:rPr>
          <w:rFonts w:ascii="Arial" w:cs="Arial" w:eastAsia="Arial" w:hAnsi="Arial"/>
          <w:sz w:val="17"/>
          <w:szCs w:val="17"/>
          <w:color w:val="auto"/>
        </w:rPr>
        <w:t>. Beginning with the fiscal quarter of the Borrower ending on June 30, 2023, and with respect to each subsequent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fiscal quarter, the Net Revenues of the Borrower and its Subsidiaries for the twelve (12) consecutive month period ending on the last day of such fiscal quarter shall not be less than the Minimum Net Revenues for such quarter (the “</w:t>
      </w:r>
      <w:r>
        <w:rPr>
          <w:rFonts w:ascii="Arial" w:cs="Arial" w:eastAsia="Arial" w:hAnsi="Arial"/>
          <w:sz w:val="17"/>
          <w:szCs w:val="17"/>
          <w:b w:val="1"/>
          <w:bCs w:val="1"/>
          <w:i w:val="1"/>
          <w:iCs w:val="1"/>
          <w:color w:val="auto"/>
        </w:rPr>
        <w:t>Minimum Net Revenues Covenant</w:t>
      </w:r>
      <w:r>
        <w:rPr>
          <w:rFonts w:ascii="Arial" w:cs="Arial" w:eastAsia="Arial" w:hAnsi="Arial"/>
          <w:sz w:val="17"/>
          <w:szCs w:val="17"/>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t xml:space="preserve">SECTION 392. </w:t>
      </w:r>
      <w:r>
        <w:rPr>
          <w:rFonts w:ascii="Arial" w:cs="Arial" w:eastAsia="Arial" w:hAnsi="Arial"/>
          <w:sz w:val="18"/>
          <w:szCs w:val="18"/>
          <w:color w:val="auto"/>
        </w:rPr>
        <w:t>EVENTS OF DEFAULT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393. Events of Default</w:t>
      </w:r>
      <w:r>
        <w:rPr>
          <w:rFonts w:ascii="Arial" w:cs="Arial" w:eastAsia="Arial" w:hAnsi="Arial"/>
          <w:sz w:val="18"/>
          <w:szCs w:val="18"/>
          <w:color w:val="auto"/>
        </w:rPr>
        <w:t>. Each of the following events shall constitute an “</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394. Principal Payment Default</w:t>
      </w:r>
      <w:r>
        <w:rPr>
          <w:rFonts w:ascii="Arial" w:cs="Arial" w:eastAsia="Arial" w:hAnsi="Arial"/>
          <w:sz w:val="18"/>
          <w:szCs w:val="18"/>
          <w:color w:val="auto"/>
        </w:rPr>
        <w:t>. The Borrower shall fail to pay any principal of the Loan, when and as the same shall become due and</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whether at the due date thereof, at a date fixed for prepayment thereof or otherwise.</w:t>
      </w:r>
    </w:p>
    <w:p>
      <w:pPr>
        <w:spacing w:after="0" w:line="162"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SECTION 395. Other Payment Defaults</w:t>
      </w:r>
      <w:r>
        <w:rPr>
          <w:rFonts w:ascii="Arial" w:cs="Arial" w:eastAsia="Arial" w:hAnsi="Arial"/>
          <w:sz w:val="17"/>
          <w:szCs w:val="17"/>
          <w:color w:val="auto"/>
        </w:rPr>
        <w:t>. Any Obligor shall fail to pay interest or any other Obligation (other than an amount referred to in</w:t>
      </w:r>
      <w:r>
        <w:rPr>
          <w:rFonts w:ascii="Arial" w:cs="Arial" w:eastAsia="Arial" w:hAnsi="Arial"/>
          <w:sz w:val="17"/>
          <w:szCs w:val="17"/>
          <w:b w:val="1"/>
          <w:bCs w:val="1"/>
          <w:color w:val="auto"/>
        </w:rPr>
        <w:t xml:space="preserve"> Section 11.01(a)</w:t>
      </w:r>
      <w:r>
        <w:rPr>
          <w:rFonts w:ascii="Arial" w:cs="Arial" w:eastAsia="Arial" w:hAnsi="Arial"/>
          <w:sz w:val="17"/>
          <w:szCs w:val="17"/>
          <w:color w:val="auto"/>
        </w:rPr>
        <w:t>) when and as the same shall become due and payable, and such failure shall continue unremedied for a period of three (3) Business Days.</w:t>
      </w:r>
    </w:p>
    <w:p>
      <w:pPr>
        <w:spacing w:after="0" w:line="14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SECTION 396. Representations and Warranties</w:t>
      </w:r>
      <w:r>
        <w:rPr>
          <w:rFonts w:ascii="Arial" w:cs="Arial" w:eastAsia="Arial" w:hAnsi="Arial"/>
          <w:sz w:val="17"/>
          <w:szCs w:val="17"/>
          <w:color w:val="auto"/>
        </w:rPr>
        <w:t>. Any representation or warranty made or deemed made by or on behalf of any Obligor or any of its</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(i) have been incorrect or misleading when made or deemed made to the extent that such representation or warranty contains any materiality or Material Adverse Effect qualifier; or (ii) have been incorrect in any material respect when made or deemed made to the extent that such representation or warranty does not otherwise contain any materiality or Material Adverse Effect qualifier.</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397. Certain Covenants</w:t>
      </w:r>
      <w:r>
        <w:rPr>
          <w:rFonts w:ascii="Arial" w:cs="Arial" w:eastAsia="Arial" w:hAnsi="Arial"/>
          <w:sz w:val="18"/>
          <w:szCs w:val="18"/>
          <w:color w:val="auto"/>
        </w:rPr>
        <w:t>. Any Obligor shall fail to observe or perform any covenant, condition or agreement contained in</w:t>
      </w:r>
      <w:r>
        <w:rPr>
          <w:rFonts w:ascii="Arial" w:cs="Arial" w:eastAsia="Arial" w:hAnsi="Arial"/>
          <w:sz w:val="18"/>
          <w:szCs w:val="18"/>
          <w:b w:val="1"/>
          <w:bCs w:val="1"/>
          <w:color w:val="auto"/>
        </w:rPr>
        <w:t xml:space="preserve"> Section 8.01, Section 8.02</w:t>
      </w:r>
      <w:r>
        <w:rPr>
          <w:rFonts w:ascii="Arial" w:cs="Arial" w:eastAsia="Arial" w:hAnsi="Arial"/>
          <w:sz w:val="18"/>
          <w:szCs w:val="18"/>
          <w:color w:val="auto"/>
        </w:rPr>
        <w:t>,</w:t>
      </w:r>
      <w:r>
        <w:rPr>
          <w:rFonts w:ascii="Arial" w:cs="Arial" w:eastAsia="Arial" w:hAnsi="Arial"/>
          <w:sz w:val="18"/>
          <w:szCs w:val="18"/>
          <w:b w:val="1"/>
          <w:bCs w:val="1"/>
          <w:color w:val="auto"/>
        </w:rPr>
        <w:t xml:space="preserve"> Section 8.03 </w:t>
      </w:r>
      <w:r>
        <w:rPr>
          <w:rFonts w:ascii="Arial" w:cs="Arial" w:eastAsia="Arial" w:hAnsi="Arial"/>
          <w:sz w:val="18"/>
          <w:szCs w:val="18"/>
          <w:color w:val="auto"/>
        </w:rPr>
        <w:t>(solely as to the Borrower),</w:t>
      </w:r>
      <w:r>
        <w:rPr>
          <w:rFonts w:ascii="Arial" w:cs="Arial" w:eastAsia="Arial" w:hAnsi="Arial"/>
          <w:sz w:val="18"/>
          <w:szCs w:val="18"/>
          <w:b w:val="1"/>
          <w:bCs w:val="1"/>
          <w:color w:val="auto"/>
        </w:rPr>
        <w:t xml:space="preserve"> Section 8.07</w:t>
      </w:r>
      <w:r>
        <w:rPr>
          <w:rFonts w:ascii="Arial" w:cs="Arial" w:eastAsia="Arial" w:hAnsi="Arial"/>
          <w:sz w:val="18"/>
          <w:szCs w:val="18"/>
          <w:color w:val="auto"/>
        </w:rPr>
        <w:t>,</w:t>
      </w:r>
      <w:r>
        <w:rPr>
          <w:rFonts w:ascii="Arial" w:cs="Arial" w:eastAsia="Arial" w:hAnsi="Arial"/>
          <w:sz w:val="18"/>
          <w:szCs w:val="18"/>
          <w:b w:val="1"/>
          <w:bCs w:val="1"/>
          <w:color w:val="auto"/>
        </w:rPr>
        <w:t xml:space="preserve"> Section 8.10</w:t>
      </w:r>
      <w:r>
        <w:rPr>
          <w:rFonts w:ascii="Arial" w:cs="Arial" w:eastAsia="Arial" w:hAnsi="Arial"/>
          <w:sz w:val="18"/>
          <w:szCs w:val="18"/>
          <w:color w:val="auto"/>
        </w:rPr>
        <w:t>,</w:t>
      </w:r>
      <w:r>
        <w:rPr>
          <w:rFonts w:ascii="Arial" w:cs="Arial" w:eastAsia="Arial" w:hAnsi="Arial"/>
          <w:sz w:val="18"/>
          <w:szCs w:val="18"/>
          <w:b w:val="1"/>
          <w:bCs w:val="1"/>
          <w:color w:val="auto"/>
        </w:rPr>
        <w:t xml:space="preserve"> Section 8.11</w:t>
      </w:r>
      <w:r>
        <w:rPr>
          <w:rFonts w:ascii="Arial" w:cs="Arial" w:eastAsia="Arial" w:hAnsi="Arial"/>
          <w:sz w:val="18"/>
          <w:szCs w:val="18"/>
          <w:color w:val="auto"/>
        </w:rPr>
        <w:t>,</w:t>
      </w:r>
      <w:r>
        <w:rPr>
          <w:rFonts w:ascii="Arial" w:cs="Arial" w:eastAsia="Arial" w:hAnsi="Arial"/>
          <w:sz w:val="18"/>
          <w:szCs w:val="18"/>
          <w:b w:val="1"/>
          <w:bCs w:val="1"/>
          <w:color w:val="auto"/>
        </w:rPr>
        <w:t xml:space="preserve"> Section 8.16</w:t>
      </w:r>
      <w:r>
        <w:rPr>
          <w:rFonts w:ascii="Arial" w:cs="Arial" w:eastAsia="Arial" w:hAnsi="Arial"/>
          <w:sz w:val="18"/>
          <w:szCs w:val="18"/>
          <w:color w:val="auto"/>
        </w:rPr>
        <w:t>,</w:t>
      </w:r>
      <w:r>
        <w:rPr>
          <w:rFonts w:ascii="Arial" w:cs="Arial" w:eastAsia="Arial" w:hAnsi="Arial"/>
          <w:sz w:val="18"/>
          <w:szCs w:val="18"/>
          <w:b w:val="1"/>
          <w:bCs w:val="1"/>
          <w:color w:val="auto"/>
        </w:rPr>
        <w:t xml:space="preserve"> Section 8.17</w:t>
      </w:r>
      <w:r>
        <w:rPr>
          <w:rFonts w:ascii="Arial" w:cs="Arial" w:eastAsia="Arial" w:hAnsi="Arial"/>
          <w:sz w:val="18"/>
          <w:szCs w:val="18"/>
          <w:color w:val="auto"/>
        </w:rPr>
        <w:t>,</w:t>
      </w:r>
      <w:r>
        <w:rPr>
          <w:rFonts w:ascii="Arial" w:cs="Arial" w:eastAsia="Arial" w:hAnsi="Arial"/>
          <w:sz w:val="18"/>
          <w:szCs w:val="18"/>
          <w:b w:val="1"/>
          <w:bCs w:val="1"/>
          <w:color w:val="auto"/>
        </w:rPr>
        <w:t xml:space="preserve"> Section 8.18</w:t>
      </w:r>
      <w:r>
        <w:rPr>
          <w:rFonts w:ascii="Arial" w:cs="Arial" w:eastAsia="Arial" w:hAnsi="Arial"/>
          <w:sz w:val="18"/>
          <w:szCs w:val="18"/>
          <w:color w:val="auto"/>
        </w:rPr>
        <w:t>,</w:t>
      </w:r>
      <w:r>
        <w:rPr>
          <w:rFonts w:ascii="Arial" w:cs="Arial" w:eastAsia="Arial" w:hAnsi="Arial"/>
          <w:sz w:val="18"/>
          <w:szCs w:val="18"/>
          <w:b w:val="1"/>
          <w:bCs w:val="1"/>
          <w:color w:val="auto"/>
        </w:rPr>
        <w:t xml:space="preserve"> Section 9 </w:t>
      </w:r>
      <w:r>
        <w:rPr>
          <w:rFonts w:ascii="Arial" w:cs="Arial" w:eastAsia="Arial" w:hAnsi="Arial"/>
          <w:sz w:val="18"/>
          <w:szCs w:val="18"/>
          <w:color w:val="auto"/>
        </w:rPr>
        <w:t>or</w:t>
      </w:r>
      <w:r>
        <w:rPr>
          <w:rFonts w:ascii="Arial" w:cs="Arial" w:eastAsia="Arial" w:hAnsi="Arial"/>
          <w:sz w:val="18"/>
          <w:szCs w:val="18"/>
          <w:b w:val="1"/>
          <w:bCs w:val="1"/>
          <w:color w:val="auto"/>
        </w:rPr>
        <w:t xml:space="preserve"> Section 10</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an Event of Default under</w:t>
      </w:r>
      <w:r>
        <w:rPr>
          <w:rFonts w:ascii="Arial" w:cs="Arial" w:eastAsia="Arial" w:hAnsi="Arial"/>
          <w:sz w:val="18"/>
          <w:szCs w:val="18"/>
          <w:b w:val="1"/>
          <w:bCs w:val="1"/>
          <w:color w:val="auto"/>
        </w:rPr>
        <w:t xml:space="preserve"> Section 10.02 </w:t>
      </w:r>
      <w:r>
        <w:rPr>
          <w:rFonts w:ascii="Arial" w:cs="Arial" w:eastAsia="Arial" w:hAnsi="Arial"/>
          <w:sz w:val="18"/>
          <w:szCs w:val="18"/>
          <w:color w:val="auto"/>
        </w:rPr>
        <w:t>is subject to</w:t>
      </w:r>
      <w:r>
        <w:rPr>
          <w:rFonts w:ascii="Arial" w:cs="Arial" w:eastAsia="Arial" w:hAnsi="Arial"/>
          <w:sz w:val="18"/>
          <w:szCs w:val="18"/>
          <w:b w:val="1"/>
          <w:bCs w:val="1"/>
          <w:color w:val="auto"/>
        </w:rPr>
        <w:t xml:space="preserve"> Section 11.04 </w:t>
      </w:r>
      <w:r>
        <w:rPr>
          <w:rFonts w:ascii="Arial" w:cs="Arial" w:eastAsia="Arial" w:hAnsi="Arial"/>
          <w:sz w:val="18"/>
          <w:szCs w:val="18"/>
          <w:color w:val="auto"/>
        </w:rPr>
        <w:t>and an Event of Default with respect to</w:t>
      </w:r>
      <w:r>
        <w:rPr>
          <w:rFonts w:ascii="Arial" w:cs="Arial" w:eastAsia="Arial" w:hAnsi="Arial"/>
          <w:sz w:val="18"/>
          <w:szCs w:val="18"/>
          <w:b w:val="1"/>
          <w:bCs w:val="1"/>
          <w:color w:val="auto"/>
        </w:rPr>
        <w:t xml:space="preserve"> Section 10.02 </w:t>
      </w:r>
      <w:r>
        <w:rPr>
          <w:rFonts w:ascii="Arial" w:cs="Arial" w:eastAsia="Arial" w:hAnsi="Arial"/>
          <w:sz w:val="18"/>
          <w:szCs w:val="18"/>
          <w:color w:val="auto"/>
        </w:rPr>
        <w:t>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occur until the Cure Expiration Date.</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SECTION 398. Other Covenants</w:t>
      </w:r>
      <w:r>
        <w:rPr>
          <w:rFonts w:ascii="Arial" w:cs="Arial" w:eastAsia="Arial" w:hAnsi="Arial"/>
          <w:sz w:val="17"/>
          <w:szCs w:val="17"/>
          <w:color w:val="auto"/>
        </w:rPr>
        <w:t>. Any Obligor shall fail to observe or perform any covenant, condition or agreement contained in this Agreement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than those specified in </w:t>
      </w:r>
      <w:r>
        <w:rPr>
          <w:rFonts w:ascii="Arial" w:cs="Arial" w:eastAsia="Arial" w:hAnsi="Arial"/>
          <w:sz w:val="17"/>
          <w:szCs w:val="17"/>
          <w:b w:val="1"/>
          <w:bCs w:val="1"/>
          <w:color w:val="auto"/>
        </w:rPr>
        <w:t>Section 11.01(a)</w:t>
      </w:r>
      <w:r>
        <w:rPr>
          <w:rFonts w:ascii="Arial" w:cs="Arial" w:eastAsia="Arial" w:hAnsi="Arial"/>
          <w:sz w:val="17"/>
          <w:szCs w:val="17"/>
          <w:color w:val="auto"/>
        </w:rPr>
        <w:t xml:space="preserve">, </w:t>
      </w:r>
      <w:r>
        <w:rPr>
          <w:rFonts w:ascii="Arial" w:cs="Arial" w:eastAsia="Arial" w:hAnsi="Arial"/>
          <w:sz w:val="17"/>
          <w:szCs w:val="17"/>
          <w:b w:val="1"/>
          <w:bCs w:val="1"/>
          <w:color w:val="auto"/>
        </w:rPr>
        <w:t>(b)</w:t>
      </w:r>
      <w:r>
        <w:rPr>
          <w:rFonts w:ascii="Arial" w:cs="Arial" w:eastAsia="Arial" w:hAnsi="Arial"/>
          <w:sz w:val="17"/>
          <w:szCs w:val="17"/>
          <w:color w:val="auto"/>
        </w:rPr>
        <w:t xml:space="preserve"> or </w:t>
      </w:r>
      <w:r>
        <w:rPr>
          <w:rFonts w:ascii="Arial" w:cs="Arial" w:eastAsia="Arial" w:hAnsi="Arial"/>
          <w:sz w:val="17"/>
          <w:szCs w:val="17"/>
          <w:b w:val="1"/>
          <w:bCs w:val="1"/>
          <w:color w:val="auto"/>
        </w:rPr>
        <w:t>(d)</w:t>
      </w:r>
      <w:r>
        <w:rPr>
          <w:rFonts w:ascii="Arial" w:cs="Arial" w:eastAsia="Arial" w:hAnsi="Arial"/>
          <w:sz w:val="17"/>
          <w:szCs w:val="17"/>
          <w:color w:val="auto"/>
        </w:rPr>
        <w:t>) or any other Loan Document, and, in the case of any failure that is capable of cure, such failure shall continue unremedied for a period of thirty (30) or more days after the earlier to occur of the date on which (i) a Responsible Officer of any Obligor becomes aware of such failure or (ii) written notice thereof shall have been given to any Obligor by the Administrative Agent or any Lender.</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SECTION 399. Payment Default on Other Indebtedness</w:t>
      </w:r>
      <w:r>
        <w:rPr>
          <w:rFonts w:ascii="Arial" w:cs="Arial" w:eastAsia="Arial" w:hAnsi="Arial"/>
          <w:sz w:val="18"/>
          <w:szCs w:val="18"/>
          <w:color w:val="auto"/>
        </w:rPr>
        <w:t>. Any Obligor or any of its Subsidiaries shall fail to make any payment (whether of principal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and regardless of amount) in respect of any Material Indebtedness, when and as the same shall become due and payable after giving effect to any applicable grace or cure period as originally provided by the terms of such Indebtedness.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8" w:name="page169"/>
    <w:bookmarkEnd w:id="168"/>
    <w:p>
      <w:pPr>
        <w:jc w:val="both"/>
        <w:spacing w:after="0" w:line="287" w:lineRule="auto"/>
        <w:rPr>
          <w:sz w:val="20"/>
          <w:szCs w:val="20"/>
          <w:color w:val="auto"/>
        </w:rPr>
      </w:pPr>
      <w:r>
        <w:rPr>
          <w:rFonts w:ascii="Arial" w:cs="Arial" w:eastAsia="Arial" w:hAnsi="Arial"/>
          <w:sz w:val="16"/>
          <w:szCs w:val="16"/>
          <w:b w:val="1"/>
          <w:bCs w:val="1"/>
          <w:color w:val="auto"/>
        </w:rPr>
        <w:t>SECTION 400. Other Defaults on Other Indebtedness</w:t>
      </w:r>
      <w:r>
        <w:rPr>
          <w:rFonts w:ascii="Arial" w:cs="Arial" w:eastAsia="Arial" w:hAnsi="Arial"/>
          <w:sz w:val="16"/>
          <w:szCs w:val="16"/>
          <w:color w:val="auto"/>
        </w:rPr>
        <w:t>. (i) Any material breach of, or “event of default” or similar event under, any Contract governing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Material Indebtedness shall occur and such breach or “event of default” or similar event shall continue unremedied, uncured or unwaived after the expiration of any grace or cure period thereunder, or (ii) any event or condition occurs (x) that results in any Material Indebtedness becoming due prior to its scheduled maturity or (y) that enables or permits (with or without the giving of notice, the lapse of time or both)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b w:val="1"/>
          <w:bCs w:val="1"/>
          <w:color w:val="auto"/>
        </w:rPr>
        <w:t>Section 11.01(g)</w:t>
      </w:r>
      <w:r>
        <w:rPr>
          <w:rFonts w:ascii="Arial" w:cs="Arial" w:eastAsia="Arial" w:hAnsi="Arial"/>
          <w:sz w:val="16"/>
          <w:szCs w:val="16"/>
          <w:color w:val="auto"/>
        </w:rPr>
        <w:t xml:space="preserve"> shall not apply to (x) secured Indebtedness that becomes due as a result of the voluntary sale or transfer of the property or assets securing such Material Indebtedness, (y) any conversion of any convertible Indebtedness or satisfaction of any condition giving rise to or permitting a conversion of any convertible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or the applicable Subsidiary has the right to settle any such Indebtedness into Equity Interests of the Borrower or such Subsidiary (and nominal cash payments in respect of fractional shares and cash payments in respect of accrued and unpaid interest) in accordance with the terms or conditions thereof and (z) with respect to any Material Indebtedness consisting of Hedging Agreements, termination events or equivalent events pursuant to the terms of such Hedging Agreements and not as a result of any default thereunder by any Obligor or any Subsidiary.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401. Insolvency, Bankruptcy, Etc</w:t>
      </w:r>
      <w:r>
        <w:rPr>
          <w:rFonts w:ascii="Arial" w:cs="Arial" w:eastAsia="Arial" w:hAnsi="Arial"/>
          <w:sz w:val="18"/>
          <w:szCs w:val="18"/>
          <w:color w:val="auto"/>
        </w:rPr>
        <w:t>.</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SECTION 402. Any Obligor or any of its Material Subsidiaries becomes insolvent, or generally does not or becomes unable to pay its debts or meet its liabilities as the same become due, or admits in writing its inability to pay its debts generally, or declares any general moratorium on its indebtedness, or proposes a compromise or arrangement or deed of company arrangement between it and any class of its creditors.</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403. Any Obligor or any of its Material Subsidiaries commits an act of bankruptcy or makes an assignment of its property for the general benefit of its creditors or makes a proposal (or files a notice of its intention to do so).</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SECTION 404. Any Obligor or any of its Material Subsidiaries institutes any proceeding seeking to adjudicate it an insolvent, or seeking liquidation, dissolution, winding-up, reorganization, examinership, compromise, arrangement, adjustment, protection, moratorium, relief, stay of proceedings of creditors generally (or any class of creditors), or composition of it or its debts or any other relief, under any Law, whether U.S., or non-U.S., now or hereafter in effect relating to bankruptcy, winding-up, insolvency, reorganization, examinership, receivership, plans of arrangement or relief or protection of debtors or at common law or in equity, or files an answer admitting the material allegations of a petition filed against it in any such proceeding.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9" w:name="page170"/>
    <w:bookmarkEnd w:id="169"/>
    <w:p>
      <w:pPr>
        <w:jc w:val="both"/>
        <w:spacing w:after="0" w:line="266" w:lineRule="auto"/>
        <w:rPr>
          <w:sz w:val="20"/>
          <w:szCs w:val="20"/>
          <w:color w:val="auto"/>
        </w:rPr>
      </w:pPr>
      <w:r>
        <w:rPr>
          <w:rFonts w:ascii="Arial" w:cs="Arial" w:eastAsia="Arial" w:hAnsi="Arial"/>
          <w:sz w:val="18"/>
          <w:szCs w:val="18"/>
          <w:b w:val="1"/>
          <w:bCs w:val="1"/>
          <w:color w:val="auto"/>
        </w:rPr>
        <w:t>SECTION 405. Any Obligor or any of its Material Subsidiaries applies for the appointment of, or the taking of possession by, a receiver, interim receiver, receiver/manager, sequestrator, conservator, custodian, administrator, examiner, trustee, liquidator, voluntary administrator, receiver and manager or other similar official for it or any substantial part of its property.</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SECTION 406. Any Obligor or any of its Material Subsidiaries takes any action, corporate or otherwise, to approve, effect, consent to or authorize any of the actions described in this Section 11.01(h), or otherwise acts in furtherance thereof or fails to act in a timely and appropriate manner in defense thereof.</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407. Any petition is filed, application made or other proceeding instituted against or in respect of any Obligor or any of its Material Subsidiaries: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408. </w:t>
      </w:r>
      <w:r>
        <w:rPr>
          <w:rFonts w:ascii="Arial" w:cs="Arial" w:eastAsia="Arial" w:hAnsi="Arial"/>
          <w:sz w:val="18"/>
          <w:szCs w:val="18"/>
          <w:color w:val="auto"/>
        </w:rPr>
        <w:t>seeking to adjudicate it as insolvent;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409. </w:t>
      </w:r>
      <w:r>
        <w:rPr>
          <w:rFonts w:ascii="Arial" w:cs="Arial" w:eastAsia="Arial" w:hAnsi="Arial"/>
          <w:sz w:val="18"/>
          <w:szCs w:val="18"/>
          <w:color w:val="auto"/>
        </w:rPr>
        <w:t>seeking a receiving order against it;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410. </w:t>
      </w:r>
      <w:r>
        <w:rPr>
          <w:rFonts w:ascii="Arial" w:cs="Arial" w:eastAsia="Arial" w:hAnsi="Arial"/>
          <w:sz w:val="18"/>
          <w:szCs w:val="18"/>
          <w:color w:val="auto"/>
        </w:rPr>
        <w:t>seeking liquidation, dissolution, winding-up, reorganization, compromise, arrangement, adjustment, protection, moratorium, relief,</w:t>
      </w:r>
      <w:r>
        <w:rPr>
          <w:rFonts w:ascii="Arial" w:cs="Arial" w:eastAsia="Arial" w:hAnsi="Arial"/>
          <w:sz w:val="18"/>
          <w:szCs w:val="18"/>
          <w:b w:val="1"/>
          <w:bCs w:val="1"/>
          <w:color w:val="auto"/>
        </w:rPr>
        <w:t xml:space="preserve"> </w:t>
      </w:r>
      <w:r>
        <w:rPr>
          <w:rFonts w:ascii="Arial" w:cs="Arial" w:eastAsia="Arial" w:hAnsi="Arial"/>
          <w:sz w:val="18"/>
          <w:szCs w:val="18"/>
          <w:color w:val="auto"/>
        </w:rPr>
        <w:t>examinership, stay of proceedings of creditors generally (or any class of creditors), deed of company arrangement or composition of it or its debts or any other relief under any Law, whether U.S. or non-U.S., now or hereafter in effect relating to bankruptcy, winding-up, insolvency, reorganization, receivership, plans of arrangement or relief or protection of debtors or at common law or in equity; or</w:t>
      </w:r>
    </w:p>
    <w:p>
      <w:pPr>
        <w:spacing w:after="0" w:line="1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SECTION 411. </w:t>
      </w:r>
      <w:r>
        <w:rPr>
          <w:rFonts w:ascii="Arial" w:cs="Arial" w:eastAsia="Arial" w:hAnsi="Arial"/>
          <w:sz w:val="16"/>
          <w:szCs w:val="16"/>
          <w:color w:val="auto"/>
        </w:rPr>
        <w:t>seeking the entry of an order for relief or the appointment of, or the taking of possession by, a receiver, interim receiver, receiver/manager,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examiner, sequestrator, conservator, custodian, administrator, trustee, liquidator, voluntary administrator, receiver and manager or other similar official for it or any substantial part of its property, and such petition, application or proceeding continues undismissed, or unstayed and in effect, for a period of forty-five (45) days after the institution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 order, decree or judgment is granted or entered (whether or not entered or subject to appeal) against such Obligor or such Subsidiary thereunder in the interim, such grace period will cease to apply;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such Obligor or Material Subsidiary files an answer admitting the material allegations of a petition filed against it in any such proceeding, such grace period will cease to apply.</w:t>
      </w:r>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412. Any other event occurs which, under the Laws of any applicable jurisdiction, has an effect equivalent to any of the events referred to in this Section 11.01(h).</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SECTION 413. Judgments</w:t>
      </w:r>
      <w:r>
        <w:rPr>
          <w:rFonts w:ascii="Arial" w:cs="Arial" w:eastAsia="Arial" w:hAnsi="Arial"/>
          <w:sz w:val="18"/>
          <w:szCs w:val="18"/>
          <w:color w:val="auto"/>
        </w:rPr>
        <w:t>. One or more final judgments for the payment of money in an aggregate amount in excess of $5,000,000 (to the extent not</w:t>
      </w:r>
      <w:r>
        <w:rPr>
          <w:rFonts w:ascii="Arial" w:cs="Arial" w:eastAsia="Arial" w:hAnsi="Arial"/>
          <w:sz w:val="18"/>
          <w:szCs w:val="18"/>
          <w:b w:val="1"/>
          <w:bCs w:val="1"/>
          <w:color w:val="auto"/>
        </w:rPr>
        <w:t xml:space="preserve"> </w:t>
      </w:r>
      <w:r>
        <w:rPr>
          <w:rFonts w:ascii="Arial" w:cs="Arial" w:eastAsia="Arial" w:hAnsi="Arial"/>
          <w:sz w:val="18"/>
          <w:szCs w:val="18"/>
          <w:color w:val="auto"/>
        </w:rPr>
        <w:t>fully covered (other than to the extent of customary deductibles) by insurance pursuant to which the insurer has not denied coverage) shall be rendered against any Obligor or any of its Subsidiaries or any combination thereof and the same shall remain undischarged for a period of forty-five (45) calendar days during which execution shall not be effectively stayed or bonded pending appeal, or any action shall be legally taken by a judgment creditor to attach or levy upon any assets of any Obligor to enforce any such judgment.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0" w:name="page171"/>
    <w:bookmarkEnd w:id="170"/>
    <w:p>
      <w:pPr>
        <w:jc w:val="both"/>
        <w:spacing w:after="0" w:line="282" w:lineRule="auto"/>
        <w:rPr>
          <w:sz w:val="20"/>
          <w:szCs w:val="20"/>
          <w:color w:val="auto"/>
        </w:rPr>
      </w:pPr>
      <w:r>
        <w:rPr>
          <w:rFonts w:ascii="Arial" w:cs="Arial" w:eastAsia="Arial" w:hAnsi="Arial"/>
          <w:sz w:val="18"/>
          <w:szCs w:val="18"/>
          <w:b w:val="1"/>
          <w:bCs w:val="1"/>
          <w:color w:val="auto"/>
        </w:rPr>
        <w:t>SECTION 414. ERISA</w:t>
      </w:r>
      <w:r>
        <w:rPr>
          <w:rFonts w:ascii="Arial" w:cs="Arial" w:eastAsia="Arial" w:hAnsi="Arial"/>
          <w:sz w:val="18"/>
          <w:szCs w:val="18"/>
          <w:color w:val="auto"/>
        </w:rPr>
        <w:t>. An ERISA Event shall have occurred that when taken together with all other ERISA Events that have occurred, would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be expected to result in liability of the Borrower and its Subsidiaries in an aggregate amount in excess of $5,000,000.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415. Change of Control</w:t>
      </w:r>
      <w:r>
        <w:rPr>
          <w:rFonts w:ascii="Arial" w:cs="Arial" w:eastAsia="Arial" w:hAnsi="Arial"/>
          <w:sz w:val="18"/>
          <w:szCs w:val="18"/>
          <w:color w:val="auto"/>
        </w:rPr>
        <w:t>. A Change of Control shall have occurred.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SECTION 416. Regulatory Matters, Etc. </w:t>
      </w:r>
      <w:r>
        <w:rPr>
          <w:rFonts w:ascii="Arial" w:cs="Arial" w:eastAsia="Arial" w:hAnsi="Arial"/>
          <w:sz w:val="17"/>
          <w:szCs w:val="17"/>
          <w:color w:val="auto"/>
        </w:rPr>
        <w:t>If any of the following occurs:(i) the FDA or any other Regulatory Authority initiates enforcement action</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or issues a warning letter with respect to, any Obligor, any Product or any manufacturing facilities that any Obligor owns or controls related to the foregoing that (x) causes any Obligor to discontinue or withdraw, or would reasonably be expected to cause any Obligor to discontinue or withdraw, marketing or sales of a Product or causes a delay in the manufacture or sale of a Product and (y) would reasonably be expected to result in a Material Adverse Effect, or (ii) a recall of a Product that would reasonably be expected to result in a Material Adverse Effect.</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SECTION 417. Impairment of Security, Etc. </w:t>
      </w:r>
      <w:r>
        <w:rPr>
          <w:rFonts w:ascii="Arial" w:cs="Arial" w:eastAsia="Arial" w:hAnsi="Arial"/>
          <w:sz w:val="18"/>
          <w:szCs w:val="18"/>
          <w:color w:val="auto"/>
        </w:rPr>
        <w:t>Subject in all respects to any applicable post-closing periods and certain other time periods and exceptions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the Loan Documents for any Obligor or Subsidiary to take perfection actions, if any of the following events occurs: (i) Any Lien created by any of the Security Documents shall at any time (except as expressly permitted by the terms of any Loan Document) not constitute a valid and perfected Lien on the applicable Collateral in favor of the Secured Parties, free and clear of all other Liens (other than Permitted Liens) except due to the action or inaction of the Administrative Agent, (ii) except for expiration in accordance with its terms, any of the Security Documents or any Guarantee of any of the Obligations (including that contained in </w:t>
      </w:r>
      <w:r>
        <w:rPr>
          <w:rFonts w:ascii="Arial" w:cs="Arial" w:eastAsia="Arial" w:hAnsi="Arial"/>
          <w:sz w:val="18"/>
          <w:szCs w:val="18"/>
          <w:b w:val="1"/>
          <w:bCs w:val="1"/>
          <w:color w:val="auto"/>
        </w:rPr>
        <w:t>Section 13</w:t>
      </w:r>
      <w:r>
        <w:rPr>
          <w:rFonts w:ascii="Arial" w:cs="Arial" w:eastAsia="Arial" w:hAnsi="Arial"/>
          <w:sz w:val="18"/>
          <w:szCs w:val="18"/>
          <w:color w:val="auto"/>
        </w:rPr>
        <w:t>) shall for whatever reason cease to be in full force and effect, (iii) any Obligor shall, directly or indirectly, contest in any manner such effectiveness, validity, binding nature or enforceability of any such Lien or any Loan Document, or (iv) any injunction, whether temporary or permanent, shall be rendered against any Obligor that prevents the Obligors from conducting it business in the ordinary course for more than thirty (30) calendar days.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418. Warrants. </w:t>
      </w:r>
      <w:r>
        <w:rPr>
          <w:rFonts w:ascii="Arial" w:cs="Arial" w:eastAsia="Arial" w:hAnsi="Arial"/>
          <w:sz w:val="18"/>
          <w:szCs w:val="18"/>
          <w:color w:val="auto"/>
        </w:rPr>
        <w:t>The Borrower breaches any of its material obligations under any Warrant.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Key Person Event</w:t>
      </w:r>
      <w:r>
        <w:rPr>
          <w:rFonts w:ascii="Arial" w:cs="Arial" w:eastAsia="Arial" w:hAnsi="Arial"/>
          <w:sz w:val="18"/>
          <w:szCs w:val="18"/>
          <w:color w:val="auto"/>
        </w:rPr>
        <w:t>. A Key Person Event shall have occurred.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419. Remedies</w:t>
      </w:r>
      <w:r>
        <w:rPr>
          <w:rFonts w:ascii="Arial" w:cs="Arial" w:eastAsia="Arial" w:hAnsi="Arial"/>
          <w:sz w:val="18"/>
          <w:szCs w:val="18"/>
          <w:color w:val="auto"/>
        </w:rPr>
        <w:t>.</w:t>
      </w:r>
    </w:p>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SECTION 420. Defaults Other Than Bankruptcy Defaults</w:t>
      </w:r>
      <w:r>
        <w:rPr>
          <w:rFonts w:ascii="Arial" w:cs="Arial" w:eastAsia="Arial" w:hAnsi="Arial"/>
          <w:sz w:val="17"/>
          <w:szCs w:val="17"/>
          <w:color w:val="auto"/>
        </w:rPr>
        <w:t>. Upon the occurrence of any Event of Default, then, and in every such event (other than 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Event of Default described in </w:t>
      </w:r>
      <w:r>
        <w:rPr>
          <w:rFonts w:ascii="Arial" w:cs="Arial" w:eastAsia="Arial" w:hAnsi="Arial"/>
          <w:sz w:val="17"/>
          <w:szCs w:val="17"/>
          <w:b w:val="1"/>
          <w:bCs w:val="1"/>
          <w:color w:val="auto"/>
        </w:rPr>
        <w:t>Section 11.01(h)</w:t>
      </w:r>
      <w:r>
        <w:rPr>
          <w:rFonts w:ascii="Arial" w:cs="Arial" w:eastAsia="Arial" w:hAnsi="Arial"/>
          <w:sz w:val="17"/>
          <w:szCs w:val="17"/>
          <w:color w:val="auto"/>
        </w:rPr>
        <w:t>), and at any time thereafter during the continuance of such event, the Administrative Agent may, upon notice to the Borrower, take any or all of the following actions: (i) declare the Commitments, if any, of each Lender having such Commitments to be terminated, whereupon such Commitments shall be terminated,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including any applicable Yield Protection Premium and the Exit Fee, shall become due and payable immediately (in the case of the Loans, at the Prepayment Price therefor), without presentment, demand, protest or other notice of any kind, all of which are hereby expressly waived by each Obligor, (iii) enforce any and all Liens and security interests created pursuant to Security Documents, and (iv) exercise on behalf of itself and the other Secured Parties all rights and remedies available to it and the other Secured Parties under the Loan Documents or at law or in equity.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1" w:name="page172"/>
    <w:bookmarkEnd w:id="171"/>
    <w:p>
      <w:pPr>
        <w:jc w:val="both"/>
        <w:spacing w:after="0" w:line="303" w:lineRule="auto"/>
        <w:rPr>
          <w:sz w:val="20"/>
          <w:szCs w:val="20"/>
          <w:color w:val="auto"/>
        </w:rPr>
      </w:pPr>
      <w:r>
        <w:rPr>
          <w:rFonts w:ascii="Arial" w:cs="Arial" w:eastAsia="Arial" w:hAnsi="Arial"/>
          <w:sz w:val="16"/>
          <w:szCs w:val="16"/>
          <w:b w:val="1"/>
          <w:bCs w:val="1"/>
          <w:color w:val="auto"/>
        </w:rPr>
        <w:t>SECTION 421. Bankruptcy Defaults</w:t>
      </w:r>
      <w:r>
        <w:rPr>
          <w:rFonts w:ascii="Arial" w:cs="Arial" w:eastAsia="Arial" w:hAnsi="Arial"/>
          <w:sz w:val="16"/>
          <w:szCs w:val="16"/>
          <w:color w:val="auto"/>
        </w:rPr>
        <w:t>. In case of an Event of Default described in</w:t>
      </w:r>
      <w:r>
        <w:rPr>
          <w:rFonts w:ascii="Arial" w:cs="Arial" w:eastAsia="Arial" w:hAnsi="Arial"/>
          <w:sz w:val="16"/>
          <w:szCs w:val="16"/>
          <w:b w:val="1"/>
          <w:bCs w:val="1"/>
          <w:color w:val="auto"/>
        </w:rPr>
        <w:t xml:space="preserve"> Section 11.01(h)</w:t>
      </w:r>
      <w:r>
        <w:rPr>
          <w:rFonts w:ascii="Arial" w:cs="Arial" w:eastAsia="Arial" w:hAnsi="Arial"/>
          <w:sz w:val="16"/>
          <w:szCs w:val="16"/>
          <w:color w:val="auto"/>
        </w:rPr>
        <w:t>, the obligation of each Lender to make Loans shall</w:t>
      </w:r>
      <w:r>
        <w:rPr>
          <w:rFonts w:ascii="Arial" w:cs="Arial" w:eastAsia="Arial" w:hAnsi="Arial"/>
          <w:sz w:val="16"/>
          <w:szCs w:val="16"/>
          <w:b w:val="1"/>
          <w:bCs w:val="1"/>
          <w:color w:val="auto"/>
        </w:rPr>
        <w:t xml:space="preserve"> </w:t>
      </w:r>
      <w:r>
        <w:rPr>
          <w:rFonts w:ascii="Arial" w:cs="Arial" w:eastAsia="Arial" w:hAnsi="Arial"/>
          <w:sz w:val="16"/>
          <w:szCs w:val="16"/>
          <w:color w:val="auto"/>
        </w:rPr>
        <w:t>automatically terminate and the principal of the Loans then outstanding, together with accrued interest thereon and all fees and other Obligations, including any applicable Yield Protection Premium and the Exit Fee, shall automatically become due and payable immediately (in the case of the Loans, at the Prepayment Price therefor), without presentment, demand, protest or other notice of any kind, all of which are hereby expressly waived by each Obligor.</w:t>
      </w:r>
    </w:p>
    <w:p>
      <w:pPr>
        <w:spacing w:after="0" w:line="15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SECTION 422. Additional Remedies</w:t>
      </w:r>
      <w:r>
        <w:rPr>
          <w:rFonts w:ascii="Arial" w:cs="Arial" w:eastAsia="Arial" w:hAnsi="Arial"/>
          <w:sz w:val="16"/>
          <w:szCs w:val="16"/>
          <w:color w:val="auto"/>
        </w:rPr>
        <w:t>. If an Event of Default has occurred and is continuing, if any Obligor shall be in default under a Material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Administrative Agent shall have the right (but not the obligation) to cause the default or defaults under such Material Agreement to be remedied (including without limitation by paying any unpaid amount thereunder) and otherwise exercise any and all rights of such Obligor, as the case may be, thereunder, as may be necessary to prevent or cure any default. Without limiting the foregoing, upon any such default, each Obligor shall promptly execute, acknowledge and deliver to the Administrative Agent such instruments as may reasonably be required of such Obligor to permit the Administrative Agent to cure any default under the applicable Material Agreement or permit the Administrative Agent to take such other action required to enable the Administrative Agent to cure or remedy the matter in default and preserve the interests of the Administrative Agent. Any amounts paid by the Administrative Agent pursuant to this </w:t>
      </w:r>
      <w:r>
        <w:rPr>
          <w:rFonts w:ascii="Arial" w:cs="Arial" w:eastAsia="Arial" w:hAnsi="Arial"/>
          <w:sz w:val="16"/>
          <w:szCs w:val="16"/>
          <w:b w:val="1"/>
          <w:bCs w:val="1"/>
          <w:color w:val="auto"/>
        </w:rPr>
        <w:t>Section 11.03</w:t>
      </w:r>
      <w:r>
        <w:rPr>
          <w:rFonts w:ascii="Arial" w:cs="Arial" w:eastAsia="Arial" w:hAnsi="Arial"/>
          <w:sz w:val="16"/>
          <w:szCs w:val="16"/>
          <w:color w:val="auto"/>
        </w:rPr>
        <w:t xml:space="preserve"> shall be payable in accordance with </w:t>
      </w:r>
      <w:r>
        <w:rPr>
          <w:rFonts w:ascii="Arial" w:cs="Arial" w:eastAsia="Arial" w:hAnsi="Arial"/>
          <w:sz w:val="16"/>
          <w:szCs w:val="16"/>
          <w:b w:val="1"/>
          <w:bCs w:val="1"/>
          <w:color w:val="auto"/>
        </w:rPr>
        <w:t>Section 14.03(a)</w:t>
      </w:r>
      <w:r>
        <w:rPr>
          <w:rFonts w:ascii="Arial" w:cs="Arial" w:eastAsia="Arial" w:hAnsi="Arial"/>
          <w:sz w:val="16"/>
          <w:szCs w:val="16"/>
          <w:color w:val="auto"/>
        </w:rPr>
        <w:t xml:space="preserve">, shall accrue interest at the Default Rate if not paid when due, and shall constitute “Obligations.” The Administrative Agent and the Lenders agree that in connection with any foreclosure or other exercise of rights under this Agreement or any other Loan Document with respect to Intellectual Property, the rights of the non-Affiliate licensees under Permitted Licenses will not be terminated, limited or otherwise adversely affected so long as no default exists under the Permitted License that would permit the licensor to terminate such Permitted License (commonly known as a non-disturbance);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be entitled to exercise any rights of the Obligors under such licenses, including termination rights, upon the exercise of remedies during an Event of Default.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2" w:name="page173"/>
    <w:bookmarkEnd w:id="172"/>
    <w:p>
      <w:pPr>
        <w:jc w:val="both"/>
        <w:spacing w:after="0" w:line="290" w:lineRule="auto"/>
        <w:rPr>
          <w:sz w:val="20"/>
          <w:szCs w:val="20"/>
          <w:color w:val="auto"/>
        </w:rPr>
      </w:pPr>
      <w:r>
        <w:rPr>
          <w:rFonts w:ascii="Arial" w:cs="Arial" w:eastAsia="Arial" w:hAnsi="Arial"/>
          <w:sz w:val="16"/>
          <w:szCs w:val="16"/>
          <w:b w:val="1"/>
          <w:bCs w:val="1"/>
          <w:i w:val="1"/>
          <w:iCs w:val="1"/>
          <w:color w:val="auto"/>
        </w:rPr>
        <w:t>SECTION 423. Minimum Net Revenues Covenant Cure</w:t>
      </w:r>
      <w:r>
        <w:rPr>
          <w:rFonts w:ascii="Arial" w:cs="Arial" w:eastAsia="Arial" w:hAnsi="Arial"/>
          <w:sz w:val="16"/>
          <w:szCs w:val="16"/>
          <w:color w:val="auto"/>
        </w:rPr>
        <w:t>. Notwithstanding anything to the contrary contained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11.01(d)</w:t>
      </w:r>
      <w:r>
        <w:rPr>
          <w:rFonts w:ascii="Arial" w:cs="Arial" w:eastAsia="Arial" w:hAnsi="Arial"/>
          <w:sz w:val="16"/>
          <w:szCs w:val="16"/>
          <w:color w:val="auto"/>
        </w:rPr>
        <w:t>, in the event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Borrower fails to comply with the requirements of </w:t>
      </w:r>
      <w:r>
        <w:rPr>
          <w:rFonts w:ascii="Arial" w:cs="Arial" w:eastAsia="Arial" w:hAnsi="Arial"/>
          <w:sz w:val="16"/>
          <w:szCs w:val="16"/>
          <w:b w:val="1"/>
          <w:bCs w:val="1"/>
          <w:color w:val="auto"/>
        </w:rPr>
        <w:t>Section 10.02</w:t>
      </w:r>
      <w:r>
        <w:rPr>
          <w:rFonts w:ascii="Arial" w:cs="Arial" w:eastAsia="Arial" w:hAnsi="Arial"/>
          <w:sz w:val="16"/>
          <w:szCs w:val="16"/>
          <w:color w:val="auto"/>
        </w:rPr>
        <w:t>, during the period from the last day of the relevant fiscal quarter in respect of which such</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Default has occurred and until the expiration of the tenth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Business Day subsequent to the date the financial statements are required to be delivered for such fiscal quarter pursuant to </w:t>
      </w:r>
      <w:r>
        <w:rPr>
          <w:rFonts w:ascii="Arial" w:cs="Arial" w:eastAsia="Arial" w:hAnsi="Arial"/>
          <w:sz w:val="17"/>
          <w:szCs w:val="17"/>
          <w:b w:val="1"/>
          <w:bCs w:val="1"/>
          <w:color w:val="auto"/>
        </w:rPr>
        <w:t>Section 8.01(a) or 8.01(b)</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Cure Expiration Date</w:t>
      </w:r>
      <w:r>
        <w:rPr>
          <w:rFonts w:ascii="Arial" w:cs="Arial" w:eastAsia="Arial" w:hAnsi="Arial"/>
          <w:sz w:val="17"/>
          <w:szCs w:val="17"/>
          <w:color w:val="auto"/>
        </w:rPr>
        <w:t xml:space="preserve">”), the Borrower shall have the right to make a Net Revenues Cure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payment shall be made with either cash on hand (subject to pro forma compliance with </w:t>
      </w:r>
      <w:r>
        <w:rPr>
          <w:rFonts w:ascii="Arial" w:cs="Arial" w:eastAsia="Arial" w:hAnsi="Arial"/>
          <w:sz w:val="17"/>
          <w:szCs w:val="17"/>
          <w:b w:val="1"/>
          <w:bCs w:val="1"/>
          <w:color w:val="auto"/>
        </w:rPr>
        <w:t>Section 10.01</w:t>
      </w:r>
      <w:r>
        <w:rPr>
          <w:rFonts w:ascii="Arial" w:cs="Arial" w:eastAsia="Arial" w:hAnsi="Arial"/>
          <w:sz w:val="17"/>
          <w:szCs w:val="17"/>
          <w:color w:val="auto"/>
        </w:rPr>
        <w:t>) or cash raised from the issuance or sale of Qualified Equity Interests in the Borrower for cash (the “</w:t>
      </w:r>
      <w:r>
        <w:rPr>
          <w:rFonts w:ascii="Arial" w:cs="Arial" w:eastAsia="Arial" w:hAnsi="Arial"/>
          <w:sz w:val="17"/>
          <w:szCs w:val="17"/>
          <w:b w:val="1"/>
          <w:bCs w:val="1"/>
          <w:i w:val="1"/>
          <w:iCs w:val="1"/>
          <w:color w:val="auto"/>
        </w:rPr>
        <w:t>Minimum Net Revenues Cure Right</w:t>
      </w:r>
      <w:r>
        <w:rPr>
          <w:rFonts w:ascii="Arial" w:cs="Arial" w:eastAsia="Arial" w:hAnsi="Arial"/>
          <w:sz w:val="17"/>
          <w:szCs w:val="17"/>
          <w:color w:val="auto"/>
        </w:rPr>
        <w:t xml:space="preserve">”). Upon the Administrative Agent’s receipt of the applicable Net Revenues Cure Payment or application of such cash amounts, the Borrower shall then be in compliance with the requirements of the Minimum Net Revenues Covenant, and the Borrower shall be deemed to have satisfied the requirements of the Minimum Net Revenues Covenant as of the relevant date of determination with the same effect as though there had been no failure to comply therewith at such date, and the applicable breach of the Minimum Net Revenues Covenant and any related Default that had occurred shall be deemed cured for the purposes of this Agreement. Net Revenues shall be deemed increased for the applicable fiscal quarter and any four fiscal quarter period that contains such fiscal quarter, solely for the purpose of measuring the covenant set forth in </w:t>
      </w:r>
      <w:r>
        <w:rPr>
          <w:rFonts w:ascii="Arial" w:cs="Arial" w:eastAsia="Arial" w:hAnsi="Arial"/>
          <w:sz w:val="17"/>
          <w:szCs w:val="17"/>
          <w:b w:val="1"/>
          <w:bCs w:val="1"/>
          <w:color w:val="auto"/>
        </w:rPr>
        <w:t>Section 10.02</w:t>
      </w:r>
      <w:r>
        <w:rPr>
          <w:rFonts w:ascii="Arial" w:cs="Arial" w:eastAsia="Arial" w:hAnsi="Arial"/>
          <w:sz w:val="17"/>
          <w:szCs w:val="17"/>
          <w:color w:val="auto"/>
        </w:rPr>
        <w:t xml:space="preserve"> and not for any other purpose under this Agreement, by an amount equal to the Net Revenues Shortfall Amount (and the receipt by the Lenders of the Net Revenues Cure Payment pursuant to the Minimum Net Revenues Cure Right and the related increase of Net Revenues by the Net Revenues Shortfall Amount shall be deemed to have no other effect whatsoever under this Agreement other than as specifically provided in this </w:t>
      </w:r>
      <w:r>
        <w:rPr>
          <w:rFonts w:ascii="Arial" w:cs="Arial" w:eastAsia="Arial" w:hAnsi="Arial"/>
          <w:sz w:val="17"/>
          <w:szCs w:val="17"/>
          <w:b w:val="1"/>
          <w:bCs w:val="1"/>
          <w:color w:val="auto"/>
        </w:rPr>
        <w:t>Section 11.04</w:t>
      </w:r>
      <w:r>
        <w:rPr>
          <w:rFonts w:ascii="Arial" w:cs="Arial" w:eastAsia="Arial" w:hAnsi="Arial"/>
          <w:sz w:val="17"/>
          <w:szCs w:val="17"/>
          <w:color w:val="auto"/>
        </w:rPr>
        <w:t>). Any Net Revenues Cure Payment shall be applied to the prepayment of all outstanding Obligations, which shall include the Yield Protection Premium, if applicable, any accrued and unpaid interest and Commitment Fee, and the Exit Fee. Notwithstanding anything else in this Agreement, the Borrower may not exercise a Minimum Net Revenues Cure Right more than four times over the life of the loan or more than two times in any twelve month period.</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SECTION 424. </w:t>
      </w:r>
      <w:r>
        <w:rPr>
          <w:rFonts w:ascii="Arial" w:cs="Arial" w:eastAsia="Arial" w:hAnsi="Arial"/>
          <w:sz w:val="17"/>
          <w:szCs w:val="17"/>
          <w:color w:val="auto"/>
        </w:rPr>
        <w:t>Upon the Administrative Agent’s receipt of a notice from the Borrower that it intends to exercise the Minimum Net Revenues Cure Right</w:t>
      </w:r>
      <w:r>
        <w:rPr>
          <w:rFonts w:ascii="Arial" w:cs="Arial" w:eastAsia="Arial" w:hAnsi="Arial"/>
          <w:sz w:val="17"/>
          <w:szCs w:val="17"/>
          <w:b w:val="1"/>
          <w:bCs w:val="1"/>
          <w:color w:val="auto"/>
        </w:rPr>
        <w:t xml:space="preserve"> </w:t>
      </w:r>
      <w:r>
        <w:rPr>
          <w:rFonts w:ascii="Arial" w:cs="Arial" w:eastAsia="Arial" w:hAnsi="Arial"/>
          <w:sz w:val="17"/>
          <w:szCs w:val="17"/>
          <w:color w:val="auto"/>
        </w:rPr>
        <w:t>(a “</w:t>
      </w:r>
      <w:r>
        <w:rPr>
          <w:rFonts w:ascii="Arial" w:cs="Arial" w:eastAsia="Arial" w:hAnsi="Arial"/>
          <w:sz w:val="17"/>
          <w:szCs w:val="17"/>
          <w:b w:val="1"/>
          <w:bCs w:val="1"/>
          <w:i w:val="1"/>
          <w:iCs w:val="1"/>
          <w:color w:val="auto"/>
        </w:rPr>
        <w:t>Notice of Intent to Cure Net</w:t>
      </w:r>
      <w:r>
        <w:rPr>
          <w:rFonts w:ascii="Arial" w:cs="Arial" w:eastAsia="Arial" w:hAnsi="Arial"/>
          <w:sz w:val="17"/>
          <w:szCs w:val="17"/>
          <w:color w:val="auto"/>
        </w:rPr>
        <w:t xml:space="preserve"> Revenues </w:t>
      </w:r>
      <w:r>
        <w:rPr>
          <w:rFonts w:ascii="Arial" w:cs="Arial" w:eastAsia="Arial" w:hAnsi="Arial"/>
          <w:sz w:val="17"/>
          <w:szCs w:val="17"/>
          <w:b w:val="1"/>
          <w:bCs w:val="1"/>
          <w:i w:val="1"/>
          <w:iCs w:val="1"/>
          <w:color w:val="auto"/>
        </w:rPr>
        <w:t>Covenant</w:t>
      </w:r>
      <w:r>
        <w:rPr>
          <w:rFonts w:ascii="Arial" w:cs="Arial" w:eastAsia="Arial" w:hAnsi="Arial"/>
          <w:sz w:val="17"/>
          <w:szCs w:val="17"/>
          <w:color w:val="auto"/>
        </w:rPr>
        <w:t xml:space="preserve">”), until the Cure Expiration Date to which such Notice of Intent to Cure Net Revenues Covenant relates, no Lender shall be required to extend any credit pursuant to its Commitment during such period. Neither the Administrative Agent nor any Lender shall exercise the right to accelerate the Loans or terminate the Commitments and none of the Administrative Agent or any Lender shall exercise any right to foreclose on or take possession of the Collateral or exercise any other remedy pursuant to </w:t>
      </w:r>
      <w:r>
        <w:rPr>
          <w:rFonts w:ascii="Arial" w:cs="Arial" w:eastAsia="Arial" w:hAnsi="Arial"/>
          <w:sz w:val="17"/>
          <w:szCs w:val="17"/>
          <w:b w:val="1"/>
          <w:bCs w:val="1"/>
          <w:color w:val="auto"/>
        </w:rPr>
        <w:t>Section 11.02</w:t>
      </w:r>
      <w:r>
        <w:rPr>
          <w:rFonts w:ascii="Arial" w:cs="Arial" w:eastAsia="Arial" w:hAnsi="Arial"/>
          <w:sz w:val="17"/>
          <w:szCs w:val="17"/>
          <w:color w:val="auto"/>
        </w:rPr>
        <w:t xml:space="preserve"> or </w:t>
      </w:r>
      <w:r>
        <w:rPr>
          <w:rFonts w:ascii="Arial" w:cs="Arial" w:eastAsia="Arial" w:hAnsi="Arial"/>
          <w:sz w:val="17"/>
          <w:szCs w:val="17"/>
          <w:b w:val="1"/>
          <w:bCs w:val="1"/>
          <w:color w:val="auto"/>
        </w:rPr>
        <w:t>Section 11.03</w:t>
      </w:r>
      <w:r>
        <w:rPr>
          <w:rFonts w:ascii="Arial" w:cs="Arial" w:eastAsia="Arial" w:hAnsi="Arial"/>
          <w:sz w:val="17"/>
          <w:szCs w:val="17"/>
          <w:color w:val="auto"/>
        </w:rPr>
        <w:t xml:space="preserve">, the other Loan Documents or applicable law prior to the Cure Expiration Date solely on the basis of an Event of Default having occurred and continuing under </w:t>
      </w:r>
      <w:r>
        <w:rPr>
          <w:rFonts w:ascii="Arial" w:cs="Arial" w:eastAsia="Arial" w:hAnsi="Arial"/>
          <w:sz w:val="17"/>
          <w:szCs w:val="17"/>
          <w:b w:val="1"/>
          <w:bCs w:val="1"/>
          <w:color w:val="auto"/>
        </w:rPr>
        <w:t>Section 10.02</w:t>
      </w:r>
      <w:r>
        <w:rPr>
          <w:rFonts w:ascii="Arial" w:cs="Arial" w:eastAsia="Arial" w:hAnsi="Arial"/>
          <w:sz w:val="17"/>
          <w:szCs w:val="17"/>
          <w:color w:val="auto"/>
        </w:rPr>
        <w:t xml:space="preserve"> (except to the extent that the Borrower has confirmed in writing that it does not intend to exercise a Minimum Net Revenues Cure Right). If on or prior to the Cure Expiration Date, the Oaktree Lender declines the exercise by the Borrower of the Minimum Net Revenues Cure Right by written notice to the Administrative Agent and the Borrower to that effect, then the Borrower shall be deemed to have satisfied the requirements of the Minimum Net Revenues Covenant as of the relevant date of determination with the same effect as though there had been no failure to comply therewith at such date, and the applicable breach of the Minimum Net Revenues Covenant and any related default that had occurred shall be deemed cured for the purposes of this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3" w:name="page174"/>
    <w:bookmarkEnd w:id="173"/>
    <w:p>
      <w:pPr>
        <w:jc w:val="both"/>
        <w:spacing w:after="0" w:line="282" w:lineRule="auto"/>
        <w:rPr>
          <w:sz w:val="20"/>
          <w:szCs w:val="20"/>
          <w:color w:val="auto"/>
        </w:rPr>
      </w:pPr>
      <w:r>
        <w:rPr>
          <w:rFonts w:ascii="Arial" w:cs="Arial" w:eastAsia="Arial" w:hAnsi="Arial"/>
          <w:sz w:val="16"/>
          <w:szCs w:val="16"/>
          <w:b w:val="1"/>
          <w:bCs w:val="1"/>
          <w:i w:val="1"/>
          <w:iCs w:val="1"/>
          <w:color w:val="auto"/>
        </w:rPr>
        <w:t>SECTION 425. Payment of Yield Protection Premium and Exit Fee</w:t>
      </w:r>
      <w:r>
        <w:rPr>
          <w:rFonts w:ascii="Arial" w:cs="Arial" w:eastAsia="Arial" w:hAnsi="Arial"/>
          <w:sz w:val="16"/>
          <w:szCs w:val="16"/>
          <w:color w:val="auto"/>
        </w:rPr>
        <w:t>. Notwithstanding anything in this Agreement to the contrary, the Yield Protection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Premium and the Exit Fee shall automatically be due and payable at any time the Obligations become due and payable prior to the Maturity Date in accordance with the terms hereof as though such Indebtedness was voluntarily prepaid and shall constitute part of the Obligations, whether due to acceleration pursuant to the terms of this Agreement (in which case it shall be due immediately, upon the giving of notice to Borrower in accordance with </w:t>
      </w:r>
      <w:r>
        <w:rPr>
          <w:rFonts w:ascii="Arial" w:cs="Arial" w:eastAsia="Arial" w:hAnsi="Arial"/>
          <w:sz w:val="16"/>
          <w:szCs w:val="16"/>
          <w:b w:val="1"/>
          <w:bCs w:val="1"/>
          <w:color w:val="auto"/>
        </w:rPr>
        <w:t>Section 11.02(a)</w:t>
      </w:r>
      <w:r>
        <w:rPr>
          <w:rFonts w:ascii="Arial" w:cs="Arial" w:eastAsia="Arial" w:hAnsi="Arial"/>
          <w:sz w:val="16"/>
          <w:szCs w:val="16"/>
          <w:color w:val="auto"/>
        </w:rPr>
        <w:t>, or automatically, in accordance with</w:t>
      </w:r>
      <w:r>
        <w:rPr>
          <w:rFonts w:ascii="Arial" w:cs="Arial" w:eastAsia="Arial" w:hAnsi="Arial"/>
          <w:sz w:val="16"/>
          <w:szCs w:val="16"/>
          <w:b w:val="1"/>
          <w:bCs w:val="1"/>
          <w:color w:val="auto"/>
        </w:rPr>
        <w:t xml:space="preserve"> Section 11.02(b)</w:t>
      </w:r>
      <w:r>
        <w:rPr>
          <w:rFonts w:ascii="Arial" w:cs="Arial" w:eastAsia="Arial" w:hAnsi="Arial"/>
          <w:sz w:val="16"/>
          <w:szCs w:val="16"/>
          <w:color w:val="auto"/>
        </w:rPr>
        <w:t>), by operation of law or otherwise (including, without limitation, on account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bankruptcy filing), in view of the impracticability and extreme difficulty of ascertaining the actual amount of damages to the Lenders or profits lost by the Lenders as a result of such acceleration, and by mutual agreement of the parties as to a reasonable estimation and calculation of the lost profits or damages of the Lenders as a result thereof. If the Yield Protection Premium and/or Exit Fee become due and payable pursuant to the preceding sentence, the Yield Protection Premium and Exit Fee, as applicable, shall be deemed to be principal of the Loans and interest shall accrue on the full principal amount of the Loans (including the Yield Protection Premium and Exit Fee, as applicable) from and after the applicable triggering event. Any Yield Protection Premium or Exit Fee (or, if required, both the Yield Protection Premium and the Exit Fee) payable pursuant to this Agreement shall be presumed to be the liquidated damages sustained by each Lender as the result of the early termination, acceleration or prepayment and each Obligor agrees that such Yield Protection Premium or Exit Fee is reasonable under the circumstances currently existing. The Yield Protection Premium and Exit Fee shall also be payable in the event the Obligations (and/or this Agreement) are satisfied or released by foreclosure (whether by power of judicial proceeding), deed in lieu of foreclosure or by any other means or the Obligations are reinstated pursuant to Section 1124 of the Bankruptcy Code. If the Yield Protection Premium and/or becomes due and payable pursuant to this Agreement, such Yield Protection Premium and/or Exit Fee under this Agreement and or in the event the Yield Protection Premium and/or Exit Fee is determined not to be due and payable by order of any court of competent jurisdiction, including, without limitation, by operation of the Bankruptcy Code, despite such a triggering event having occurred, such Yield Protection Premium and Exit Fee, as applicable, shall nonetheless constitute Obligations under this Agreement for all purposes hereunder. </w:t>
      </w:r>
      <w:r>
        <w:rPr>
          <w:rFonts w:ascii="Arial" w:cs="Arial" w:eastAsia="Arial" w:hAnsi="Arial"/>
          <w:sz w:val="16"/>
          <w:szCs w:val="16"/>
          <w:b w:val="1"/>
          <w:bCs w:val="1"/>
          <w:color w:val="auto"/>
        </w:rPr>
        <w:t>EACH OBLIGOR HEREBY WAIVES THE PROVISIONS OF</w:t>
      </w:r>
    </w:p>
    <w:p>
      <w:pPr>
        <w:spacing w:after="0" w:line="1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ANY PRESENT OR FUTURE STATUTE OR LAW THAT PROHIBITS OR MAY PROHIBIT THE COLLECTION OF THE YIELD PROTECTION PREMIUM OR EXIT FEE AND ANY DEFENSE TO PAYMENT, WHETHER SUCH DEFENSE MAY BE BASED IN PUBLIC POLICY, AMBIGUITY, OR OTHERWISE. </w:t>
      </w:r>
      <w:r>
        <w:rPr>
          <w:rFonts w:ascii="Arial" w:cs="Arial" w:eastAsia="Arial" w:hAnsi="Arial"/>
          <w:sz w:val="17"/>
          <w:szCs w:val="17"/>
          <w:color w:val="auto"/>
        </w:rPr>
        <w:t>The Obligors, the Administrative Agent and the Lenders acknowledge and agree that any Yield Protection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Premium and the Exit Fee due and payable in accordance with this Agreement shall not constitute unmatured interest, whether under Section 5.02(b)(3) of the Bankruptcy Code or otherwise. Each Obligor further acknowledges and agrees, and waives any argument to the contrary, that payment of such amount does not constitute a penalty or an otherwise unenforceable or invalid obligation. Each Obligor expressly agrees that (i) the Yield Protection Premium and Exit Fee are each reasonable and each is the product of an arm’s-length transaction between sophisticated business people, ably represented by counsel, (ii) the Yield Protection Premium and Exit Fee shall be payable notwithstanding the then prevailing market rates at the time payment is made, (iii) there has been a course of conduct between the Lenders and the Obligors giving specific consideration in this transaction for such agreement to pay the Yield Protection Premium and Exit Fee, (iv) the Obligors shall be estopped hereafter from claiming differently than as agreed to in this </w:t>
      </w:r>
      <w:r>
        <w:rPr>
          <w:rFonts w:ascii="Arial" w:cs="Arial" w:eastAsia="Arial" w:hAnsi="Arial"/>
          <w:sz w:val="17"/>
          <w:szCs w:val="17"/>
          <w:b w:val="1"/>
          <w:bCs w:val="1"/>
          <w:color w:val="auto"/>
        </w:rPr>
        <w:t>Section 11.05</w:t>
      </w:r>
      <w:r>
        <w:rPr>
          <w:rFonts w:ascii="Arial" w:cs="Arial" w:eastAsia="Arial" w:hAnsi="Arial"/>
          <w:sz w:val="17"/>
          <w:szCs w:val="17"/>
          <w:color w:val="auto"/>
        </w:rPr>
        <w:t>, (v) their agreement to pay the Yield Protection Premium and Exit Fee is a material inducement to the Lenders to make the Loans, and (vi) the Yield Protection Premium and Exit Fee represent a good faith, reasonable estimate and calculation of the lost profits, losses or other damages of the Lenders and that it would be impractical and extremely difficult to ascertain the actual amount of damages to the Lenders or profits lost by the Lenders as a result of such event.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color w:val="auto"/>
        </w:rPr>
        <w:t xml:space="preserve">SECTION 426. </w:t>
      </w:r>
      <w:r>
        <w:rPr>
          <w:rFonts w:ascii="Arial" w:cs="Arial" w:eastAsia="Arial" w:hAnsi="Arial"/>
          <w:sz w:val="18"/>
          <w:szCs w:val="18"/>
          <w:color w:val="auto"/>
        </w:rPr>
        <w:t>THE ADMINISTRATIVE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427. Appointment and Duties</w:t>
      </w:r>
      <w:r>
        <w:rPr>
          <w:rFonts w:ascii="Arial" w:cs="Arial" w:eastAsia="Arial" w:hAnsi="Arial"/>
          <w:sz w:val="18"/>
          <w:szCs w:val="18"/>
          <w:color w:val="auto"/>
        </w:rPr>
        <w:t>. Subject in all cases to clause (c) below:</w:t>
      </w:r>
    </w:p>
    <w:p>
      <w:pPr>
        <w:spacing w:after="0" w:line="2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SECTION 428. Appointment of the Administrative Agent</w:t>
      </w:r>
      <w:r>
        <w:rPr>
          <w:rFonts w:ascii="Arial" w:cs="Arial" w:eastAsia="Arial" w:hAnsi="Arial"/>
          <w:sz w:val="16"/>
          <w:szCs w:val="16"/>
          <w:color w:val="auto"/>
        </w:rPr>
        <w:t>. Each of the Lenders hereby irrevocably appoints Oaktree Fund Administration, LLC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(together with any successor Administrative Agent pursuant to </w:t>
      </w:r>
      <w:r>
        <w:rPr>
          <w:rFonts w:ascii="Arial" w:cs="Arial" w:eastAsia="Arial" w:hAnsi="Arial"/>
          <w:sz w:val="16"/>
          <w:szCs w:val="16"/>
          <w:b w:val="1"/>
          <w:bCs w:val="1"/>
          <w:color w:val="auto"/>
        </w:rPr>
        <w:t>Section 12.09</w:t>
      </w:r>
      <w:r>
        <w:rPr>
          <w:rFonts w:ascii="Arial" w:cs="Arial" w:eastAsia="Arial" w:hAnsi="Arial"/>
          <w:sz w:val="16"/>
          <w:szCs w:val="16"/>
          <w:color w:val="auto"/>
        </w:rPr>
        <w:t xml:space="preserve">) as the Administrative Agent hereunder and authorizes the Administrative Agent to (i) execute and deliver the Loan Documents and accept delivery thereof on its behalf from any Obligor or any of its Subsidiaries, (ii) take such action on its behalf and to exercise all rights, powers and remedies and perform the duties as are expressly delegated to the Administrative Agent under such Loan Documents and (iii) exercise such powers as are reasonably incidental thereto. Except as expressly set forth herein, the provisions of this </w:t>
      </w:r>
      <w:r>
        <w:rPr>
          <w:rFonts w:ascii="Arial" w:cs="Arial" w:eastAsia="Arial" w:hAnsi="Arial"/>
          <w:sz w:val="16"/>
          <w:szCs w:val="16"/>
          <w:b w:val="1"/>
          <w:bCs w:val="1"/>
          <w:color w:val="auto"/>
        </w:rPr>
        <w:t xml:space="preserve">Section 12 </w:t>
      </w:r>
      <w:r>
        <w:rPr>
          <w:rFonts w:ascii="Arial" w:cs="Arial" w:eastAsia="Arial" w:hAnsi="Arial"/>
          <w:sz w:val="16"/>
          <w:szCs w:val="16"/>
          <w:color w:val="auto"/>
        </w:rPr>
        <w:t>(other than</w:t>
      </w:r>
      <w:r>
        <w:rPr>
          <w:rFonts w:ascii="Arial" w:cs="Arial" w:eastAsia="Arial" w:hAnsi="Arial"/>
          <w:sz w:val="16"/>
          <w:szCs w:val="16"/>
          <w:b w:val="1"/>
          <w:bCs w:val="1"/>
          <w:color w:val="auto"/>
        </w:rPr>
        <w:t xml:space="preserve"> Section 12.10</w:t>
      </w:r>
      <w:r>
        <w:rPr>
          <w:rFonts w:ascii="Arial" w:cs="Arial" w:eastAsia="Arial" w:hAnsi="Arial"/>
          <w:sz w:val="16"/>
          <w:szCs w:val="16"/>
          <w:color w:val="auto"/>
        </w:rPr>
        <w:t>, and solely to the extent expressly set forth therein) are solely for the benefit of the Administrative Agent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Lenders, and no Obligor or any Affiliate thereof shall have rights as a third-party beneficiary of any such provisions.</w:t>
      </w:r>
    </w:p>
    <w:p>
      <w:pPr>
        <w:spacing w:after="0" w:line="16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SECTION 429. Duties as Collateral and Disbursing Agent</w:t>
      </w:r>
      <w:r>
        <w:rPr>
          <w:rFonts w:ascii="Arial" w:cs="Arial" w:eastAsia="Arial" w:hAnsi="Arial"/>
          <w:sz w:val="16"/>
          <w:szCs w:val="16"/>
          <w:color w:val="auto"/>
        </w:rPr>
        <w:t>. Without limiting the generality of</w:t>
      </w:r>
      <w:r>
        <w:rPr>
          <w:rFonts w:ascii="Arial" w:cs="Arial" w:eastAsia="Arial" w:hAnsi="Arial"/>
          <w:sz w:val="16"/>
          <w:szCs w:val="16"/>
          <w:b w:val="1"/>
          <w:bCs w:val="1"/>
          <w:color w:val="auto"/>
        </w:rPr>
        <w:t xml:space="preserve"> Section 12.01(a)</w:t>
      </w:r>
      <w:r>
        <w:rPr>
          <w:rFonts w:ascii="Arial" w:cs="Arial" w:eastAsia="Arial" w:hAnsi="Arial"/>
          <w:sz w:val="16"/>
          <w:szCs w:val="16"/>
          <w:color w:val="auto"/>
        </w:rPr>
        <w:t>, the Administrative Agent shall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sole and exclusive right and authority (to the exclusion of the Lenders), and is hereby authorized, to (i) act as the disbursing and collecting agent for the Lenders with respect to all payments and collections arising in connection with the Loan Documents (including in any proceeding described in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11.01(h) </w:t>
      </w:r>
      <w:r>
        <w:rPr>
          <w:rFonts w:ascii="Arial" w:cs="Arial" w:eastAsia="Arial" w:hAnsi="Arial"/>
          <w:sz w:val="16"/>
          <w:szCs w:val="16"/>
          <w:color w:val="auto"/>
        </w:rPr>
        <w:t>or any other bankruptcy, insolvency or similar proceeding), and each Person making any payment in connection with any Loan Document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Secured Party is hereby authorized to make such payment to the Administrative Agent, (ii) file and prove claims and file other documents necessary or desirable to allow the claims of the Secured Parties with respect to any Obligation in any proceeding described in </w:t>
      </w:r>
      <w:r>
        <w:rPr>
          <w:rFonts w:ascii="Arial" w:cs="Arial" w:eastAsia="Arial" w:hAnsi="Arial"/>
          <w:sz w:val="16"/>
          <w:szCs w:val="16"/>
          <w:b w:val="1"/>
          <w:bCs w:val="1"/>
          <w:color w:val="auto"/>
        </w:rPr>
        <w:t>Section 11.01(h)</w:t>
      </w:r>
      <w:r>
        <w:rPr>
          <w:rFonts w:ascii="Arial" w:cs="Arial" w:eastAsia="Arial" w:hAnsi="Arial"/>
          <w:sz w:val="16"/>
          <w:szCs w:val="16"/>
          <w:color w:val="auto"/>
        </w:rPr>
        <w:t xml:space="preserve"> or any other bankruptcy, insolvency or similar proceeding (but not to vote, consent or otherwise act on behalf of such Secured Party), (iii) act as collateral agent for each Secured Party for purposes of acquiring, holding, enforcing and perfecting all Liens created by the Loan Documents and all other purposes stated therein, (iv) manage, supervise and otherwise deal with the Collateral, (v) take such other action as is necessary or desirable to maintain the perfection and priority of the Liens created or purported to be created by the Loan Documents, (vi) except as may be otherwise specified in any Loan Document, exercise all remedies given to the Administrative Agent and the other Secured Parties with respect to the Collateral, whether under the Loan Documents, applicable Laws or otherwise, (vii) enter into non-disturbance agreements and similar agreements and (viii) execute any amendment, consent or waiver under the Loan Documents on behalf of any Lender that has consented in writing to such amendment, consent or waiver;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hereby appoints, authorizes and directs each Lender to act as collateral sub-agent for the Administrative Agent and the Lenders for purposes of the perfection of all Liens with respect to the Collateral, including any deposit account maintained by a Obligor with, and cash and Cash Equivalent Investments held by, such Lender, and may further authorize and direct the Lenders to take further actions as collateral sub-agents for purposes of enforcing such Liens or otherwise to transfer the Collateral subject thereto to the Administrative Agent, and each Lender hereby agrees to take such further actions to the extent, and only to the extent, so authorized and directed.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5" w:name="page176"/>
    <w:bookmarkEnd w:id="175"/>
    <w:p>
      <w:pPr>
        <w:jc w:val="both"/>
        <w:spacing w:after="0" w:line="268" w:lineRule="auto"/>
        <w:rPr>
          <w:sz w:val="20"/>
          <w:szCs w:val="20"/>
          <w:color w:val="auto"/>
        </w:rPr>
      </w:pPr>
      <w:r>
        <w:rPr>
          <w:rFonts w:ascii="Arial" w:cs="Arial" w:eastAsia="Arial" w:hAnsi="Arial"/>
          <w:sz w:val="17"/>
          <w:szCs w:val="17"/>
          <w:b w:val="1"/>
          <w:bCs w:val="1"/>
          <w:color w:val="auto"/>
        </w:rPr>
        <w:t>SECTION 430. Limited Duties</w:t>
      </w:r>
      <w:r>
        <w:rPr>
          <w:rFonts w:ascii="Arial" w:cs="Arial" w:eastAsia="Arial" w:hAnsi="Arial"/>
          <w:sz w:val="17"/>
          <w:szCs w:val="17"/>
          <w:color w:val="auto"/>
        </w:rPr>
        <w:t>. The Lenders and the Obligors hereby each acknowledge and agree that the Administrative Agent (i) has undertaken its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role hereunder purely as an accommodation to the parties hereto and the Transactions, (ii) is receiving no compensation for undertaking such role and (iii) subject only to the notice provisions set forth in </w:t>
      </w:r>
      <w:r>
        <w:rPr>
          <w:rFonts w:ascii="Arial" w:cs="Arial" w:eastAsia="Arial" w:hAnsi="Arial"/>
          <w:sz w:val="17"/>
          <w:szCs w:val="17"/>
          <w:b w:val="1"/>
          <w:bCs w:val="1"/>
          <w:color w:val="auto"/>
        </w:rPr>
        <w:t>Section 12.09</w:t>
      </w:r>
      <w:r>
        <w:rPr>
          <w:rFonts w:ascii="Arial" w:cs="Arial" w:eastAsia="Arial" w:hAnsi="Arial"/>
          <w:sz w:val="17"/>
          <w:szCs w:val="17"/>
          <w:color w:val="auto"/>
        </w:rPr>
        <w:t xml:space="preserve">, may resign from such role at any time for any reason or no reason whatsoever. Without limiting the foregoing, the parties hereto further acknowledge and agree that under the Loan Documents, the Administrative Agent (i) is acting solely on behalf of the Lenders (except to the limited extent provided in </w:t>
      </w:r>
      <w:r>
        <w:rPr>
          <w:rFonts w:ascii="Arial" w:cs="Arial" w:eastAsia="Arial" w:hAnsi="Arial"/>
          <w:sz w:val="17"/>
          <w:szCs w:val="17"/>
          <w:b w:val="1"/>
          <w:bCs w:val="1"/>
          <w:color w:val="auto"/>
        </w:rPr>
        <w:t>Section 12.11</w:t>
      </w:r>
      <w:r>
        <w:rPr>
          <w:rFonts w:ascii="Arial" w:cs="Arial" w:eastAsia="Arial" w:hAnsi="Arial"/>
          <w:sz w:val="17"/>
          <w:szCs w:val="17"/>
          <w:color w:val="auto"/>
        </w:rPr>
        <w:t xml:space="preserve">), with duties that are entirely administrative in nature, notwithstanding the use of the defined term “the Administrative Agent”, the terms “agent”, “administrative agent” and “collateral agent” and similar terms in any Loan Document to refer to the Administrative Agent, which terms are used for title purposes only, (ii) is not assuming any duty or obligation under any Loan Document other than as expressly set forth therein or any role as agent, fiduciary or trustee of or for any Lender or any other Secured Party and (iii) shall have no implied functions, responsibilities, duties, obligations or other liabilities under any Loan Document (fiduciary or otherwise), in each case, regardless of whether a Default has occurred and is continuing, and each Lender hereby waives and agrees not to assert any claim against the Administrative Agent based on the roles, duties and legal relationships expressly disclaimed in this </w:t>
      </w:r>
      <w:r>
        <w:rPr>
          <w:rFonts w:ascii="Arial" w:cs="Arial" w:eastAsia="Arial" w:hAnsi="Arial"/>
          <w:sz w:val="17"/>
          <w:szCs w:val="17"/>
          <w:b w:val="1"/>
          <w:bCs w:val="1"/>
          <w:color w:val="auto"/>
        </w:rPr>
        <w:t>clause (c)</w:t>
      </w:r>
      <w:r>
        <w:rPr>
          <w:rFonts w:ascii="Arial" w:cs="Arial" w:eastAsia="Arial" w:hAnsi="Arial"/>
          <w:sz w:val="17"/>
          <w:szCs w:val="17"/>
          <w:color w:val="auto"/>
        </w:rPr>
        <w:t>. Without in any way limiting the foregoing, the Administrative Agent shall not, except as expressly set forth in this Agreement and in the other Loan Documents, have any duty to disclose, and shall not be liable for the failure to disclose, any information relating to any Obligor or any of its Affiliates that is communicated to or obtained by the Person serving as the Administrative Agent or any of its Affiliates in any capacity.</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SECTION 431. Binding Effect</w:t>
      </w:r>
      <w:r>
        <w:rPr>
          <w:rFonts w:ascii="Arial" w:cs="Arial" w:eastAsia="Arial" w:hAnsi="Arial"/>
          <w:sz w:val="17"/>
          <w:szCs w:val="17"/>
          <w:color w:val="auto"/>
        </w:rPr>
        <w:t>. Each Lender agrees that (i) any action taken by the Administrative Agent or the Majority Lenders (or, if expressly required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hereby, a greater proportion of the Lenders) in accordance with the provisions of the Loan Documents, (ii) any action taken by the Administrative Agent in reliance upon the instructions of the Majority Lenders (or, where so required, such greater proportion) and (iii) the exercise by the Administrative Agent or the Majority Lenders (or, where so required, such greater proportion) of the powers set forth herein or therein, together with such other powers as are reasonably incidental thereto, shall be authorized and binding upon all of the Secured Parties.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432. Use of Discretion</w:t>
      </w:r>
      <w:r>
        <w:rPr>
          <w:rFonts w:ascii="Arial" w:cs="Arial" w:eastAsia="Arial" w:hAnsi="Arial"/>
          <w:sz w:val="18"/>
          <w:szCs w:val="18"/>
          <w:color w:val="auto"/>
        </w:rPr>
        <w:t>.</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433. No Action without Instructions</w:t>
      </w:r>
      <w:r>
        <w:rPr>
          <w:rFonts w:ascii="Arial" w:cs="Arial" w:eastAsia="Arial" w:hAnsi="Arial"/>
          <w:sz w:val="18"/>
          <w:szCs w:val="18"/>
          <w:color w:val="auto"/>
        </w:rPr>
        <w:t>. The Administrative Agent shall not be required to exercise any discretion or take, or to omit to take,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action, including with respect to enforcement or collection, except (subject to </w:t>
      </w:r>
      <w:r>
        <w:rPr>
          <w:rFonts w:ascii="Arial" w:cs="Arial" w:eastAsia="Arial" w:hAnsi="Arial"/>
          <w:sz w:val="18"/>
          <w:szCs w:val="18"/>
          <w:b w:val="1"/>
          <w:bCs w:val="1"/>
          <w:color w:val="auto"/>
        </w:rPr>
        <w:t>clause (b)</w:t>
      </w:r>
      <w:r>
        <w:rPr>
          <w:rFonts w:ascii="Arial" w:cs="Arial" w:eastAsia="Arial" w:hAnsi="Arial"/>
          <w:sz w:val="18"/>
          <w:szCs w:val="18"/>
          <w:color w:val="auto"/>
        </w:rPr>
        <w:t xml:space="preserve"> below) any action it is required to take or omit to take (i) under any Loan Document or (ii) pursuant to written instructions from the Majority Lenders (or, where expressly required by the terms of this Agreement, a greater proportion of the Lenders).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6" w:name="page177"/>
    <w:bookmarkEnd w:id="176"/>
    <w:p>
      <w:pPr>
        <w:jc w:val="both"/>
        <w:spacing w:after="0" w:line="255" w:lineRule="auto"/>
        <w:rPr>
          <w:sz w:val="20"/>
          <w:szCs w:val="20"/>
          <w:color w:val="auto"/>
        </w:rPr>
      </w:pPr>
      <w:r>
        <w:rPr>
          <w:rFonts w:ascii="Arial" w:cs="Arial" w:eastAsia="Arial" w:hAnsi="Arial"/>
          <w:sz w:val="18"/>
          <w:szCs w:val="18"/>
          <w:b w:val="1"/>
          <w:bCs w:val="1"/>
          <w:color w:val="auto"/>
        </w:rPr>
        <w:t>SECTION 434. Right Not to Follow Certain Instructions</w:t>
      </w:r>
      <w:r>
        <w:rPr>
          <w:rFonts w:ascii="Arial" w:cs="Arial" w:eastAsia="Arial" w:hAnsi="Arial"/>
          <w:sz w:val="18"/>
          <w:szCs w:val="18"/>
          <w:color w:val="auto"/>
        </w:rPr>
        <w:t>. Notwithstanding</w:t>
      </w:r>
      <w:r>
        <w:rPr>
          <w:rFonts w:ascii="Arial" w:cs="Arial" w:eastAsia="Arial" w:hAnsi="Arial"/>
          <w:sz w:val="18"/>
          <w:szCs w:val="18"/>
          <w:b w:val="1"/>
          <w:bCs w:val="1"/>
          <w:color w:val="auto"/>
        </w:rPr>
        <w:t xml:space="preserve"> Section 12.03(a) </w:t>
      </w:r>
      <w:r>
        <w:rPr>
          <w:rFonts w:ascii="Arial" w:cs="Arial" w:eastAsia="Arial" w:hAnsi="Arial"/>
          <w:sz w:val="18"/>
          <w:szCs w:val="18"/>
          <w:color w:val="auto"/>
        </w:rPr>
        <w:t>or any other term or provision of this</w:t>
      </w:r>
      <w:r>
        <w:rPr>
          <w:rFonts w:ascii="Arial" w:cs="Arial" w:eastAsia="Arial" w:hAnsi="Arial"/>
          <w:sz w:val="18"/>
          <w:szCs w:val="18"/>
          <w:b w:val="1"/>
          <w:bCs w:val="1"/>
          <w:color w:val="auto"/>
        </w:rPr>
        <w:t xml:space="preserve"> Section 12</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shall not be required to take, or to omit to take, any action (i) unless, upon demand, the Administrative Agent receives an indemnification satisfactory to it from the Lenders (or, to the extent applicable and acceptable to the Administrative Agent, any other Secured Party) against all liabilities that, by reason of such action or omission, may be imposed on, incurred by or asserted against the Administrative Agent or any Related Parties thereof or (ii) that is, in the opinion of the Administrative Agent, in its sole and absolute discretion, contrary to any Loan Document, Law or the best interests of the Administrative Agent or any of its Affiliates or Related Parties, including, for the avoidance of doubt, any action that may be in violation of the automatic stay in connection with any Insolvency Proceeding.</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SECTION 435. Delegation of Rights and Duties</w:t>
      </w:r>
      <w:r>
        <w:rPr>
          <w:rFonts w:ascii="Arial" w:cs="Arial" w:eastAsia="Arial" w:hAnsi="Arial"/>
          <w:sz w:val="17"/>
          <w:szCs w:val="17"/>
          <w:color w:val="auto"/>
        </w:rPr>
        <w:t>. The Administrative Agent may, upon any term or condition it specifies, delegate or exercise any of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rights, powers and remedies under, and delegate or perform any of its duties or any other action with respect to, any Loan Document by or through any trustee, co-agent, employee, attorney-in-fact and any other Person (including any Secured Party). The Administrative Agent and any such Person may perform any and all of its duties and exercise its rights and powers by or through their respective Related Parties. Any such Person and its Related Parties shall benefit from this </w:t>
      </w:r>
      <w:r>
        <w:rPr>
          <w:rFonts w:ascii="Arial" w:cs="Arial" w:eastAsia="Arial" w:hAnsi="Arial"/>
          <w:sz w:val="17"/>
          <w:szCs w:val="17"/>
          <w:b w:val="1"/>
          <w:bCs w:val="1"/>
          <w:color w:val="auto"/>
        </w:rPr>
        <w:t>Section 12</w:t>
      </w:r>
      <w:r>
        <w:rPr>
          <w:rFonts w:ascii="Arial" w:cs="Arial" w:eastAsia="Arial" w:hAnsi="Arial"/>
          <w:sz w:val="17"/>
          <w:szCs w:val="17"/>
          <w:color w:val="auto"/>
        </w:rPr>
        <w:t xml:space="preserve"> to the extent provided by the Administrative Agent; provided, however, that the exculpatory provisions of this </w:t>
      </w:r>
      <w:r>
        <w:rPr>
          <w:rFonts w:ascii="Arial" w:cs="Arial" w:eastAsia="Arial" w:hAnsi="Arial"/>
          <w:sz w:val="17"/>
          <w:szCs w:val="17"/>
          <w:b w:val="1"/>
          <w:bCs w:val="1"/>
          <w:color w:val="auto"/>
        </w:rPr>
        <w:t>Section 12</w:t>
      </w:r>
      <w:r>
        <w:rPr>
          <w:rFonts w:ascii="Arial" w:cs="Arial" w:eastAsia="Arial" w:hAnsi="Arial"/>
          <w:sz w:val="17"/>
          <w:szCs w:val="17"/>
          <w:color w:val="auto"/>
        </w:rPr>
        <w:t xml:space="preserve"> shall apply to any such sub-agent and to the Related Parties of the Administrative Agent and of any such sub-agent, and shall apply to their respective activities in connection with their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436. Reliance and Liability</w:t>
      </w:r>
      <w:r>
        <w:rPr>
          <w:rFonts w:ascii="Arial" w:cs="Arial" w:eastAsia="Arial" w:hAnsi="Arial"/>
          <w:sz w:val="18"/>
          <w:szCs w:val="18"/>
          <w:color w:val="auto"/>
        </w:rPr>
        <w:t>.</w:t>
      </w:r>
    </w:p>
    <w:p>
      <w:pPr>
        <w:spacing w:after="0" w:line="2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SECTION 437. </w:t>
      </w:r>
      <w:r>
        <w:rPr>
          <w:rFonts w:ascii="Arial" w:cs="Arial" w:eastAsia="Arial" w:hAnsi="Arial"/>
          <w:sz w:val="16"/>
          <w:szCs w:val="16"/>
          <w:color w:val="auto"/>
        </w:rPr>
        <w:t>the Administrative Agent may, without incurring any liability hereunder, (i) consult with any of its Related Parties and, whether or not</w:t>
      </w:r>
      <w:r>
        <w:rPr>
          <w:rFonts w:ascii="Arial" w:cs="Arial" w:eastAsia="Arial" w:hAnsi="Arial"/>
          <w:sz w:val="16"/>
          <w:szCs w:val="16"/>
          <w:b w:val="1"/>
          <w:bCs w:val="1"/>
          <w:color w:val="auto"/>
        </w:rPr>
        <w:t xml:space="preserve"> </w:t>
      </w:r>
      <w:r>
        <w:rPr>
          <w:rFonts w:ascii="Arial" w:cs="Arial" w:eastAsia="Arial" w:hAnsi="Arial"/>
          <w:sz w:val="16"/>
          <w:szCs w:val="16"/>
          <w:color w:val="auto"/>
        </w:rPr>
        <w:t>selected by it, any other advisors, accountants and other experts (including advisors to, and accountants and experts engaged by, any Obligor) and (ii) rely and act upon any notice, request, certificate, consent, statement, instrument, document or other writing (including and electronic message, Internet or intranet website posting or other distribution), telephone message or conversation or oral conversation, in each case believed by it to be genuine and transmitted, signed or otherwise authenticated by the appropriate parties.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written notice to the contrary from such Lender prior to the making of such Loan.</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SECTION 438. </w:t>
      </w:r>
      <w:r>
        <w:rPr>
          <w:rFonts w:ascii="Arial" w:cs="Arial" w:eastAsia="Arial" w:hAnsi="Arial"/>
          <w:sz w:val="18"/>
          <w:szCs w:val="18"/>
          <w:color w:val="auto"/>
        </w:rPr>
        <w:t>Neither the Administrative Agent nor any of its Related Parties shall be liable for any action taken or omitted to be taken by any of them</w:t>
      </w:r>
      <w:r>
        <w:rPr>
          <w:rFonts w:ascii="Arial" w:cs="Arial" w:eastAsia="Arial" w:hAnsi="Arial"/>
          <w:sz w:val="18"/>
          <w:szCs w:val="18"/>
          <w:b w:val="1"/>
          <w:bCs w:val="1"/>
          <w:color w:val="auto"/>
        </w:rPr>
        <w:t xml:space="preserve"> </w:t>
      </w:r>
      <w:r>
        <w:rPr>
          <w:rFonts w:ascii="Arial" w:cs="Arial" w:eastAsia="Arial" w:hAnsi="Arial"/>
          <w:sz w:val="18"/>
          <w:szCs w:val="18"/>
          <w:color w:val="auto"/>
        </w:rPr>
        <w:t>under or in connection with any Loan Document, and each Lender and the Borrower hereby waive and shall not assert (and the Borrower shall cause each other Obligor to waive and agree not to assert) any right, claim or cause of action based thereon, except to the extent of liabilities resulting primarily from the fraudulent conduct or behavior of the Administrative Agent or, as the case may be, such Related Party (each as determined in a final, non-appealable judgment or order by a court of competent jurisdiction) in connection with the duties expressly set forth herein. Without limiting the foregoing, the Administrative Agent: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7" w:name="page178"/>
    <w:bookmarkEnd w:id="177"/>
    <w:p>
      <w:pPr>
        <w:jc w:val="both"/>
        <w:spacing w:after="0" w:line="258" w:lineRule="auto"/>
        <w:rPr>
          <w:sz w:val="20"/>
          <w:szCs w:val="20"/>
          <w:color w:val="auto"/>
        </w:rPr>
      </w:pPr>
      <w:r>
        <w:rPr>
          <w:rFonts w:ascii="Arial" w:cs="Arial" w:eastAsia="Arial" w:hAnsi="Arial"/>
          <w:sz w:val="18"/>
          <w:szCs w:val="18"/>
          <w:b w:val="1"/>
          <w:bCs w:val="1"/>
          <w:color w:val="auto"/>
        </w:rPr>
        <w:t>SECTION 439. shall not be responsible or otherwise incur liability for any action or omission taken in reliance upon the instructions of, or with the consent of, the Majority Lenders (or such other number or percentage of the Lenders as shall be necessary, or as the Administrative Agent shall believe in good faith to be necessary, under the circumstances as provided in Section 14.04) or for the actions or omissions of any of its Related Parties selected with reasonable care (other than employees, officers and directors of the Administrative Agent, when acting on behalf of the Administrative Agent);</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440. shall not be responsible to any Secured Party for the (a) validity, enforceability, effectiveness or genuineness of this Agreement, any other Loan Document or any other agreement, instrument or document, or (b) due execution, legality, validity, enforceability, effectiveness, genuineness, sufficiency or value of, or the attachment, perfection or priority of any Lien created or purported to be created under or in connection with, any Loan Document;</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SECTION 441. makes no warranty or representation, and shall not be responsible, to any Secured Party for, and shall not have any duty to ascertain or inquire into, any statement, document, information, certificate, report, representation or warranty made or furnished by or on behalf of any Related Party, in or in connection with any Loan Document or any transaction contemplated therein, whether or not transmitted by the Administrative Agent, including as to completeness, accuracy, scope or adequacy thereof, or for the scope, nature or results of any due diligence performed by the Administrative Agent in connection with the Loan Documents, including, for the avoidance of doubt, the satisfaction of any condition set forth in Section 6 of this Agreement or elsewhere herein (other than to confirm receipt of items expressly required to be delivered to the Administrative Agent); and</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SECTION 442. shall not have any duty to ascertain or to inquire as to the performance or observance of any provision of any Loan Document or whether any condition set forth in any Loan Document is satisfied or waived, including, without limiting the generality of the foregoing, as to the financial condition of any Obligor or as to the existence or continuation or possible occurrence or continuation of any Default or Event of Default and shall not be deemed to have notice or knowledge of such occurrence or continuation unless it has received a notice from the Borrower, any Lender describing such Default or Event of Default clearly labeled “notice of default” (in which case the Administrative Agent shall promptly give notice of such receipt to all Lenders);</w:t>
      </w:r>
    </w:p>
    <w:p>
      <w:pPr>
        <w:spacing w:after="0" w:line="187"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 xml:space="preserve">and, for each of the items set forth in </w:t>
      </w:r>
      <w:r>
        <w:rPr>
          <w:rFonts w:ascii="Arial" w:cs="Arial" w:eastAsia="Arial" w:hAnsi="Arial"/>
          <w:sz w:val="18"/>
          <w:szCs w:val="18"/>
          <w:b w:val="1"/>
          <w:bCs w:val="1"/>
          <w:color w:val="auto"/>
        </w:rPr>
        <w:t>clauses (i)</w:t>
      </w:r>
      <w:r>
        <w:rPr>
          <w:rFonts w:ascii="Arial" w:cs="Arial" w:eastAsia="Arial" w:hAnsi="Arial"/>
          <w:sz w:val="18"/>
          <w:szCs w:val="18"/>
          <w:color w:val="auto"/>
        </w:rPr>
        <w:t xml:space="preserve"> through </w:t>
      </w:r>
      <w:r>
        <w:rPr>
          <w:rFonts w:ascii="Arial" w:cs="Arial" w:eastAsia="Arial" w:hAnsi="Arial"/>
          <w:sz w:val="18"/>
          <w:szCs w:val="18"/>
          <w:b w:val="1"/>
          <w:bCs w:val="1"/>
          <w:color w:val="auto"/>
        </w:rPr>
        <w:t>(iv)</w:t>
      </w:r>
      <w:r>
        <w:rPr>
          <w:rFonts w:ascii="Arial" w:cs="Arial" w:eastAsia="Arial" w:hAnsi="Arial"/>
          <w:sz w:val="18"/>
          <w:szCs w:val="18"/>
          <w:color w:val="auto"/>
        </w:rPr>
        <w:t xml:space="preserve"> above, each Lender and the Borrower hereby waives and agrees not to assert (and the Borrower shall cause each other Obligor to waive and agree not to assert) any right, claim or cause of action it might have against the Administrative Agent based thereon.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8" w:name="page179"/>
    <w:bookmarkEnd w:id="178"/>
    <w:p>
      <w:pPr>
        <w:jc w:val="both"/>
        <w:spacing w:after="0" w:line="291" w:lineRule="auto"/>
        <w:rPr>
          <w:sz w:val="20"/>
          <w:szCs w:val="20"/>
          <w:color w:val="auto"/>
        </w:rPr>
      </w:pPr>
      <w:r>
        <w:rPr>
          <w:rFonts w:ascii="Arial" w:cs="Arial" w:eastAsia="Arial" w:hAnsi="Arial"/>
          <w:sz w:val="16"/>
          <w:szCs w:val="16"/>
          <w:b w:val="1"/>
          <w:bCs w:val="1"/>
          <w:i w:val="1"/>
          <w:iCs w:val="1"/>
          <w:color w:val="auto"/>
        </w:rPr>
        <w:t>SECTION 443. Administrative Agent Individually</w:t>
      </w:r>
      <w:r>
        <w:rPr>
          <w:rFonts w:ascii="Arial" w:cs="Arial" w:eastAsia="Arial" w:hAnsi="Arial"/>
          <w:sz w:val="16"/>
          <w:szCs w:val="16"/>
          <w:color w:val="auto"/>
        </w:rPr>
        <w:t>. The Administrative Agent and its Affiliates may make loans and other extensions of credit to, acquire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and stock equivalents of, accept deposits from, act as the financial advisor for or in any other advisory capacity for, or engage in any kind of business with, any Obligor or Affiliate thereof as though it were not acting as the Administrative Agent and may receive separate fees and other payments therefor. To the extent the Administrative Agent or any of its Affiliates makes any Loan or otherwise becomes a Lender hereunder, it shall have and may exercise the same rights and powers hereunder and shall be subject to the same obligations and liabilities as any other Lender and the terms “Lender”, “Majority Lender”, and any similar terms shall, except where otherwise expressly provided in any Loan Document, include, without limitation, the Administrative Agent or such Affiliate, as the case may be, in its individual capacity as Lender or as one of the Majority Lenders, respectively.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SECTION 444. Lender Credit Decision</w:t>
      </w:r>
      <w:r>
        <w:rPr>
          <w:rFonts w:ascii="Arial" w:cs="Arial" w:eastAsia="Arial" w:hAnsi="Arial"/>
          <w:sz w:val="18"/>
          <w:szCs w:val="18"/>
          <w:color w:val="auto"/>
        </w:rPr>
        <w:t>. Each Lender acknowledges that it has, independently and without reliance upon the Administrative Agent,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Lender or any of their Related Parties or upon any document (including the Disclosure Documents) solely or in part because such document was transmitted by the Administrative Agent or any of its Related Parties, conducted its own independent investigation of the financial condition and affairs of each Obligor and has made and continues to make its own credit decisions in connection with entering into, and taking or not taking any action under, any Loan Document or with respect to any transaction contemplated in any Loan Document, in each case based on such documents and information as it shall deem appropriate.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445. Expenses; Indemnities</w:t>
      </w:r>
      <w:r>
        <w:rPr>
          <w:rFonts w:ascii="Arial" w:cs="Arial" w:eastAsia="Arial" w:hAnsi="Arial"/>
          <w:sz w:val="18"/>
          <w:szCs w:val="18"/>
          <w:color w:val="auto"/>
        </w:rPr>
        <w:t>.</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SECTION 446. </w:t>
      </w:r>
      <w:r>
        <w:rPr>
          <w:rFonts w:ascii="Arial" w:cs="Arial" w:eastAsia="Arial" w:hAnsi="Arial"/>
          <w:sz w:val="18"/>
          <w:szCs w:val="18"/>
          <w:color w:val="auto"/>
        </w:rPr>
        <w:t>Each Lender agrees to reimburse the Administrative Agent and each of its Related Parties (to the extent not reimbursed by any Obligor)</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upon demand for such Lender’s Proportionate Share of any costs and expenses (including fees, charges and disbursements of financial, legal and other advisors and Other Taxes paid in the name of, or on behalf of, any Obligor) that may be incurred by the Administrative Agent or any of its Related Parties in connection with the preparation, syndication, execution, delivery, administration, modification, consent, waiver or enforcement (whether through negotiations, through any work-out, bankruptcy, restructuring or other legal or other proceeding or otherwise) of, or legal advice in respect of its rights or responsibilities under, any Loan Document.</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SECTION 447. </w:t>
      </w:r>
      <w:r>
        <w:rPr>
          <w:rFonts w:ascii="Arial" w:cs="Arial" w:eastAsia="Arial" w:hAnsi="Arial"/>
          <w:sz w:val="16"/>
          <w:szCs w:val="16"/>
          <w:color w:val="auto"/>
        </w:rPr>
        <w:t>Each Lender further agrees to indemnify the Administrative Agent (or any sub-agent thereof) and any Related Parties of the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Agent (or any such sub-agent) (to the extent not paid by any Obligor), from and against such Lender’s aggregate Proportionate Share of the liabilities (including taxes, interests and penalties imposed for not properly withholding or backup withholding on payments made to on or for the account of any Lender) that may be imposed on, incurred by or asserted against the Administrative Agent (or any sub-agent thereof) or any Related Parties of the Administrative Agent (or any such sub-agent) in any matter relating to or arising out of, in connection with or as a result of any Loan Document, any Related Document or any other act, event or transaction related, contemplated in or attendant to any such document, or, in each case, any action taken or omitted to be taken by the Administrative Agent (or any sub-agent thereof) or any Related Parties of the Administrative Agent (or any such sub-agent) under or with respect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to the Administrative Agent (or any sub-agent thereof) or any Related Parties of the Administrative Agent (or any such sub-agent) to the extent such liability has resulted primarily from the gross negligence or willful misconduct of the Administrative Agent (or any sub-agent thereof) or, as the case may be, such Related Party of the Administrative Agent (or any sub-agent thereof), as determined by a court of competent jurisdiction in a final non-appealable judgment or order.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i w:val="1"/>
          <w:iCs w:val="1"/>
          <w:color w:val="auto"/>
        </w:rPr>
        <w:t>SECTION 448. Resignation of the Administrative Agent</w:t>
      </w:r>
      <w:r>
        <w:rPr>
          <w:rFonts w:ascii="Arial" w:cs="Arial" w:eastAsia="Arial" w:hAnsi="Arial"/>
          <w:sz w:val="18"/>
          <w:szCs w:val="18"/>
          <w:color w:val="auto"/>
        </w:rPr>
        <w:t>.</w:t>
      </w:r>
    </w:p>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SECTION 449. </w:t>
      </w:r>
      <w:r>
        <w:rPr>
          <w:rFonts w:ascii="Arial" w:cs="Arial" w:eastAsia="Arial" w:hAnsi="Arial"/>
          <w:sz w:val="17"/>
          <w:szCs w:val="17"/>
          <w:color w:val="auto"/>
        </w:rPr>
        <w:t>At any time upon not less than 30 days prior written notice to the Lenders and the Borrower, the Administrative Agent may resign as the</w:t>
      </w:r>
      <w:r>
        <w:rPr>
          <w:rFonts w:ascii="Arial" w:cs="Arial" w:eastAsia="Arial" w:hAnsi="Arial"/>
          <w:sz w:val="17"/>
          <w:szCs w:val="17"/>
          <w:b w:val="1"/>
          <w:bCs w:val="1"/>
          <w:color w:val="auto"/>
        </w:rPr>
        <w:t xml:space="preserve"> </w:t>
      </w:r>
      <w:r>
        <w:rPr>
          <w:rFonts w:ascii="Arial" w:cs="Arial" w:eastAsia="Arial" w:hAnsi="Arial"/>
          <w:sz w:val="17"/>
          <w:szCs w:val="17"/>
          <w:color w:val="auto"/>
        </w:rPr>
        <w:t>“the Administrative Agent” hereunder (in the sole and absolute discretion of the Administrative Agent). If the Administrative Agent delivers any such notice, the Majority Lenders shall have the right, in consultation with the Borrower, to appoint a successor, which shall be (i) a Lender holding at least thirty percent (30%) of the outstanding principal amount of the Loans or any Affiliate thereof or (ii) any other financial institution consented to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consent of the Borrower shall not be required to the extent an Event of Default has occurred and is continuing). If a successor Administrative Agent has not been appointed on or before the effectiveness of the resignation of the resigning Administrative Agent (or such earlier date as shall be agreed by the Majority Lenders) (the “</w:t>
      </w:r>
      <w:r>
        <w:rPr>
          <w:rFonts w:ascii="Arial" w:cs="Arial" w:eastAsia="Arial" w:hAnsi="Arial"/>
          <w:sz w:val="17"/>
          <w:szCs w:val="17"/>
          <w:b w:val="1"/>
          <w:bCs w:val="1"/>
          <w:i w:val="1"/>
          <w:iCs w:val="1"/>
          <w:color w:val="auto"/>
        </w:rPr>
        <w:t>Resignation Effective Date</w:t>
      </w:r>
      <w:r>
        <w:rPr>
          <w:rFonts w:ascii="Arial" w:cs="Arial" w:eastAsia="Arial" w:hAnsi="Arial"/>
          <w:sz w:val="17"/>
          <w:szCs w:val="17"/>
          <w:color w:val="auto"/>
        </w:rPr>
        <w:t>”), then the resigning Administrative Agent may (but shall not be obligated to), on behalf of the Lenders, appoint any Person reasonably chosen by it as the successor Administrative Agent, notwithstanding whether the Majority Lenders have appointed a successor or the Borrower has consented to such successor. Whether or not a successor has been appointed, such resignation shall become effective on the Resignation Effective Date.</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SECTION 450. </w:t>
      </w:r>
      <w:r>
        <w:rPr>
          <w:rFonts w:ascii="Arial" w:cs="Arial" w:eastAsia="Arial" w:hAnsi="Arial"/>
          <w:sz w:val="17"/>
          <w:szCs w:val="17"/>
          <w:color w:val="auto"/>
        </w:rPr>
        <w:t>Effective from the Resignation Effective Date, (i) the resigning Administrative Agent shall be discharged from its duties and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the Loan Documents to the extent set forth in the applicable resignation notice, (ii) the Majority Lenders shall assume and perform all of the duties of the Administrative Agent until a successor Administrative Agent shall have accepted a valid appointment hereunder, (iii) the resigning Administrative Agent and its Related Parties shall no longer have the benefit of any provision of any Loan Document other than with respect to (x) any actions taken or omitted to be taken while such resigning Administrative Agent was, or because the Administrative Agent had been, validly acting as the Administrative Agent under the Loan Documents or (y) any continuing duties such resigning Administrative Agent will continue to perform, and (iv) subject to its rights under </w:t>
      </w:r>
      <w:r>
        <w:rPr>
          <w:rFonts w:ascii="Arial" w:cs="Arial" w:eastAsia="Arial" w:hAnsi="Arial"/>
          <w:sz w:val="17"/>
          <w:szCs w:val="17"/>
          <w:b w:val="1"/>
          <w:bCs w:val="1"/>
          <w:color w:val="auto"/>
        </w:rPr>
        <w:t>Section 12.04</w:t>
      </w:r>
      <w:r>
        <w:rPr>
          <w:rFonts w:ascii="Arial" w:cs="Arial" w:eastAsia="Arial" w:hAnsi="Arial"/>
          <w:sz w:val="17"/>
          <w:szCs w:val="17"/>
          <w:color w:val="auto"/>
        </w:rPr>
        <w:t>, the resigning Administrative Agent shall take such action as may be reasonably necessary to assign to the successor Administrative Agent its rights as the Administrative Agent under the Loan Documents. Effective immediately upon its acceptance of a valid appointment as the Administrative Agent, a successor Administrative Agent shall succeed to, and become vested with, all the rights, powers, privileges and duties of the resigning Administrative Agent under the Loan Documents.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0" w:name="page181"/>
    <w:bookmarkEnd w:id="180"/>
    <w:p>
      <w:pPr>
        <w:jc w:val="both"/>
        <w:spacing w:after="0" w:line="277" w:lineRule="auto"/>
        <w:rPr>
          <w:sz w:val="20"/>
          <w:szCs w:val="20"/>
          <w:color w:val="auto"/>
        </w:rPr>
      </w:pPr>
      <w:r>
        <w:rPr>
          <w:rFonts w:ascii="Arial" w:cs="Arial" w:eastAsia="Arial" w:hAnsi="Arial"/>
          <w:sz w:val="18"/>
          <w:szCs w:val="18"/>
          <w:b w:val="1"/>
          <w:bCs w:val="1"/>
          <w:i w:val="1"/>
          <w:iCs w:val="1"/>
          <w:color w:val="auto"/>
        </w:rPr>
        <w:t>SECTION 451. Release of Collateral or Guarantors</w:t>
      </w:r>
      <w:r>
        <w:rPr>
          <w:rFonts w:ascii="Arial" w:cs="Arial" w:eastAsia="Arial" w:hAnsi="Arial"/>
          <w:sz w:val="18"/>
          <w:szCs w:val="18"/>
          <w:color w:val="auto"/>
        </w:rPr>
        <w:t>. Each Lender hereby consents to the release and hereby directs the Administrative Agent to release,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and the Administrative Agent hereby agrees, (or, in the case of </w:t>
      </w:r>
      <w:r>
        <w:rPr>
          <w:rFonts w:ascii="Arial" w:cs="Arial" w:eastAsia="Arial" w:hAnsi="Arial"/>
          <w:sz w:val="18"/>
          <w:szCs w:val="18"/>
          <w:b w:val="1"/>
          <w:bCs w:val="1"/>
          <w:color w:val="auto"/>
        </w:rPr>
        <w:t>Section 12.10(b)</w:t>
      </w:r>
      <w:r>
        <w:rPr>
          <w:rFonts w:ascii="Arial" w:cs="Arial" w:eastAsia="Arial" w:hAnsi="Arial"/>
          <w:sz w:val="18"/>
          <w:szCs w:val="18"/>
          <w:color w:val="auto"/>
        </w:rPr>
        <w:t>, release or subordinate) the following:</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SECTION 452. </w:t>
      </w:r>
      <w:r>
        <w:rPr>
          <w:rFonts w:ascii="Arial" w:cs="Arial" w:eastAsia="Arial" w:hAnsi="Arial"/>
          <w:sz w:val="18"/>
          <w:szCs w:val="18"/>
          <w:color w:val="auto"/>
        </w:rPr>
        <w:t>any Subsidiary of the Borrower from its guaranty of any Obligation of any Obligor (i) if such Subsidiary ceases to be a Subsidiary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Obligor as a result of a transaction permitted under and in accordance with the Loan Documents (including pursuant to a waiver or consent), to the extent that, after giving effect to such transaction, such Subsidiary would not be required to Guaranty any Obligations pursuant to </w:t>
      </w:r>
      <w:r>
        <w:rPr>
          <w:rFonts w:ascii="Arial" w:cs="Arial" w:eastAsia="Arial" w:hAnsi="Arial"/>
          <w:sz w:val="18"/>
          <w:szCs w:val="18"/>
          <w:b w:val="1"/>
          <w:bCs w:val="1"/>
          <w:color w:val="auto"/>
        </w:rPr>
        <w:t>Section 8.11(a)</w:t>
      </w:r>
      <w:r>
        <w:rPr>
          <w:rFonts w:ascii="Arial" w:cs="Arial" w:eastAsia="Arial" w:hAnsi="Arial"/>
          <w:sz w:val="18"/>
          <w:szCs w:val="18"/>
          <w:color w:val="auto"/>
        </w:rPr>
        <w:t xml:space="preserve"> or (ii) upon (x) termination of the Commitments and (y) payment and satisfaction in full of all Loans and all other Obligations that the Administrative Agent has been notified in writing are then due and payable (other than inchoate indemnification and expense reimbursement obligations for which no claim has been made); and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SECTION 453. </w:t>
      </w:r>
      <w:r>
        <w:rPr>
          <w:rFonts w:ascii="Arial" w:cs="Arial" w:eastAsia="Arial" w:hAnsi="Arial"/>
          <w:sz w:val="17"/>
          <w:szCs w:val="17"/>
          <w:color w:val="auto"/>
        </w:rPr>
        <w:t>any Lien held by the Administrative Agent for the benefit of the Secured Parties against (i) any Collateral that is disposed of by an Obligor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 a result of a transaction permitted under and in accordance with the Loan Documents (including pursuant to a valid waiver or consent), (ii) any property subject to a Lien described in </w:t>
      </w:r>
      <w:r>
        <w:rPr>
          <w:rFonts w:ascii="Arial" w:cs="Arial" w:eastAsia="Arial" w:hAnsi="Arial"/>
          <w:sz w:val="17"/>
          <w:szCs w:val="17"/>
          <w:b w:val="1"/>
          <w:bCs w:val="1"/>
          <w:color w:val="auto"/>
        </w:rPr>
        <w:t>Section 9.02(c)</w:t>
      </w:r>
      <w:r>
        <w:rPr>
          <w:rFonts w:ascii="Arial" w:cs="Arial" w:eastAsia="Arial" w:hAnsi="Arial"/>
          <w:sz w:val="17"/>
          <w:szCs w:val="17"/>
          <w:color w:val="auto"/>
        </w:rPr>
        <w:t xml:space="preserve"> or </w:t>
      </w:r>
      <w:r>
        <w:rPr>
          <w:rFonts w:ascii="Arial" w:cs="Arial" w:eastAsia="Arial" w:hAnsi="Arial"/>
          <w:sz w:val="17"/>
          <w:szCs w:val="17"/>
          <w:b w:val="1"/>
          <w:bCs w:val="1"/>
          <w:color w:val="auto"/>
        </w:rPr>
        <w:t>(j)</w:t>
      </w:r>
      <w:r>
        <w:rPr>
          <w:rFonts w:ascii="Arial" w:cs="Arial" w:eastAsia="Arial" w:hAnsi="Arial"/>
          <w:sz w:val="17"/>
          <w:szCs w:val="17"/>
          <w:color w:val="auto"/>
        </w:rPr>
        <w:t>, and (iii) all of the Collateral and all Obligors, upon (x) termination of the Commitments and (y) payment and satisfaction in full of all Loans and all other Obligations that the Administrative Agent has been notified in writing are then due and payable (other than inchoate indemnification and expense reimbursement obligations for which no claim has been made).</w:t>
      </w:r>
    </w:p>
    <w:p>
      <w:pPr>
        <w:spacing w:after="0" w:line="17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Each Lender hereby directs the Administrative Agent, and the Administrative Agent hereby agrees, upon receipt of reasonable advance notice from the Borrower, to execute and deliver or file such documents and to perform other actions reasonably necessary to release the guarantees and Liens when and as directed in this </w:t>
      </w:r>
      <w:r>
        <w:rPr>
          <w:rFonts w:ascii="Arial" w:cs="Arial" w:eastAsia="Arial" w:hAnsi="Arial"/>
          <w:sz w:val="17"/>
          <w:szCs w:val="17"/>
          <w:b w:val="1"/>
          <w:bCs w:val="1"/>
          <w:color w:val="auto"/>
        </w:rPr>
        <w:t>Section 12.10</w:t>
      </w:r>
      <w:r>
        <w:rPr>
          <w:rFonts w:ascii="Arial" w:cs="Arial" w:eastAsia="Arial" w:hAnsi="Arial"/>
          <w:sz w:val="17"/>
          <w:szCs w:val="17"/>
          <w:color w:val="auto"/>
        </w:rPr>
        <w:t xml:space="preserve"> and deliver to the Borrower, at the expense of the Borrower, any portion of such Collateral so released pursuant to this </w:t>
      </w:r>
      <w:r>
        <w:rPr>
          <w:rFonts w:ascii="Arial" w:cs="Arial" w:eastAsia="Arial" w:hAnsi="Arial"/>
          <w:sz w:val="17"/>
          <w:szCs w:val="17"/>
          <w:b w:val="1"/>
          <w:bCs w:val="1"/>
          <w:color w:val="auto"/>
        </w:rPr>
        <w:t>Section 12.10</w:t>
      </w:r>
      <w:r>
        <w:rPr>
          <w:rFonts w:ascii="Arial" w:cs="Arial" w:eastAsia="Arial" w:hAnsi="Arial"/>
          <w:sz w:val="17"/>
          <w:szCs w:val="17"/>
          <w:color w:val="auto"/>
        </w:rPr>
        <w:t xml:space="preserve"> that is in possession of the Administrative Agent. In addition, in connection with any Permitted Licenses, each Lender hereby authorizes Administrative Agent to, and at the request of the Borrower, the Administrative Agent shall, negotiate and enter into a non-disturbance agreement and other similar agreements in form and substance reasonably satisfactory to Administrative Agent.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1" w:name="page182"/>
    <w:bookmarkEnd w:id="181"/>
    <w:p>
      <w:pPr>
        <w:jc w:val="both"/>
        <w:spacing w:after="0" w:line="274" w:lineRule="auto"/>
        <w:rPr>
          <w:sz w:val="20"/>
          <w:szCs w:val="20"/>
          <w:color w:val="auto"/>
        </w:rPr>
      </w:pPr>
      <w:r>
        <w:rPr>
          <w:rFonts w:ascii="Arial" w:cs="Arial" w:eastAsia="Arial" w:hAnsi="Arial"/>
          <w:sz w:val="17"/>
          <w:szCs w:val="17"/>
          <w:color w:val="auto"/>
        </w:rPr>
        <w:t xml:space="preserve">Notwithstanding the foregoing or anything to the contrary herein, (i) the release of any Obligor from its guaranty of any Obligations under this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12.10 </w:t>
      </w:r>
      <w:r>
        <w:rPr>
          <w:rFonts w:ascii="Arial" w:cs="Arial" w:eastAsia="Arial" w:hAnsi="Arial"/>
          <w:sz w:val="17"/>
          <w:szCs w:val="17"/>
          <w:color w:val="auto"/>
        </w:rPr>
        <w:t>or otherwise hereunder shall only be permitted if any such permitted transaction or series of related transactions is not consummated for the primary</w:t>
      </w:r>
      <w:r>
        <w:rPr>
          <w:rFonts w:ascii="Arial" w:cs="Arial" w:eastAsia="Arial" w:hAnsi="Arial"/>
          <w:sz w:val="17"/>
          <w:szCs w:val="17"/>
          <w:b w:val="1"/>
          <w:bCs w:val="1"/>
          <w:color w:val="auto"/>
        </w:rPr>
        <w:t xml:space="preserve"> </w:t>
      </w:r>
      <w:r>
        <w:rPr>
          <w:rFonts w:ascii="Arial" w:cs="Arial" w:eastAsia="Arial" w:hAnsi="Arial"/>
          <w:sz w:val="17"/>
          <w:szCs w:val="17"/>
          <w:color w:val="auto"/>
        </w:rPr>
        <w:t>purpose of effecting a release of such Obligor from its Obligations under the Loan Documents in accordance with the terms hereof, and (ii) the Administrative Agent may not effect a release of any Obligor that ceases to be an Obligor due solely to a disposition of Equity Interests in (or issuance of Equity Interests by) such Obligor, unless in the case of this clause (ii) the transaction related to such release is a disposition of Equity Interests for fair market value to an unaffiliated third party and for a bona fide primary business purpose.</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SECTION 454. Additional Secured Parties</w:t>
      </w:r>
      <w:r>
        <w:rPr>
          <w:rFonts w:ascii="Arial" w:cs="Arial" w:eastAsia="Arial" w:hAnsi="Arial"/>
          <w:sz w:val="16"/>
          <w:szCs w:val="16"/>
          <w:color w:val="auto"/>
        </w:rPr>
        <w:t>. The benefit of the provisions of the Loan Documents directly relating to the Collateral or any Lien granted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thereunder shall extend to and be available to any Secured Party that is not a Lender as long as, by accepting such benefits, such Secured Party agrees, as among the Administrative Agent and all other Secured Parties, that such Secured Party is bound by (and, if requested by the Administrative Agent, shall confirm such agreement in a writing in form and substance acceptable to the Administrative Agent) this </w:t>
      </w:r>
      <w:r>
        <w:rPr>
          <w:rFonts w:ascii="Arial" w:cs="Arial" w:eastAsia="Arial" w:hAnsi="Arial"/>
          <w:sz w:val="16"/>
          <w:szCs w:val="16"/>
          <w:b w:val="1"/>
          <w:bCs w:val="1"/>
          <w:color w:val="auto"/>
        </w:rPr>
        <w:t>Section 12</w:t>
      </w:r>
      <w:r>
        <w:rPr>
          <w:rFonts w:ascii="Arial" w:cs="Arial" w:eastAsia="Arial" w:hAnsi="Arial"/>
          <w:sz w:val="16"/>
          <w:szCs w:val="16"/>
          <w:color w:val="auto"/>
        </w:rPr>
        <w:t xml:space="preserve"> and the decisions and actions of the Administrative Agent and the Majority Lenders (or, where expressly required by the terms of this Agreement, a greater proportion of the Lenders) to the same extent a Lender is bound;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(i) such Secured Party shall be bound by </w:t>
      </w:r>
      <w:r>
        <w:rPr>
          <w:rFonts w:ascii="Arial" w:cs="Arial" w:eastAsia="Arial" w:hAnsi="Arial"/>
          <w:sz w:val="16"/>
          <w:szCs w:val="16"/>
          <w:b w:val="1"/>
          <w:bCs w:val="1"/>
          <w:color w:val="auto"/>
        </w:rPr>
        <w:t>Section 12.08</w:t>
      </w:r>
      <w:r>
        <w:rPr>
          <w:rFonts w:ascii="Arial" w:cs="Arial" w:eastAsia="Arial" w:hAnsi="Arial"/>
          <w:sz w:val="16"/>
          <w:szCs w:val="16"/>
          <w:color w:val="auto"/>
        </w:rPr>
        <w:t xml:space="preserve"> only to the extent of liabilities, costs and expenses with respect to or otherwise relating to the Collateral held for the benefit of such Secured Party, in which case the obligations of such Secured Party thereunder shall not be limited by any concept of Proportionate Share or similar concept, (ii) each of the Administrative Agent and each Lender shall be entitled to act at its sole discretion, without regard to the interest of such Secured Party, regardless of whether any Obligation to such Secured Party thereafter remains outstanding, is deprived of the benefit of the Collateral, becomes unsecured or is otherwise affected or put in jeopardy thereby, and without any duty or liability to such Secured Party or any such Obligation and (iii) such Secured Party shall not have any right to be notified of, consent to, direct, require or be heard with respect to, any action taken or omitted in respect of the Collateral or under any Loan Document.</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SECTION 455. Agent May File Proofs of Claim</w:t>
      </w:r>
      <w:r>
        <w:rPr>
          <w:rFonts w:ascii="Arial" w:cs="Arial" w:eastAsia="Arial" w:hAnsi="Arial"/>
          <w:sz w:val="18"/>
          <w:szCs w:val="18"/>
          <w:color w:val="auto"/>
        </w:rPr>
        <w:t>. In case of the pendency of any Insolvency Proceeding or any other judicial proceeding relating to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Obligor, the Administrative Agent (irrespective of whether the principal of any Loan shall then be due and payable as herein expressed or by declaration or otherwise and irrespective of whether the Administrative Agent shall have made any demand on the Borrower or any other Obligor) shall be entitled and empowered (but not obligated) by intervention or such proceeding or otherwise:</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SECTION 456. </w:t>
      </w:r>
      <w:r>
        <w:rPr>
          <w:rFonts w:ascii="Arial" w:cs="Arial" w:eastAsia="Arial" w:hAnsi="Arial"/>
          <w:sz w:val="18"/>
          <w:szCs w:val="18"/>
          <w:color w:val="auto"/>
        </w:rPr>
        <w:t>to file and prove a claim for the whole amount of the principal and interest owing and unpaid in respect of the Loans and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8"/>
          <w:szCs w:val="18"/>
          <w:b w:val="1"/>
          <w:bCs w:val="1"/>
          <w:color w:val="auto"/>
        </w:rPr>
        <w:t>Section 14.03</w:t>
      </w:r>
      <w:r>
        <w:rPr>
          <w:rFonts w:ascii="Arial" w:cs="Arial" w:eastAsia="Arial" w:hAnsi="Arial"/>
          <w:sz w:val="18"/>
          <w:szCs w:val="18"/>
          <w:color w:val="auto"/>
        </w:rPr>
        <w:t>) allowed in such judicial proceeding;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2" w:name="page183"/>
    <w:bookmarkEnd w:id="182"/>
    <w:p>
      <w:pPr>
        <w:jc w:val="both"/>
        <w:spacing w:after="0" w:line="298" w:lineRule="auto"/>
        <w:rPr>
          <w:sz w:val="20"/>
          <w:szCs w:val="20"/>
          <w:color w:val="auto"/>
        </w:rPr>
      </w:pPr>
      <w:r>
        <w:rPr>
          <w:rFonts w:ascii="Arial" w:cs="Arial" w:eastAsia="Arial" w:hAnsi="Arial"/>
          <w:sz w:val="16"/>
          <w:szCs w:val="16"/>
          <w:b w:val="1"/>
          <w:bCs w:val="1"/>
          <w:color w:val="auto"/>
        </w:rPr>
        <w:t xml:space="preserve">SECTION 457. </w:t>
      </w:r>
      <w:r>
        <w:rPr>
          <w:rFonts w:ascii="Arial" w:cs="Arial" w:eastAsia="Arial" w:hAnsi="Arial"/>
          <w:sz w:val="16"/>
          <w:szCs w:val="16"/>
          <w:color w:val="auto"/>
        </w:rPr>
        <w:t>to collect and receive any monies or other property payable or deliverable on any such claims and to distribute the same;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custodian, receiver, assignee, trustee, liquidator, sequestrator, examiner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to the Administrative Agent under </w:t>
      </w:r>
      <w:r>
        <w:rPr>
          <w:rFonts w:ascii="Arial" w:cs="Arial" w:eastAsia="Arial" w:hAnsi="Arial"/>
          <w:sz w:val="16"/>
          <w:szCs w:val="16"/>
          <w:b w:val="1"/>
          <w:bCs w:val="1"/>
          <w:color w:val="auto"/>
        </w:rPr>
        <w:t>Section 14.03</w:t>
      </w:r>
      <w:r>
        <w:rPr>
          <w:rFonts w:ascii="Arial" w:cs="Arial" w:eastAsia="Arial" w:hAnsi="Arial"/>
          <w:sz w:val="16"/>
          <w:szCs w:val="16"/>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458. Acknowledgements of Lenders</w:t>
      </w:r>
      <w:r>
        <w:rPr>
          <w:rFonts w:ascii="Arial" w:cs="Arial" w:eastAsia="Arial" w:hAnsi="Arial"/>
          <w:sz w:val="18"/>
          <w:szCs w:val="18"/>
          <w:color w:val="auto"/>
        </w:rPr>
        <w:t>.</w:t>
      </w:r>
    </w:p>
    <w:p>
      <w:pPr>
        <w:spacing w:after="0" w:line="2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SECTION 459. </w:t>
      </w:r>
      <w:r>
        <w:rPr>
          <w:rFonts w:ascii="Arial" w:cs="Arial" w:eastAsia="Arial" w:hAnsi="Arial"/>
          <w:sz w:val="17"/>
          <w:szCs w:val="17"/>
          <w:color w:val="auto"/>
        </w:rPr>
        <w:t>If the Administrative Agent notifies a Lender, or any Person who has received funds on behalf of a Lender (any such Lender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recipient, a “</w:t>
      </w:r>
      <w:r>
        <w:rPr>
          <w:rFonts w:ascii="Arial" w:cs="Arial" w:eastAsia="Arial" w:hAnsi="Arial"/>
          <w:sz w:val="17"/>
          <w:szCs w:val="17"/>
          <w:b w:val="1"/>
          <w:bCs w:val="1"/>
          <w:i w:val="1"/>
          <w:iCs w:val="1"/>
          <w:color w:val="auto"/>
        </w:rPr>
        <w:t>Payment Recipient</w:t>
      </w:r>
      <w:r>
        <w:rPr>
          <w:rFonts w:ascii="Arial" w:cs="Arial" w:eastAsia="Arial" w:hAnsi="Arial"/>
          <w:sz w:val="17"/>
          <w:szCs w:val="17"/>
          <w:color w:val="auto"/>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Arial" w:cs="Arial" w:eastAsia="Arial" w:hAnsi="Arial"/>
          <w:sz w:val="17"/>
          <w:szCs w:val="17"/>
          <w:b w:val="1"/>
          <w:bCs w:val="1"/>
          <w:i w:val="1"/>
          <w:iCs w:val="1"/>
          <w:color w:val="auto"/>
        </w:rPr>
        <w:t>Erroneous Payment</w:t>
      </w:r>
      <w:r>
        <w:rPr>
          <w:rFonts w:ascii="Arial" w:cs="Arial" w:eastAsia="Arial" w:hAnsi="Arial"/>
          <w:sz w:val="17"/>
          <w:szCs w:val="17"/>
          <w:color w:val="auto"/>
        </w:rPr>
        <w:t xml:space="preserve">”) and demands in writing the return of such Erroneous Payment (or a portion thereof), such Erroneous Payment shall at all times remain the property of the Administrative Agent pending its return or repayment as contemplated below in this </w:t>
      </w:r>
      <w:r>
        <w:rPr>
          <w:rFonts w:ascii="Arial" w:cs="Arial" w:eastAsia="Arial" w:hAnsi="Arial"/>
          <w:sz w:val="17"/>
          <w:szCs w:val="17"/>
          <w:b w:val="1"/>
          <w:bCs w:val="1"/>
          <w:color w:val="auto"/>
        </w:rPr>
        <w:t>Section 12.13</w:t>
      </w:r>
      <w:r>
        <w:rPr>
          <w:rFonts w:ascii="Arial" w:cs="Arial" w:eastAsia="Arial" w:hAnsi="Arial"/>
          <w:sz w:val="17"/>
          <w:szCs w:val="17"/>
          <w:color w:val="auto"/>
        </w:rPr>
        <w:t xml:space="preserve"> and held in trust for the benefit of the Administrative Agent, and such Lender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its sole discretion)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3" w:name="page184"/>
    <w:bookmarkEnd w:id="183"/>
    <w:p>
      <w:pPr>
        <w:jc w:val="both"/>
        <w:spacing w:after="0" w:line="285" w:lineRule="auto"/>
        <w:rPr>
          <w:sz w:val="20"/>
          <w:szCs w:val="20"/>
          <w:color w:val="auto"/>
        </w:rPr>
      </w:pPr>
      <w:r>
        <w:rPr>
          <w:rFonts w:ascii="Arial" w:cs="Arial" w:eastAsia="Arial" w:hAnsi="Arial"/>
          <w:sz w:val="16"/>
          <w:szCs w:val="16"/>
          <w:b w:val="1"/>
          <w:bCs w:val="1"/>
          <w:color w:val="auto"/>
        </w:rPr>
        <w:t xml:space="preserve">SECTION 460. </w:t>
      </w:r>
      <w:r>
        <w:rPr>
          <w:rFonts w:ascii="Arial" w:cs="Arial" w:eastAsia="Arial" w:hAnsi="Arial"/>
          <w:sz w:val="16"/>
          <w:szCs w:val="16"/>
          <w:color w:val="auto"/>
        </w:rPr>
        <w:t>Without limiting immediately preceding clause (a), each Payment Recipient hereby further agrees that if it receives a payment, prepayment</w:t>
      </w:r>
      <w:r>
        <w:rPr>
          <w:rFonts w:ascii="Arial" w:cs="Arial" w:eastAsia="Arial" w:hAnsi="Arial"/>
          <w:sz w:val="16"/>
          <w:szCs w:val="16"/>
          <w:b w:val="1"/>
          <w:bCs w:val="1"/>
          <w:color w:val="auto"/>
        </w:rPr>
        <w:t xml:space="preserve"> </w:t>
      </w:r>
      <w:r>
        <w:rPr>
          <w:rFonts w:ascii="Arial" w:cs="Arial" w:eastAsia="Arial" w:hAnsi="Arial"/>
          <w:sz w:val="16"/>
          <w:szCs w:val="16"/>
          <w:color w:val="auto"/>
        </w:rPr>
        <w:t>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(a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(y) that was not preceded or accompanied by a Payment Notice, or (z) that such Payment Recipient otherwise becomes aware was transmitted,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received, in error or by mistake (in whole or in part), then in each such case: (i) it acknowledges and agrees that (A) in the case of immediately preceding clauses (x) or (y), an error and mistake shall be presumed to have been made (absent written confirmation from the Administrative Agent to the contrary) or</w:t>
      </w:r>
    </w:p>
    <w:p>
      <w:pPr>
        <w:spacing w:after="0" w:line="1" w:lineRule="exact"/>
        <w:rPr>
          <w:sz w:val="20"/>
          <w:szCs w:val="20"/>
          <w:color w:val="auto"/>
        </w:rPr>
      </w:pPr>
    </w:p>
    <w:p>
      <w:pPr>
        <w:jc w:val="both"/>
        <w:ind w:firstLine="8"/>
        <w:spacing w:after="0" w:line="295" w:lineRule="auto"/>
        <w:tabs>
          <w:tab w:leader="none" w:pos="306"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an error and mistake has been made (in the case of immediately preceding clause (z)), in each case, with respect to such payment, prepayment or repayment; and (ii) such Payment Recipient shall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w:t>
      </w:r>
      <w:r>
        <w:rPr>
          <w:rFonts w:ascii="Arial" w:cs="Arial" w:eastAsia="Arial" w:hAnsi="Arial"/>
          <w:sz w:val="16"/>
          <w:szCs w:val="16"/>
          <w:b w:val="1"/>
          <w:bCs w:val="1"/>
          <w:color w:val="auto"/>
        </w:rPr>
        <w:t>Section 12.13(b)(ii)</w:t>
      </w:r>
      <w:r>
        <w:rPr>
          <w:rFonts w:ascii="Arial" w:cs="Arial" w:eastAsia="Arial" w:hAnsi="Arial"/>
          <w:sz w:val="16"/>
          <w:szCs w:val="16"/>
          <w:color w:val="auto"/>
        </w:rPr>
        <w:t>.</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461. </w:t>
      </w:r>
      <w:r>
        <w:rPr>
          <w:rFonts w:ascii="Arial" w:cs="Arial" w:eastAsia="Arial" w:hAnsi="Arial"/>
          <w:sz w:val="18"/>
          <w:szCs w:val="18"/>
          <w:color w:val="auto"/>
        </w:rPr>
        <w:t>Each Lender hereby authorizes the Administrative Agent to set off, net and apply any and all amounts at any time owing to such Lender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any Loan Document, or otherwise payable or distributable by the Administrative Agent to such Lender under any Loan Document with respect to any payment of principal, interest, fees or other amounts, against any amount that the Administrative Agent has demanded to be returned under the preceding </w:t>
      </w:r>
      <w:r>
        <w:rPr>
          <w:rFonts w:ascii="Arial" w:cs="Arial" w:eastAsia="Arial" w:hAnsi="Arial"/>
          <w:sz w:val="18"/>
          <w:szCs w:val="18"/>
          <w:b w:val="1"/>
          <w:bCs w:val="1"/>
          <w:color w:val="auto"/>
        </w:rPr>
        <w:t xml:space="preserve">clause (a) </w:t>
      </w:r>
      <w:r>
        <w:rPr>
          <w:rFonts w:ascii="Arial" w:cs="Arial" w:eastAsia="Arial" w:hAnsi="Arial"/>
          <w:sz w:val="18"/>
          <w:szCs w:val="18"/>
          <w:color w:val="auto"/>
        </w:rPr>
        <w:t>above.</w:t>
      </w:r>
    </w:p>
    <w:p>
      <w:pPr>
        <w:spacing w:after="0" w:line="18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 xml:space="preserve">SECTION 462. </w:t>
      </w:r>
      <w:r>
        <w:rPr>
          <w:rFonts w:ascii="Arial" w:cs="Arial" w:eastAsia="Arial" w:hAnsi="Arial"/>
          <w:sz w:val="16"/>
          <w:szCs w:val="16"/>
          <w:color w:val="auto"/>
        </w:rPr>
        <w:t>In the event that an Erroneous Payment (or portion thereof) is not recovered by the Administrative Agent for any reason, after demand</w:t>
      </w:r>
      <w:r>
        <w:rPr>
          <w:rFonts w:ascii="Arial" w:cs="Arial" w:eastAsia="Arial" w:hAnsi="Arial"/>
          <w:sz w:val="16"/>
          <w:szCs w:val="16"/>
          <w:b w:val="1"/>
          <w:bCs w:val="1"/>
          <w:color w:val="auto"/>
        </w:rPr>
        <w:t xml:space="preserve"> </w:t>
      </w:r>
      <w:r>
        <w:rPr>
          <w:rFonts w:ascii="Arial" w:cs="Arial" w:eastAsia="Arial" w:hAnsi="Arial"/>
          <w:sz w:val="16"/>
          <w:szCs w:val="16"/>
          <w:color w:val="auto"/>
        </w:rPr>
        <w:t>therefor by the Administrative Agent in accordance with the preceding clause (a) above, from any Lender that has received such Erroneous Payment (or portion thereof) (and/or from any Payment Recipient who received such Erroneous Payment (or portion thereof) on its respective behalf) (such unrecovered amount, an “</w:t>
      </w:r>
      <w:r>
        <w:rPr>
          <w:rFonts w:ascii="Arial" w:cs="Arial" w:eastAsia="Arial" w:hAnsi="Arial"/>
          <w:sz w:val="16"/>
          <w:szCs w:val="16"/>
          <w:b w:val="1"/>
          <w:bCs w:val="1"/>
          <w:i w:val="1"/>
          <w:iCs w:val="1"/>
          <w:color w:val="auto"/>
        </w:rPr>
        <w:t>Erroneous Payment Return Deficiency</w:t>
      </w:r>
      <w:r>
        <w:rPr>
          <w:rFonts w:ascii="Arial" w:cs="Arial" w:eastAsia="Arial" w:hAnsi="Arial"/>
          <w:sz w:val="16"/>
          <w:szCs w:val="16"/>
          <w:color w:val="auto"/>
        </w:rPr>
        <w:t>”), upon the Administrative Agent’s notice to such Lender at any time, then effective immediately (with the consideration therefor being acknowledged by the parties hereto), (i) such Lender shall be deemed to have assigned its Loans (but not its Commitments) with respect to which such Erroneous Payment was made (the “</w:t>
      </w:r>
      <w:r>
        <w:rPr>
          <w:rFonts w:ascii="Arial" w:cs="Arial" w:eastAsia="Arial" w:hAnsi="Arial"/>
          <w:sz w:val="16"/>
          <w:szCs w:val="16"/>
          <w:b w:val="1"/>
          <w:bCs w:val="1"/>
          <w:i w:val="1"/>
          <w:iCs w:val="1"/>
          <w:color w:val="auto"/>
        </w:rPr>
        <w:t>Erroneous Payment Impacted Loans</w:t>
      </w:r>
      <w:r>
        <w:rPr>
          <w:rFonts w:ascii="Arial" w:cs="Arial" w:eastAsia="Arial" w:hAnsi="Arial"/>
          <w:sz w:val="16"/>
          <w:szCs w:val="16"/>
          <w:color w:val="auto"/>
        </w:rPr>
        <w:t>”) in an amount equal to the Erroneous Payment Return Deficiency (or such lesser amount as the Administrative Agent may specify) (such assignment of the Loans (but not Commitments) of the Erroneous Payment Impacted Loans, the “</w:t>
      </w:r>
      <w:r>
        <w:rPr>
          <w:rFonts w:ascii="Arial" w:cs="Arial" w:eastAsia="Arial" w:hAnsi="Arial"/>
          <w:sz w:val="16"/>
          <w:szCs w:val="16"/>
          <w:b w:val="1"/>
          <w:bCs w:val="1"/>
          <w:i w:val="1"/>
          <w:iCs w:val="1"/>
          <w:color w:val="auto"/>
        </w:rPr>
        <w:t>Erroneous Payment Deficiency Assignment</w:t>
      </w:r>
      <w:r>
        <w:rPr>
          <w:rFonts w:ascii="Arial" w:cs="Arial" w:eastAsia="Arial" w:hAnsi="Arial"/>
          <w:sz w:val="16"/>
          <w:szCs w:val="16"/>
          <w:color w:val="auto"/>
        </w:rPr>
        <w:t>”) (on a cashless basis and such amount calculated at par plus any accrued and unpaid interest (with the assignment fee to be waived by the Administrative Agent in such instance)), and is hereby (together with the Borrower) deemed to execute and deliver an Assignment and Assumption with respect to such Erroneous Payment Deficiency Assignment, and such Lender shall deliver any Notes evidencing such Loans to the Borrower or the Administrative Agent (but the failure of such Person to deliver any such notes shall not affect the effectiveness of the foregoing assignment), (ii) the Administrative Agent as the assignee Lender shall be deemed to have acquired the Erroneous Payment Deficiency Assignment, (iii)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(iv) the Administrative Agent and the Borrower shall each be deemed to have waived any consents required under this Agreement to any such Erroneous Payment Deficiency Assignment, and</w:t>
      </w:r>
    </w:p>
    <w:p>
      <w:pPr>
        <w:spacing w:after="0" w:line="2" w:lineRule="exact"/>
        <w:rPr>
          <w:sz w:val="20"/>
          <w:szCs w:val="20"/>
          <w:color w:val="auto"/>
        </w:rPr>
      </w:pPr>
    </w:p>
    <w:p>
      <w:pPr>
        <w:jc w:val="both"/>
        <w:ind w:firstLine="8"/>
        <w:spacing w:after="0" w:line="267" w:lineRule="auto"/>
        <w:tabs>
          <w:tab w:leader="none" w:pos="278"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the Administrative Agent will reflect in the Register its ownership interest in the Loans subject to the Erroneous Payment Deficiency Assignment. Subject to </w:t>
      </w:r>
      <w:r>
        <w:rPr>
          <w:rFonts w:ascii="Arial" w:cs="Arial" w:eastAsia="Arial" w:hAnsi="Arial"/>
          <w:sz w:val="17"/>
          <w:szCs w:val="17"/>
          <w:b w:val="1"/>
          <w:bCs w:val="1"/>
          <w:color w:val="auto"/>
        </w:rPr>
        <w:t>Section 14.05</w:t>
      </w:r>
      <w:r>
        <w:rPr>
          <w:rFonts w:ascii="Arial" w:cs="Arial" w:eastAsia="Arial" w:hAnsi="Arial"/>
          <w:sz w:val="17"/>
          <w:szCs w:val="17"/>
          <w:color w:val="auto"/>
        </w:rPr>
        <w:t>, (but excluding, in all events, any assignment consent or approval requirements (whether from the Borrower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For the avoidance of doubt, no Erroneous Payment Deficiency Assignment will reduce the Commitments of any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under the Loan Documents with respect to each Erroneous Payment Return Deficiency (the “</w:t>
      </w:r>
      <w:r>
        <w:rPr>
          <w:rFonts w:ascii="Arial" w:cs="Arial" w:eastAsia="Arial" w:hAnsi="Arial"/>
          <w:sz w:val="17"/>
          <w:szCs w:val="17"/>
          <w:b w:val="1"/>
          <w:bCs w:val="1"/>
          <w:i w:val="1"/>
          <w:iCs w:val="1"/>
          <w:color w:val="auto"/>
        </w:rPr>
        <w:t>Erroneous Payment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Subrogation Rights</w:t>
      </w:r>
      <w:r>
        <w:rPr>
          <w:rFonts w:ascii="Arial" w:cs="Arial" w:eastAsia="Arial" w:hAnsi="Arial"/>
          <w:sz w:val="17"/>
          <w:szCs w:val="17"/>
          <w:color w:val="auto"/>
        </w:rPr>
        <w:t>”) (provided, that the Obligors’ Obligations under the Loan Documents in respect of the Erroneous Payment Subrogation Rights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 be duplicative of such Obligations in respect of Loans that have been assigned to the Administrative Agent under an Erroneous Payment Deficiency Assignment).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4" w:name="page185"/>
    <w:bookmarkEnd w:id="184"/>
    <w:p>
      <w:pPr>
        <w:jc w:val="both"/>
        <w:spacing w:after="0" w:line="255" w:lineRule="auto"/>
        <w:rPr>
          <w:sz w:val="20"/>
          <w:szCs w:val="20"/>
          <w:color w:val="auto"/>
        </w:rPr>
      </w:pPr>
      <w:r>
        <w:rPr>
          <w:rFonts w:ascii="Arial" w:cs="Arial" w:eastAsia="Arial" w:hAnsi="Arial"/>
          <w:sz w:val="18"/>
          <w:szCs w:val="18"/>
          <w:b w:val="1"/>
          <w:bCs w:val="1"/>
          <w:color w:val="auto"/>
        </w:rPr>
        <w:t xml:space="preserve">SECTION 463. </w:t>
      </w:r>
      <w:r>
        <w:rPr>
          <w:rFonts w:ascii="Arial" w:cs="Arial" w:eastAsia="Arial" w:hAnsi="Arial"/>
          <w:sz w:val="18"/>
          <w:szCs w:val="18"/>
          <w:color w:val="auto"/>
        </w:rPr>
        <w:t>The parties hereto agree that an Erroneous Payment shall not pay, prepay, repay, discharge or otherwise satisfy any Obligations owed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Borrower or any other Obligor; provided, that this </w:t>
      </w:r>
      <w:r>
        <w:rPr>
          <w:rFonts w:ascii="Arial" w:cs="Arial" w:eastAsia="Arial" w:hAnsi="Arial"/>
          <w:sz w:val="18"/>
          <w:szCs w:val="18"/>
          <w:b w:val="1"/>
          <w:bCs w:val="1"/>
          <w:color w:val="auto"/>
        </w:rPr>
        <w:t>Section 12.13</w:t>
      </w:r>
      <w:r>
        <w:rPr>
          <w:rFonts w:ascii="Arial" w:cs="Arial" w:eastAsia="Arial" w:hAnsi="Arial"/>
          <w:sz w:val="18"/>
          <w:szCs w:val="18"/>
          <w:color w:val="auto"/>
        </w:rPr>
        <w:t xml:space="preserve">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the last sentence of clause (d) above and this </w:t>
      </w:r>
      <w:r>
        <w:rPr>
          <w:rFonts w:ascii="Arial" w:cs="Arial" w:eastAsia="Arial" w:hAnsi="Arial"/>
          <w:sz w:val="18"/>
          <w:szCs w:val="18"/>
          <w:b w:val="1"/>
          <w:bCs w:val="1"/>
          <w:color w:val="auto"/>
        </w:rPr>
        <w:t>clause (e)</w:t>
      </w:r>
      <w:r>
        <w:rPr>
          <w:rFonts w:ascii="Arial" w:cs="Arial" w:eastAsia="Arial" w:hAnsi="Arial"/>
          <w:sz w:val="18"/>
          <w:szCs w:val="18"/>
          <w:color w:val="auto"/>
        </w:rPr>
        <w:t xml:space="preserve"> shall not apply to the extent such Erroneous Payment is, and solely with respect to the amount of such Erroneous Payment that is, comprised of funds received by the Administrative Agent from the Borrower or any other Obligor for the purpose of making such Erroneous Payment.</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464. </w:t>
      </w:r>
      <w:r>
        <w:rPr>
          <w:rFonts w:ascii="Arial" w:cs="Arial" w:eastAsia="Arial" w:hAnsi="Arial"/>
          <w:sz w:val="18"/>
          <w:szCs w:val="18"/>
          <w:color w:val="auto"/>
        </w:rPr>
        <w:t>To the extent permitted by applicable law, no Payment Recipient shall assert any right or claim to an Erroneous Payment, and hereby</w:t>
      </w:r>
      <w:r>
        <w:rPr>
          <w:rFonts w:ascii="Arial" w:cs="Arial" w:eastAsia="Arial" w:hAnsi="Arial"/>
          <w:sz w:val="18"/>
          <w:szCs w:val="18"/>
          <w:b w:val="1"/>
          <w:bCs w:val="1"/>
          <w:color w:val="auto"/>
        </w:rPr>
        <w:t xml:space="preserve"> </w:t>
      </w:r>
      <w:r>
        <w:rPr>
          <w:rFonts w:ascii="Arial" w:cs="Arial" w:eastAsia="Arial" w:hAnsi="Arial"/>
          <w:sz w:val="18"/>
          <w:szCs w:val="18"/>
          <w:color w:val="auto"/>
        </w:rPr>
        <w:t>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465. </w:t>
      </w:r>
      <w:r>
        <w:rPr>
          <w:rFonts w:ascii="Arial" w:cs="Arial" w:eastAsia="Arial" w:hAnsi="Arial"/>
          <w:sz w:val="18"/>
          <w:szCs w:val="18"/>
          <w:color w:val="auto"/>
        </w:rPr>
        <w:t>Each party’s obligations, agreements and waivers under this</w:t>
      </w:r>
      <w:r>
        <w:rPr>
          <w:rFonts w:ascii="Arial" w:cs="Arial" w:eastAsia="Arial" w:hAnsi="Arial"/>
          <w:sz w:val="18"/>
          <w:szCs w:val="18"/>
          <w:b w:val="1"/>
          <w:bCs w:val="1"/>
          <w:color w:val="auto"/>
        </w:rPr>
        <w:t xml:space="preserve"> Section 12.13(g) </w:t>
      </w:r>
      <w:r>
        <w:rPr>
          <w:rFonts w:ascii="Arial" w:cs="Arial" w:eastAsia="Arial" w:hAnsi="Arial"/>
          <w:sz w:val="18"/>
          <w:szCs w:val="18"/>
          <w:color w:val="auto"/>
        </w:rPr>
        <w:t>shall survive the resignation or replacement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any transfer of rights or obligations by, or the replacement of, a Lender, the termination of the Commitments and/or the repayment, satisfaction or discharge of all Obligations (or any portion thereof) under any Loan Document.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color w:val="auto"/>
        </w:rPr>
        <w:t xml:space="preserve">SECTION 466. </w:t>
      </w:r>
      <w:r>
        <w:rPr>
          <w:rFonts w:ascii="Arial" w:cs="Arial" w:eastAsia="Arial" w:hAnsi="Arial"/>
          <w:sz w:val="18"/>
          <w:szCs w:val="18"/>
          <w:color w:val="auto"/>
        </w:rPr>
        <w:t>GUARANTY</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SECTION 467. The Guaranty</w:t>
      </w:r>
      <w:r>
        <w:rPr>
          <w:rFonts w:ascii="Arial" w:cs="Arial" w:eastAsia="Arial" w:hAnsi="Arial"/>
          <w:sz w:val="17"/>
          <w:szCs w:val="17"/>
          <w:color w:val="auto"/>
        </w:rPr>
        <w:t>. The Guarantors hereby unconditionally jointly and severally guarantee to the Administrative Agent and the Lenders,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successors and assigns, the full and punctual payment in full or performance (whether at stated maturity, by acceleration or otherwise) of the Obligations, including (i) principal of and interest on the Loans, (ii) all fees and other amounts and Obligations from time to time owing to the Administrative Agent and the Lenders by the Borrower and each other Obligor under this Agreement or under any other Loan Document, in each case strictly in accordance with the terms hereof and thereof and (iii) the punctual and faithful performance, keeping, observance and fulfillment by the Borrower and Guarantors of all the agreements, conditions, covenants and obligations of the Borrower and Guarantors contained in the Loan Documents (such obligations being herein collectively called the “</w:t>
      </w:r>
      <w:r>
        <w:rPr>
          <w:rFonts w:ascii="Arial" w:cs="Arial" w:eastAsia="Arial" w:hAnsi="Arial"/>
          <w:sz w:val="17"/>
          <w:szCs w:val="17"/>
          <w:b w:val="1"/>
          <w:bCs w:val="1"/>
          <w:i w:val="1"/>
          <w:iCs w:val="1"/>
          <w:color w:val="auto"/>
        </w:rPr>
        <w:t>Guaranteed Obligations</w:t>
      </w:r>
      <w:r>
        <w:rPr>
          <w:rFonts w:ascii="Arial" w:cs="Arial" w:eastAsia="Arial" w:hAnsi="Arial"/>
          <w:sz w:val="17"/>
          <w:szCs w:val="17"/>
          <w:color w:val="auto"/>
        </w:rPr>
        <w:t>”). The Guarantors hereby further jointly and severally agree that if the Borrower or any other Obligor shall fail to pay any amount in full when due or perform any such obligation (whether at stated maturity, by acceleration or otherwise), the Guarantors will promptly pay the same or perform such obligation at the place and in the manner specified herein or in the relevant Loan Document, as the case may be, without any demand or notice whatsoever, and that in the case of any extension of time of payment or performance or renewal of any of the Guaranteed Obligations, the same will be promptly paid in full or performed when due (whether at extended maturity, by acceleration or otherwise) in accordance with the terms of such extension or renewal.</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SECTION 468. Obligations Unconditional</w:t>
      </w:r>
      <w:r>
        <w:rPr>
          <w:rFonts w:ascii="Arial" w:cs="Arial" w:eastAsia="Arial" w:hAnsi="Arial"/>
          <w:sz w:val="17"/>
          <w:szCs w:val="17"/>
          <w:color w:val="auto"/>
        </w:rPr>
        <w:t>. The obligations of the Guarantors under</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Section 13.01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shall constitute a guaranty of payment and performance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and not of collection and are absolute and unconditional, joint and several, irrespective of the value, genuineness, validity, regularity or enforceability of the Guaranteed Obligations under this Agreement or any other agreement or instrument referred to herein, or any substitution, release or exchange of any other guarantee of or security for any of the Guaranteed Obligations, and, to the fullest extent permitted by all applicable Laws, irrespective of any other circumstance whatsoever that might otherwise constitute a legal or equitable discharge or defense of a surety or guarantor, it being the intent of this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13.02 </w:t>
      </w:r>
      <w:r>
        <w:rPr>
          <w:rFonts w:ascii="Arial" w:cs="Arial" w:eastAsia="Arial" w:hAnsi="Arial"/>
          <w:sz w:val="17"/>
          <w:szCs w:val="17"/>
          <w:color w:val="auto"/>
        </w:rPr>
        <w:t>that the obligations of the Guarantors hereunder shall be absolute and unconditional, joint and several, under any and all circumstances.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limiting the generality of the foregoing, it is agreed that the occurrence of any one or more of the following shall not alter or impair the liability of the Guarantors hereunder, which shall remain absolute and unconditional as described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6" w:name="page187"/>
    <w:bookmarkEnd w:id="186"/>
    <w:p>
      <w:pPr>
        <w:jc w:val="both"/>
        <w:spacing w:after="0" w:line="282" w:lineRule="auto"/>
        <w:rPr>
          <w:sz w:val="20"/>
          <w:szCs w:val="20"/>
          <w:color w:val="auto"/>
        </w:rPr>
      </w:pPr>
      <w:r>
        <w:rPr>
          <w:rFonts w:ascii="Arial" w:cs="Arial" w:eastAsia="Arial" w:hAnsi="Arial"/>
          <w:sz w:val="18"/>
          <w:szCs w:val="18"/>
          <w:b w:val="1"/>
          <w:bCs w:val="1"/>
          <w:color w:val="auto"/>
        </w:rPr>
        <w:t xml:space="preserve">SECTION 469. </w:t>
      </w:r>
      <w:r>
        <w:rPr>
          <w:rFonts w:ascii="Arial" w:cs="Arial" w:eastAsia="Arial" w:hAnsi="Arial"/>
          <w:sz w:val="18"/>
          <w:szCs w:val="18"/>
          <w:color w:val="auto"/>
        </w:rPr>
        <w:t>at any time or from time to time, without notice to the Guarantors, the time for any performance of or compliance with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Guaranteed Obligations shall be extended, or such performance or compliance shall be waived;</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470. </w:t>
      </w:r>
      <w:r>
        <w:rPr>
          <w:rFonts w:ascii="Arial" w:cs="Arial" w:eastAsia="Arial" w:hAnsi="Arial"/>
          <w:sz w:val="18"/>
          <w:szCs w:val="18"/>
          <w:color w:val="auto"/>
        </w:rPr>
        <w:t>any of the acts mentioned in any of the provisions of this Agreement or any other agreement or instrument referred to herein shall be done</w:t>
      </w:r>
      <w:r>
        <w:rPr>
          <w:rFonts w:ascii="Arial" w:cs="Arial" w:eastAsia="Arial" w:hAnsi="Arial"/>
          <w:sz w:val="18"/>
          <w:szCs w:val="18"/>
          <w:b w:val="1"/>
          <w:bCs w:val="1"/>
          <w:color w:val="auto"/>
        </w:rPr>
        <w:t xml:space="preserve"> </w:t>
      </w:r>
      <w:r>
        <w:rPr>
          <w:rFonts w:ascii="Arial" w:cs="Arial" w:eastAsia="Arial" w:hAnsi="Arial"/>
          <w:sz w:val="18"/>
          <w:szCs w:val="18"/>
          <w:color w:val="auto"/>
        </w:rPr>
        <w:t>or omitted;</w:t>
      </w:r>
    </w:p>
    <w:p>
      <w:pPr>
        <w:spacing w:after="0" w:line="16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SECTION 471. </w:t>
      </w:r>
      <w:r>
        <w:rPr>
          <w:rFonts w:ascii="Arial" w:cs="Arial" w:eastAsia="Arial" w:hAnsi="Arial"/>
          <w:sz w:val="16"/>
          <w:szCs w:val="16"/>
          <w:color w:val="auto"/>
        </w:rPr>
        <w:t>the maturity of any of the Guaranteed Obligations shall be accelerated, or any of the Guaranteed Obligations shall be extended, modified,</w:t>
      </w:r>
      <w:r>
        <w:rPr>
          <w:rFonts w:ascii="Arial" w:cs="Arial" w:eastAsia="Arial" w:hAnsi="Arial"/>
          <w:sz w:val="16"/>
          <w:szCs w:val="16"/>
          <w:b w:val="1"/>
          <w:bCs w:val="1"/>
          <w:color w:val="auto"/>
        </w:rPr>
        <w:t xml:space="preserve"> </w:t>
      </w:r>
      <w:r>
        <w:rPr>
          <w:rFonts w:ascii="Arial" w:cs="Arial" w:eastAsia="Arial" w:hAnsi="Arial"/>
          <w:sz w:val="16"/>
          <w:szCs w:val="16"/>
          <w:color w:val="auto"/>
        </w:rPr>
        <w:t>supplemented or amended in any respect, or any right under this Agreement or any other agreement or instrument referred to herein shall be waived or any other guarantee of any of the Guaranteed Obligations or any security therefor shall be released or exchanged in whole or in part or otherwise dealt with;</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472. </w:t>
      </w:r>
      <w:r>
        <w:rPr>
          <w:rFonts w:ascii="Arial" w:cs="Arial" w:eastAsia="Arial" w:hAnsi="Arial"/>
          <w:sz w:val="18"/>
          <w:szCs w:val="18"/>
          <w:color w:val="auto"/>
        </w:rPr>
        <w:t>any lien or security interest granted to, or in favor of, the Secured Parties as security for any of the Guaranteed Obligations shall fail to be</w:t>
      </w:r>
      <w:r>
        <w:rPr>
          <w:rFonts w:ascii="Arial" w:cs="Arial" w:eastAsia="Arial" w:hAnsi="Arial"/>
          <w:sz w:val="18"/>
          <w:szCs w:val="18"/>
          <w:b w:val="1"/>
          <w:bCs w:val="1"/>
          <w:color w:val="auto"/>
        </w:rPr>
        <w:t xml:space="preserve"> </w:t>
      </w:r>
      <w:r>
        <w:rPr>
          <w:rFonts w:ascii="Arial" w:cs="Arial" w:eastAsia="Arial" w:hAnsi="Arial"/>
          <w:sz w:val="18"/>
          <w:szCs w:val="18"/>
          <w:color w:val="auto"/>
        </w:rPr>
        <w:t>perfected or preserved;</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473. </w:t>
      </w:r>
      <w:r>
        <w:rPr>
          <w:rFonts w:ascii="Arial" w:cs="Arial" w:eastAsia="Arial" w:hAnsi="Arial"/>
          <w:sz w:val="18"/>
          <w:szCs w:val="18"/>
          <w:color w:val="auto"/>
        </w:rPr>
        <w:t>any modification or amendment of or supplement to this Agreement or any other Loan Document, including any such amendment which</w:t>
      </w:r>
      <w:r>
        <w:rPr>
          <w:rFonts w:ascii="Arial" w:cs="Arial" w:eastAsia="Arial" w:hAnsi="Arial"/>
          <w:sz w:val="18"/>
          <w:szCs w:val="18"/>
          <w:b w:val="1"/>
          <w:bCs w:val="1"/>
          <w:color w:val="auto"/>
        </w:rPr>
        <w:t xml:space="preserve"> </w:t>
      </w:r>
      <w:r>
        <w:rPr>
          <w:rFonts w:ascii="Arial" w:cs="Arial" w:eastAsia="Arial" w:hAnsi="Arial"/>
          <w:sz w:val="18"/>
          <w:szCs w:val="18"/>
          <w:color w:val="auto"/>
        </w:rPr>
        <w:t>may increase the amount of, or the interest rates applicable to, any of the Guaranteed Obligations guaranteed hereby;</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474. </w:t>
      </w:r>
      <w:r>
        <w:rPr>
          <w:rFonts w:ascii="Arial" w:cs="Arial" w:eastAsia="Arial" w:hAnsi="Arial"/>
          <w:sz w:val="18"/>
          <w:szCs w:val="18"/>
          <w:color w:val="auto"/>
        </w:rPr>
        <w:t>any change in the corporate, partnership, limited liability company or other existence, structure or ownership of the Borrower, any</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 or any other guarantor of any of the Guaranteed Obligations, or any Insolvency Proceeding or other similar proceeding affecting the Borrower, any Guarantor or any other guarantor of the Guaranteed Obligations, or any of their respective assets, or any resulting release or discharge of any obligation of the Borrower, any Guarantor or any other guarantor of any of the Guaranteed Obligations;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475. </w:t>
      </w:r>
      <w:r>
        <w:rPr>
          <w:rFonts w:ascii="Arial" w:cs="Arial" w:eastAsia="Arial" w:hAnsi="Arial"/>
          <w:sz w:val="18"/>
          <w:szCs w:val="18"/>
          <w:color w:val="auto"/>
        </w:rPr>
        <w:t>the existence of any claim, setoff or other rights which any Guarantor may have at any time against the Borrower, any other Guarantor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other guarantor of any of the Guaranteed Obligations, the Administrative Agent, any Secured Party or any other Person, whether in connection herewith or in connection with any unrelated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 other provisions in this Guaranty, nothing in this Guaranty shall prevent the assertion of any such claim by separate suit or compulsory counterclaim;</w:t>
      </w:r>
    </w:p>
    <w:p>
      <w:pPr>
        <w:spacing w:after="0" w:line="18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SECTION 476. </w:t>
      </w:r>
      <w:r>
        <w:rPr>
          <w:rFonts w:ascii="Arial" w:cs="Arial" w:eastAsia="Arial" w:hAnsi="Arial"/>
          <w:sz w:val="16"/>
          <w:szCs w:val="16"/>
          <w:color w:val="auto"/>
        </w:rPr>
        <w:t>the unenforceability or invalidity of the Guaranteed Obligations or any part thereof or the lack of genuineness, enforceability or validity of</w:t>
      </w:r>
      <w:r>
        <w:rPr>
          <w:rFonts w:ascii="Arial" w:cs="Arial" w:eastAsia="Arial" w:hAnsi="Arial"/>
          <w:sz w:val="16"/>
          <w:szCs w:val="16"/>
          <w:b w:val="1"/>
          <w:bCs w:val="1"/>
          <w:color w:val="auto"/>
        </w:rPr>
        <w:t xml:space="preserve"> </w:t>
      </w:r>
      <w:r>
        <w:rPr>
          <w:rFonts w:ascii="Arial" w:cs="Arial" w:eastAsia="Arial" w:hAnsi="Arial"/>
          <w:sz w:val="16"/>
          <w:szCs w:val="16"/>
          <w:color w:val="auto"/>
        </w:rPr>
        <w:t>any agreement relating thereto or with respect to the Collateral, if any, securing the Guaranteed Obligations or any part thereof, or any other invalidity or unenforceability relating to or against the Borrower, any Guarantor or any other guarantor of any of the Guaranteed Obligations, for any reason, related to this Agreement or any other Loan Document, or any provision of applicable Law, decree, order or regulation of any jurisdiction purporting to prohibit the payment of any of the Guaranteed Obligations by the Borrower, any Guarantor or any other guarantor of the Guaranteed Obligations;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7" w:name="page188"/>
    <w:bookmarkEnd w:id="187"/>
    <w:p>
      <w:pPr>
        <w:jc w:val="both"/>
        <w:spacing w:after="0" w:line="282" w:lineRule="auto"/>
        <w:rPr>
          <w:sz w:val="20"/>
          <w:szCs w:val="20"/>
          <w:color w:val="auto"/>
        </w:rPr>
      </w:pPr>
      <w:r>
        <w:rPr>
          <w:rFonts w:ascii="Arial" w:cs="Arial" w:eastAsia="Arial" w:hAnsi="Arial"/>
          <w:sz w:val="18"/>
          <w:szCs w:val="18"/>
          <w:b w:val="1"/>
          <w:bCs w:val="1"/>
          <w:color w:val="auto"/>
        </w:rPr>
        <w:t xml:space="preserve">SECTION 477. </w:t>
      </w:r>
      <w:r>
        <w:rPr>
          <w:rFonts w:ascii="Arial" w:cs="Arial" w:eastAsia="Arial" w:hAnsi="Arial"/>
          <w:sz w:val="18"/>
          <w:szCs w:val="18"/>
          <w:color w:val="auto"/>
        </w:rPr>
        <w:t>the disallowance, under any state or federal bankruptcy, insolvency or similar law, of all or any portion of the claims of the Secured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or the Administrative Agent for repayment of all or any part of the Guaranteed Obligations;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478. </w:t>
      </w:r>
      <w:r>
        <w:rPr>
          <w:rFonts w:ascii="Arial" w:cs="Arial" w:eastAsia="Arial" w:hAnsi="Arial"/>
          <w:sz w:val="17"/>
          <w:szCs w:val="17"/>
          <w:color w:val="auto"/>
        </w:rPr>
        <w:t>the failure of any other guarantor to sign or become party to this Agreement or any amendment, change, or reaffirmation hereof;</w:t>
      </w: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479. </w:t>
      </w:r>
      <w:r>
        <w:rPr>
          <w:rFonts w:ascii="Arial" w:cs="Arial" w:eastAsia="Arial" w:hAnsi="Arial"/>
          <w:sz w:val="18"/>
          <w:szCs w:val="18"/>
          <w:color w:val="auto"/>
        </w:rPr>
        <w:t>any release, surrender, compromise, settlement, waiver, subordination or modification, with or without consideration, of any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securing the Guaranteed Obligations or any part thereof, any other guaranties with respect to the Guaranteed Obligations or any part thereof, or any other obligation of any person or entity with respect to the Guaranteed Obligations or any part thereof, or any nonperfection or invalidity of any direct or indirect security for the Guaranteed Obligations; or</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480. </w:t>
      </w:r>
      <w:r>
        <w:rPr>
          <w:rFonts w:ascii="Arial" w:cs="Arial" w:eastAsia="Arial" w:hAnsi="Arial"/>
          <w:sz w:val="18"/>
          <w:szCs w:val="18"/>
          <w:color w:val="auto"/>
        </w:rPr>
        <w:t>any other act or omission to act or delay of any kind by the Borrower, such Guarantor, any other guarantor of the Guaranteed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Administrative Agent, any Secured Party or any other Person or any other circumstance whatsoever which might, but for the provisions of this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13.02</w:t>
      </w:r>
      <w:r>
        <w:rPr>
          <w:rFonts w:ascii="Arial" w:cs="Arial" w:eastAsia="Arial" w:hAnsi="Arial"/>
          <w:sz w:val="18"/>
          <w:szCs w:val="18"/>
          <w:color w:val="auto"/>
        </w:rPr>
        <w:t>, constitute a legal or equitable discharge of any Guarantor’s obligations hereunder.</w:t>
      </w:r>
    </w:p>
    <w:p>
      <w:pPr>
        <w:spacing w:after="0" w:line="18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Guarantors hereby expressly waive diligence, presentment, demand of payment, protest and all notices whatsoever, and any requirement that the Administrative Agent or any Lender exhaust any right, power or remedy or proceed against the Borrower or any other Guarantor under this Agreement or any other agreement or instrument referred to herein, or against any other Person under any other guarantee of, or security for, any of the Guaranteed Obligations.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SECTION 481. Discharge Only Upon Payment in Full. </w:t>
      </w:r>
      <w:r>
        <w:rPr>
          <w:rFonts w:ascii="Arial" w:cs="Arial" w:eastAsia="Arial" w:hAnsi="Arial"/>
          <w:sz w:val="17"/>
          <w:szCs w:val="17"/>
          <w:color w:val="auto"/>
        </w:rPr>
        <w:t>Subject to any prior release herefrom of any Guarantor by the Administrative Agent in accordance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(and pursuant to authority granted to the Administrative Agent under) the terms of this Agreement, each Guarantor’s obligations hereunder shall remain in full force and effect until all of the Guaranteed Obligations shall have been paid in full in cash (other than inchoate indemnification obligations for which no claim has been made), the Administrative Agent has received duly executed copies of all Warrants (if any) and all other financing arrangements among the Borrower or any Guarantor and the Secured Parties under or in connection with this Agreement and each other Loan Document shall have terminated (herein, the “</w:t>
      </w:r>
      <w:r>
        <w:rPr>
          <w:rFonts w:ascii="Arial" w:cs="Arial" w:eastAsia="Arial" w:hAnsi="Arial"/>
          <w:sz w:val="17"/>
          <w:szCs w:val="17"/>
          <w:b w:val="1"/>
          <w:bCs w:val="1"/>
          <w:i w:val="1"/>
          <w:iCs w:val="1"/>
          <w:color w:val="auto"/>
        </w:rPr>
        <w:t>Termination Conditions</w:t>
      </w:r>
      <w:r>
        <w:rPr>
          <w:rFonts w:ascii="Arial" w:cs="Arial" w:eastAsia="Arial" w:hAnsi="Arial"/>
          <w:sz w:val="17"/>
          <w:szCs w:val="17"/>
          <w:color w:val="auto"/>
        </w:rPr>
        <w:t xml:space="preserve">”), and until the prior and complete satisfaction of the Termination Conditions all of the rights and remedies under this Guaranty and the other Loan Documents shall survive. Notwithstanding the foregoing, the Administrative Agent hereby agrees to release any Subsidiary of the Borrower from its guaranty of any Obligation of any Obligor if all of the Equity Interests in such Subsidiary owned by any Obligor or any of its Subsidiaries are disposed of as a result of a transaction permitted under and in accordance with the Loan Documents (including pursuant to a waiver or consent), to the extent that, after giving effect to such transaction, such Subsidiary would not be required to guarantee any Obligations pursuant to </w:t>
      </w:r>
      <w:r>
        <w:rPr>
          <w:rFonts w:ascii="Arial" w:cs="Arial" w:eastAsia="Arial" w:hAnsi="Arial"/>
          <w:sz w:val="17"/>
          <w:szCs w:val="17"/>
          <w:b w:val="1"/>
          <w:bCs w:val="1"/>
          <w:color w:val="auto"/>
        </w:rPr>
        <w:t>Section 8.12(a)</w:t>
      </w:r>
      <w:r>
        <w:rPr>
          <w:rFonts w:ascii="Arial" w:cs="Arial" w:eastAsia="Arial" w:hAnsi="Arial"/>
          <w:sz w:val="17"/>
          <w:szCs w:val="17"/>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8" w:name="page189"/>
    <w:bookmarkEnd w:id="188"/>
    <w:p>
      <w:pPr>
        <w:ind w:left="1300"/>
        <w:spacing w:after="0"/>
        <w:rPr>
          <w:sz w:val="20"/>
          <w:szCs w:val="20"/>
          <w:color w:val="auto"/>
        </w:rPr>
      </w:pPr>
      <w:r>
        <w:rPr>
          <w:rFonts w:ascii="Arial" w:cs="Arial" w:eastAsia="Arial" w:hAnsi="Arial"/>
          <w:sz w:val="18"/>
          <w:szCs w:val="18"/>
          <w:b w:val="1"/>
          <w:bCs w:val="1"/>
          <w:i w:val="1"/>
          <w:iCs w:val="1"/>
          <w:color w:val="auto"/>
        </w:rPr>
        <w:t>481.04 Additional Waivers; General Waivers.</w:t>
      </w:r>
    </w:p>
    <w:p>
      <w:pPr>
        <w:spacing w:after="0" w:line="225" w:lineRule="exact"/>
        <w:rPr>
          <w:sz w:val="20"/>
          <w:szCs w:val="20"/>
          <w:color w:val="auto"/>
        </w:rPr>
      </w:pPr>
    </w:p>
    <w:p>
      <w:pPr>
        <w:ind w:firstLine="656"/>
        <w:spacing w:after="0" w:line="277" w:lineRule="auto"/>
        <w:tabs>
          <w:tab w:leader="none" w:pos="911"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Additional Waivers. </w:t>
      </w:r>
      <w:r>
        <w:rPr>
          <w:rFonts w:ascii="Arial" w:cs="Arial" w:eastAsia="Arial" w:hAnsi="Arial"/>
          <w:sz w:val="18"/>
          <w:szCs w:val="18"/>
          <w:color w:val="auto"/>
        </w:rPr>
        <w:t>Notwithstanding anything herein to the contrary, each of the Guarantors hereby absolutely, unconditionally, knowingly,</w:t>
      </w:r>
      <w:r>
        <w:rPr>
          <w:rFonts w:ascii="Arial" w:cs="Arial" w:eastAsia="Arial" w:hAnsi="Arial"/>
          <w:sz w:val="18"/>
          <w:szCs w:val="18"/>
          <w:i w:val="1"/>
          <w:iCs w:val="1"/>
          <w:color w:val="auto"/>
        </w:rPr>
        <w:t xml:space="preserve"> </w:t>
      </w:r>
      <w:r>
        <w:rPr>
          <w:rFonts w:ascii="Arial" w:cs="Arial" w:eastAsia="Arial" w:hAnsi="Arial"/>
          <w:sz w:val="18"/>
          <w:szCs w:val="18"/>
          <w:color w:val="auto"/>
        </w:rPr>
        <w:t>and expressly waives:</w:t>
      </w:r>
    </w:p>
    <w:p>
      <w:pPr>
        <w:spacing w:after="0" w:line="170" w:lineRule="exact"/>
        <w:rPr>
          <w:rFonts w:ascii="Arial" w:cs="Arial" w:eastAsia="Arial" w:hAnsi="Arial"/>
          <w:sz w:val="18"/>
          <w:szCs w:val="18"/>
          <w:color w:val="auto"/>
        </w:rPr>
      </w:pPr>
    </w:p>
    <w:p>
      <w:pPr>
        <w:ind w:left="1520" w:hanging="216"/>
        <w:spacing w:after="0"/>
        <w:tabs>
          <w:tab w:leader="none" w:pos="1520" w:val="left"/>
        </w:tabs>
        <w:numPr>
          <w:ilvl w:val="2"/>
          <w:numId w:val="57"/>
        </w:numPr>
        <w:rPr>
          <w:rFonts w:ascii="Arial" w:cs="Arial" w:eastAsia="Arial" w:hAnsi="Arial"/>
          <w:sz w:val="18"/>
          <w:szCs w:val="18"/>
          <w:color w:val="auto"/>
        </w:rPr>
      </w:pPr>
      <w:r>
        <w:rPr>
          <w:rFonts w:ascii="Arial" w:cs="Arial" w:eastAsia="Arial" w:hAnsi="Arial"/>
          <w:sz w:val="18"/>
          <w:szCs w:val="18"/>
          <w:color w:val="auto"/>
        </w:rPr>
        <w:t>any right it may have to revoke this Guaranty as to future indebtedness or notice of acceptance hereof;</w:t>
      </w:r>
    </w:p>
    <w:p>
      <w:pPr>
        <w:spacing w:after="0" w:line="225" w:lineRule="exact"/>
        <w:rPr>
          <w:rFonts w:ascii="Arial" w:cs="Arial" w:eastAsia="Arial" w:hAnsi="Arial"/>
          <w:sz w:val="18"/>
          <w:szCs w:val="18"/>
          <w:color w:val="auto"/>
        </w:rPr>
      </w:pPr>
    </w:p>
    <w:p>
      <w:pPr>
        <w:jc w:val="both"/>
        <w:ind w:firstLine="1304"/>
        <w:spacing w:after="0" w:line="287" w:lineRule="auto"/>
        <w:tabs>
          <w:tab w:leader="none" w:pos="1564" w:val="left"/>
        </w:tabs>
        <w:numPr>
          <w:ilvl w:val="2"/>
          <w:numId w:val="57"/>
        </w:numPr>
        <w:rPr>
          <w:rFonts w:ascii="Arial" w:cs="Arial" w:eastAsia="Arial" w:hAnsi="Arial"/>
          <w:sz w:val="16"/>
          <w:szCs w:val="16"/>
          <w:color w:val="auto"/>
        </w:rPr>
      </w:pPr>
      <w:r>
        <w:rPr>
          <w:rFonts w:ascii="Arial" w:cs="Arial" w:eastAsia="Arial" w:hAnsi="Arial"/>
          <w:sz w:val="16"/>
          <w:szCs w:val="16"/>
          <w:color w:val="auto"/>
        </w:rPr>
        <w:t>(A) notice of acceptance hereof; (B) notice of any other financial accommodations made or maintained under the Loan Documents or the creation or existence of any Guaranteed Obligations; (C) notice of the amount of the Guaranteed Obligations, subject, however, to each Guarantor’s right to make inquiry of the Administrative Agent and the Secured Parties to ascertain the amount of the Guaranteed Obligations at any reasonable time;</w:t>
      </w:r>
    </w:p>
    <w:p>
      <w:pPr>
        <w:spacing w:after="0" w:line="2" w:lineRule="exact"/>
        <w:rPr>
          <w:rFonts w:ascii="Arial" w:cs="Arial" w:eastAsia="Arial" w:hAnsi="Arial"/>
          <w:sz w:val="16"/>
          <w:szCs w:val="16"/>
          <w:color w:val="auto"/>
        </w:rPr>
      </w:pPr>
    </w:p>
    <w:p>
      <w:pPr>
        <w:jc w:val="both"/>
        <w:ind w:firstLine="8"/>
        <w:spacing w:after="0" w:line="253" w:lineRule="auto"/>
        <w:tabs>
          <w:tab w:leader="none" w:pos="306"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notice of any adverse change in the financial condition of the Borrower or of any other fact that might increase such Guarantor’s risk hereunder; (E) notice of presentment for payment, demand, protest, and notice thereof as to any instruments among the Loan Documents; (F) notice of any Event of Default; and (G) all other notices (except if such notice is specifically required to be given to such Guarantor under this Guaranty or under the other Loan Documents) and demands to which each Guarantor might otherwise be entitled;</w:t>
      </w:r>
    </w:p>
    <w:p>
      <w:pPr>
        <w:spacing w:after="0" w:line="192" w:lineRule="exact"/>
        <w:rPr>
          <w:rFonts w:ascii="Arial" w:cs="Arial" w:eastAsia="Arial" w:hAnsi="Arial"/>
          <w:sz w:val="18"/>
          <w:szCs w:val="18"/>
          <w:color w:val="auto"/>
        </w:rPr>
      </w:pPr>
    </w:p>
    <w:p>
      <w:pPr>
        <w:jc w:val="both"/>
        <w:ind w:firstLine="1304"/>
        <w:spacing w:after="0" w:line="255" w:lineRule="auto"/>
        <w:tabs>
          <w:tab w:leader="none" w:pos="1630" w:val="left"/>
        </w:tabs>
        <w:numPr>
          <w:ilvl w:val="2"/>
          <w:numId w:val="58"/>
        </w:numPr>
        <w:rPr>
          <w:rFonts w:ascii="Arial" w:cs="Arial" w:eastAsia="Arial" w:hAnsi="Arial"/>
          <w:sz w:val="18"/>
          <w:szCs w:val="18"/>
          <w:color w:val="auto"/>
        </w:rPr>
      </w:pPr>
      <w:r>
        <w:rPr>
          <w:rFonts w:ascii="Arial" w:cs="Arial" w:eastAsia="Arial" w:hAnsi="Arial"/>
          <w:sz w:val="18"/>
          <w:szCs w:val="18"/>
          <w:color w:val="auto"/>
        </w:rPr>
        <w:t>its right, if any, to require the Administrative Agent and the Secured Parties to institute suit against, or to exhaust any rights and remedies which the Administrative Agent and the Secured Parties now have or may hereafter have against, any other guarantor of the Guaranteed Obligations or any third party, or against any Collateral provided by such other guarantors or any third party; and each Guarantor further waives any defense arising by reason of any disability or other defense (other than the defense that the Guaranteed Obligations shall have been fully and finally performed and indefeasibly paid) of any other guarantor of the Guaranteed Obligations or by reason of the cessation from any cause whatsoever of the liability of any other guarantor of the Guaranteed Obligations in respect thereof;</w:t>
      </w:r>
    </w:p>
    <w:p>
      <w:pPr>
        <w:spacing w:after="0" w:line="192" w:lineRule="exact"/>
        <w:rPr>
          <w:rFonts w:ascii="Arial" w:cs="Arial" w:eastAsia="Arial" w:hAnsi="Arial"/>
          <w:sz w:val="18"/>
          <w:szCs w:val="18"/>
          <w:color w:val="auto"/>
        </w:rPr>
      </w:pPr>
    </w:p>
    <w:p>
      <w:pPr>
        <w:jc w:val="both"/>
        <w:ind w:firstLine="1304"/>
        <w:spacing w:after="0" w:line="287" w:lineRule="auto"/>
        <w:tabs>
          <w:tab w:leader="none" w:pos="1650" w:val="left"/>
        </w:tabs>
        <w:numPr>
          <w:ilvl w:val="2"/>
          <w:numId w:val="58"/>
        </w:numPr>
        <w:rPr>
          <w:rFonts w:ascii="Arial" w:cs="Arial" w:eastAsia="Arial" w:hAnsi="Arial"/>
          <w:sz w:val="16"/>
          <w:szCs w:val="16"/>
          <w:color w:val="auto"/>
        </w:rPr>
      </w:pPr>
      <w:r>
        <w:rPr>
          <w:rFonts w:ascii="Arial" w:cs="Arial" w:eastAsia="Arial" w:hAnsi="Arial"/>
          <w:sz w:val="16"/>
          <w:szCs w:val="16"/>
          <w:color w:val="auto"/>
        </w:rPr>
        <w:t>(A) any rights to assert against the Administrative Agent and the Secured Parties any defense (legal or equitable), set-off, counterclaim, or claim which such Guarantor may now or at any time hereafter have against any other guarantor of the Guaranteed Obligations or any third party liable to the Administrative Agent and the Secured Parties; (B) any defense, set-off, counterclaim or claim, of any kind or nature, arising directly or indirectly from the present or future lack of perfection, sufficiency, validity or enforceability of the Guaranteed Obligations or any security therefor; (C) any defense such Guarantor has to performance hereunder, and any right such Guarantor has to be exonerated, arising by reason of: (1) the impairment or suspension of the Administrative Agent’s and the Secured Parties’ rights or remedies against any other guarantor of the Guaranteed Obligations; (2) the alteration by the Administrative Agent and the Secured Parties of the Guaranteed Obligations; (3) any discharge of the obligations of any other guarantor of the Guaranteed Obligations to the Administrative Agent and the Secured Parties by operation of law as a result of the Administrative Agent’s and the Secured Parties’ intervention or omission; or (4) the acceptance by the Administrative Agent and the Secured Parties of anything in partial satisfaction of the Guaranteed Obligations; and (D) the benefit of any statute of limitations affecting such Guarantor’s liability hereunder or the enforcement thereof, and any act which shall defer or delay the operation of any statute of limitations applicable to the Guaranteed Obligations shall similarly operate to defer or delay the operation of such statute of limitations applicable to such Guarantor’s liability hereunder; and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9" w:name="page190"/>
    <w:bookmarkEnd w:id="189"/>
    <w:p>
      <w:pPr>
        <w:jc w:val="both"/>
        <w:ind w:firstLine="1304"/>
        <w:spacing w:after="0" w:line="311" w:lineRule="auto"/>
        <w:tabs>
          <w:tab w:leader="none" w:pos="1555" w:val="left"/>
        </w:tabs>
        <w:numPr>
          <w:ilvl w:val="1"/>
          <w:numId w:val="59"/>
        </w:numPr>
        <w:rPr>
          <w:rFonts w:ascii="Arial" w:cs="Arial" w:eastAsia="Arial" w:hAnsi="Arial"/>
          <w:sz w:val="16"/>
          <w:szCs w:val="16"/>
          <w:color w:val="auto"/>
        </w:rPr>
      </w:pPr>
      <w:r>
        <w:rPr>
          <w:rFonts w:ascii="Arial" w:cs="Arial" w:eastAsia="Arial" w:hAnsi="Arial"/>
          <w:sz w:val="16"/>
          <w:szCs w:val="16"/>
          <w:color w:val="auto"/>
        </w:rPr>
        <w:t>any defense arising by reason of or deriving from (A) any claim or defense based upon an election of remedies by the Administrative Agent and the other Secured Parties; or (B) any election by the Administrative Agent and the other Secured Parties under any provision of any state or federal bankruptcy, insolvency or similar law to limit the amount of, or any Collateral securing, its claim against the Guarantors.</w:t>
      </w:r>
    </w:p>
    <w:p>
      <w:pPr>
        <w:spacing w:after="0" w:line="148" w:lineRule="exact"/>
        <w:rPr>
          <w:rFonts w:ascii="Arial" w:cs="Arial" w:eastAsia="Arial" w:hAnsi="Arial"/>
          <w:sz w:val="16"/>
          <w:szCs w:val="16"/>
          <w:color w:val="auto"/>
        </w:rPr>
      </w:pPr>
    </w:p>
    <w:p>
      <w:pPr>
        <w:ind w:left="920" w:hanging="264"/>
        <w:spacing w:after="0"/>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General Waivers</w:t>
      </w:r>
      <w:r>
        <w:rPr>
          <w:rFonts w:ascii="Arial" w:cs="Arial" w:eastAsia="Arial" w:hAnsi="Arial"/>
          <w:sz w:val="18"/>
          <w:szCs w:val="18"/>
          <w:color w:val="auto"/>
        </w:rPr>
        <w:t>. Each Guarantor irrevocably waives, to the fullest extent permitted by law, any notice not provided for herein.</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SECTION 482. Reinstatement</w:t>
      </w:r>
      <w:r>
        <w:rPr>
          <w:rFonts w:ascii="Arial" w:cs="Arial" w:eastAsia="Arial" w:hAnsi="Arial"/>
          <w:sz w:val="18"/>
          <w:szCs w:val="18"/>
          <w:color w:val="auto"/>
        </w:rPr>
        <w:t>. The obligations of the Guarantors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automatically reinstated if and to the extent that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reason any payment by or on behalf of the Borrower in respect of the Guaranteed Obligations is at any time rescinded, annulled, avoided, set aside, invalidated, declared to be fraudulent or must be otherwise restored or repaid by any holder of any of the Guaranteed Obligations, whether as a result of any proceedings in bankruptcy or reorganization, equitable cause or otherwise, and the Guarantors jointly and severally agree that they will indemnify the Secured Parties on demand for all reasonable costs and expenses (including fees of counsel) incurred by such Persons in connection with such rescission, repayment or restoration, including any such costs and expenses incurred in defending against any claim alleging that such payment constituted a preference, fraudulent transfer or similar payment under any state or federal bankruptcy, insolvency or similar law. The provisions of this </w:t>
      </w:r>
      <w:r>
        <w:rPr>
          <w:rFonts w:ascii="Arial" w:cs="Arial" w:eastAsia="Arial" w:hAnsi="Arial"/>
          <w:sz w:val="18"/>
          <w:szCs w:val="18"/>
          <w:b w:val="1"/>
          <w:bCs w:val="1"/>
          <w:color w:val="auto"/>
        </w:rPr>
        <w:t>Section 13.05</w:t>
      </w:r>
      <w:r>
        <w:rPr>
          <w:rFonts w:ascii="Arial" w:cs="Arial" w:eastAsia="Arial" w:hAnsi="Arial"/>
          <w:sz w:val="18"/>
          <w:szCs w:val="18"/>
          <w:color w:val="auto"/>
        </w:rPr>
        <w:t xml:space="preserve"> shall survive termination of this Guaranty.</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SECTION 483. Subrogation</w:t>
      </w:r>
      <w:r>
        <w:rPr>
          <w:rFonts w:ascii="Arial" w:cs="Arial" w:eastAsia="Arial" w:hAnsi="Arial"/>
          <w:sz w:val="17"/>
          <w:szCs w:val="17"/>
          <w:color w:val="auto"/>
        </w:rPr>
        <w:t>. The Guarantors hereby jointly and severally agree that, until the prior and complete satisfaction of all Termination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Conditions, they (i) shall have no right of subrogation with respect to the Guaranteed Obligations and (ii) waive any right to enforce any remedy which the Secured Parties or the Administrative Agent now have or may hereafter have against the Borrower, any endorser or any other guarantor of all or any part of the Guaranteed Obligations or any other Person, and each Guarantor waives any benefit of, and any right to participate in, any security or Collateral that may from time to time be given to the Secured Parties and the Administrative Agent to secure the payment or performance of all or any part of the Guaranteed Obligations or any other liability of the Borrower to the Secured Parties. Should any Guarantor have the right, notwithstanding the foregoing, to exercise its subrogation rights prior to complete satisfaction of the Termination Conditions, each Guarantor hereby expressly and irrevocably (A) subordinates any and all rights at law or in equity to subrogation, reimbursement, exoneration, contribution, indemnification or set-off that such Guarantor may have prior to the complete satisfaction of the Termination Conditions, and (B) waives any and all defenses available to a surety, guarantor or accommodation co-obligor until all Termination Conditions are satisfied in full. Each Guarantor acknowledges and agrees that this subordination is intended to benefit the Administrative Agent and the Secured Parties and shall not limit or otherwise affect such Guarantor’s liability hereunder or the enforceability of this Guaranty, and that the Administrative Agent, the Secured Parties and their respective successors and assigns are intended third party beneficiaries of the waivers and agreements set forth in this </w:t>
      </w:r>
      <w:r>
        <w:rPr>
          <w:rFonts w:ascii="Arial" w:cs="Arial" w:eastAsia="Arial" w:hAnsi="Arial"/>
          <w:sz w:val="17"/>
          <w:szCs w:val="17"/>
          <w:b w:val="1"/>
          <w:bCs w:val="1"/>
          <w:color w:val="auto"/>
        </w:rPr>
        <w:t>Section 13.06</w:t>
      </w:r>
      <w:r>
        <w:rPr>
          <w:rFonts w:ascii="Arial" w:cs="Arial" w:eastAsia="Arial" w:hAnsi="Arial"/>
          <w:sz w:val="17"/>
          <w:szCs w:val="17"/>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0" w:name="page191"/>
    <w:bookmarkEnd w:id="190"/>
    <w:p>
      <w:pPr>
        <w:jc w:val="both"/>
        <w:spacing w:after="0" w:line="272" w:lineRule="auto"/>
        <w:rPr>
          <w:sz w:val="20"/>
          <w:szCs w:val="20"/>
          <w:color w:val="auto"/>
        </w:rPr>
      </w:pPr>
      <w:r>
        <w:rPr>
          <w:rFonts w:ascii="Arial" w:cs="Arial" w:eastAsia="Arial" w:hAnsi="Arial"/>
          <w:sz w:val="17"/>
          <w:szCs w:val="17"/>
          <w:b w:val="1"/>
          <w:bCs w:val="1"/>
          <w:i w:val="1"/>
          <w:iCs w:val="1"/>
          <w:color w:val="auto"/>
        </w:rPr>
        <w:t>SECTION 484. Remedies</w:t>
      </w:r>
      <w:r>
        <w:rPr>
          <w:rFonts w:ascii="Arial" w:cs="Arial" w:eastAsia="Arial" w:hAnsi="Arial"/>
          <w:sz w:val="17"/>
          <w:szCs w:val="17"/>
          <w:color w:val="auto"/>
        </w:rPr>
        <w:t>. The Guarantors jointly and severally agree that, as between the Guarantors, on one hand, and the Administrative Agent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Lenders, on the other hand, the obligations of the Borrower under this Agreement and under the other Loan Documents may be declared to be forthwith due and payable as provided in </w:t>
      </w:r>
      <w:r>
        <w:rPr>
          <w:rFonts w:ascii="Arial" w:cs="Arial" w:eastAsia="Arial" w:hAnsi="Arial"/>
          <w:sz w:val="17"/>
          <w:szCs w:val="17"/>
          <w:b w:val="1"/>
          <w:bCs w:val="1"/>
          <w:color w:val="auto"/>
        </w:rPr>
        <w:t>Section 11</w:t>
      </w:r>
      <w:r>
        <w:rPr>
          <w:rFonts w:ascii="Arial" w:cs="Arial" w:eastAsia="Arial" w:hAnsi="Arial"/>
          <w:sz w:val="17"/>
          <w:szCs w:val="17"/>
          <w:color w:val="auto"/>
        </w:rPr>
        <w:t xml:space="preserve"> (and shall be deemed to have become automatically due and payable in the circumstances provided in </w:t>
      </w:r>
      <w:r>
        <w:rPr>
          <w:rFonts w:ascii="Arial" w:cs="Arial" w:eastAsia="Arial" w:hAnsi="Arial"/>
          <w:sz w:val="17"/>
          <w:szCs w:val="17"/>
          <w:b w:val="1"/>
          <w:bCs w:val="1"/>
          <w:color w:val="auto"/>
        </w:rPr>
        <w:t>Section 11</w:t>
      </w:r>
      <w:r>
        <w:rPr>
          <w:rFonts w:ascii="Arial" w:cs="Arial" w:eastAsia="Arial" w:hAnsi="Arial"/>
          <w:sz w:val="17"/>
          <w:szCs w:val="17"/>
          <w:color w:val="auto"/>
        </w:rPr>
        <w:t xml:space="preserve">) for purposes of </w:t>
      </w:r>
      <w:r>
        <w:rPr>
          <w:rFonts w:ascii="Arial" w:cs="Arial" w:eastAsia="Arial" w:hAnsi="Arial"/>
          <w:sz w:val="17"/>
          <w:szCs w:val="17"/>
          <w:b w:val="1"/>
          <w:bCs w:val="1"/>
          <w:color w:val="auto"/>
        </w:rPr>
        <w:t>Section 13.01</w:t>
      </w:r>
      <w:r>
        <w:rPr>
          <w:rFonts w:ascii="Arial" w:cs="Arial" w:eastAsia="Arial" w:hAnsi="Arial"/>
          <w:sz w:val="17"/>
          <w:szCs w:val="17"/>
          <w:color w:val="auto"/>
        </w:rPr>
        <w:t xml:space="preserve"> notwithstanding any stay, injunction or other prohibition, including any such stay upon an Insolvency Proceeding,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w:t>
      </w:r>
      <w:r>
        <w:rPr>
          <w:rFonts w:ascii="Arial" w:cs="Arial" w:eastAsia="Arial" w:hAnsi="Arial"/>
          <w:sz w:val="17"/>
          <w:szCs w:val="17"/>
          <w:b w:val="1"/>
          <w:bCs w:val="1"/>
          <w:color w:val="auto"/>
        </w:rPr>
        <w:t>Section 13.01</w:t>
      </w:r>
      <w:r>
        <w:rPr>
          <w:rFonts w:ascii="Arial" w:cs="Arial" w:eastAsia="Arial" w:hAnsi="Arial"/>
          <w:sz w:val="17"/>
          <w:szCs w:val="17"/>
          <w:color w:val="auto"/>
        </w:rPr>
        <w:t>.</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SECTION 485. Instrument for the Payment of Money</w:t>
      </w:r>
      <w:r>
        <w:rPr>
          <w:rFonts w:ascii="Arial" w:cs="Arial" w:eastAsia="Arial" w:hAnsi="Arial"/>
          <w:sz w:val="18"/>
          <w:szCs w:val="18"/>
          <w:color w:val="auto"/>
        </w:rPr>
        <w:t>. Each Guarantor hereby acknowledges that the guarantee in this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constitutes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 for the payment of money, and consents and agrees that the Administrative Agent and the Lenders, at their sole option, in the event of a dispute by such Guarantor in the payment of any moneys due hereunder, shall have the right to proceed by motion for summary judgment in lieu of complaint pursuant to N.Y. Civ. Prac. L&amp;R § 3213.</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SECTION 486. Continuing Guarantee</w:t>
      </w:r>
      <w:r>
        <w:rPr>
          <w:rFonts w:ascii="Arial" w:cs="Arial" w:eastAsia="Arial" w:hAnsi="Arial"/>
          <w:sz w:val="18"/>
          <w:szCs w:val="18"/>
          <w:color w:val="auto"/>
        </w:rPr>
        <w:t>. The guarantee in this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a continuing guarantee, and shall apply to all Guaranteed Obligations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whenever arising.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486.01 Contribution with Respect to Guaranteed Obligations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54" w:lineRule="auto"/>
        <w:tabs>
          <w:tab w:leader="none" w:pos="90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the extent that any Guarantor shall make a payment under this Guaranty (a “</w:t>
      </w:r>
      <w:r>
        <w:rPr>
          <w:rFonts w:ascii="Arial" w:cs="Arial" w:eastAsia="Arial" w:hAnsi="Arial"/>
          <w:sz w:val="18"/>
          <w:szCs w:val="18"/>
          <w:b w:val="1"/>
          <w:bCs w:val="1"/>
          <w:i w:val="1"/>
          <w:iCs w:val="1"/>
          <w:color w:val="auto"/>
        </w:rPr>
        <w:t>Guarantor Payment</w:t>
      </w:r>
      <w:r>
        <w:rPr>
          <w:rFonts w:ascii="Arial" w:cs="Arial" w:eastAsia="Arial" w:hAnsi="Arial"/>
          <w:sz w:val="18"/>
          <w:szCs w:val="18"/>
          <w:color w:val="auto"/>
        </w:rPr>
        <w:t xml:space="preserve">”) which, taking into account all other Guarantor Payments then previously or concurrently made by any other Guarantor, exceeds the amount which otherwise would have been paid by or attributable to such Guarantor if each Guarantor had paid the aggregate Guaranteed Obligations satisfied by such Guarantor Payment in the same proportion as such Guarantor’s “Allocable Amount” (as defined below) (as determined immediately prior to such Guarantor Payment) bore to the aggregate Allocable Amounts of each of the Guarantors as determined immediately prior to the making of such Guarantor Payment, </w:t>
      </w:r>
      <w:r>
        <w:rPr>
          <w:rFonts w:ascii="Arial" w:cs="Arial" w:eastAsia="Arial" w:hAnsi="Arial"/>
          <w:sz w:val="18"/>
          <w:szCs w:val="18"/>
          <w:i w:val="1"/>
          <w:iCs w:val="1"/>
          <w:color w:val="auto"/>
        </w:rPr>
        <w:t>then</w:t>
      </w:r>
      <w:r>
        <w:rPr>
          <w:rFonts w:ascii="Arial" w:cs="Arial" w:eastAsia="Arial" w:hAnsi="Arial"/>
          <w:sz w:val="18"/>
          <w:szCs w:val="18"/>
          <w:color w:val="auto"/>
        </w:rPr>
        <w:t xml:space="preserve">, following the prior and complete satisfaction of the Termination Conditions, such Guarantor shall be entitled to receive contribution and indemnification payments from, and be reimbursed by, each other Guarantor for the amount of such excess,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upon their respective Allocable Amounts in effect immediately prior to such Guarantor Payment.</w:t>
      </w:r>
    </w:p>
    <w:p>
      <w:pPr>
        <w:spacing w:after="0" w:line="191" w:lineRule="exact"/>
        <w:rPr>
          <w:rFonts w:ascii="Arial" w:cs="Arial" w:eastAsia="Arial" w:hAnsi="Arial"/>
          <w:sz w:val="18"/>
          <w:szCs w:val="18"/>
          <w:color w:val="auto"/>
        </w:rPr>
      </w:pPr>
    </w:p>
    <w:p>
      <w:pPr>
        <w:jc w:val="both"/>
        <w:ind w:firstLine="656"/>
        <w:spacing w:after="0" w:line="263" w:lineRule="auto"/>
        <w:tabs>
          <w:tab w:leader="none" w:pos="903"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 of any date of determination, the “</w:t>
      </w:r>
      <w:r>
        <w:rPr>
          <w:rFonts w:ascii="Arial" w:cs="Arial" w:eastAsia="Arial" w:hAnsi="Arial"/>
          <w:sz w:val="18"/>
          <w:szCs w:val="18"/>
          <w:b w:val="1"/>
          <w:bCs w:val="1"/>
          <w:i w:val="1"/>
          <w:iCs w:val="1"/>
          <w:color w:val="auto"/>
        </w:rPr>
        <w:t>Allocable Amount</w:t>
      </w:r>
      <w:r>
        <w:rPr>
          <w:rFonts w:ascii="Arial" w:cs="Arial" w:eastAsia="Arial" w:hAnsi="Arial"/>
          <w:sz w:val="18"/>
          <w:szCs w:val="18"/>
          <w:color w:val="auto"/>
        </w:rPr>
        <w:t>” of any Guarantor shall be equal to the maximum amount of the claim which could then be recovered from such Guarantor under this Agreement without rendering such claim voidable or avoidable under any state or federal bankruptcy, insolvency or similar law or other applicable Law.</w:t>
      </w:r>
    </w:p>
    <w:p>
      <w:pPr>
        <w:spacing w:after="0" w:line="179" w:lineRule="exact"/>
        <w:rPr>
          <w:rFonts w:ascii="Arial" w:cs="Arial" w:eastAsia="Arial" w:hAnsi="Arial"/>
          <w:sz w:val="18"/>
          <w:szCs w:val="18"/>
          <w:color w:val="auto"/>
        </w:rPr>
      </w:pPr>
    </w:p>
    <w:p>
      <w:pPr>
        <w:jc w:val="both"/>
        <w:ind w:firstLine="656"/>
        <w:spacing w:after="0" w:line="266" w:lineRule="auto"/>
        <w:tabs>
          <w:tab w:leader="none" w:pos="897"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13.10</w:t>
      </w:r>
      <w:r>
        <w:rPr>
          <w:rFonts w:ascii="Arial" w:cs="Arial" w:eastAsia="Arial" w:hAnsi="Arial"/>
          <w:sz w:val="18"/>
          <w:szCs w:val="18"/>
          <w:color w:val="auto"/>
        </w:rPr>
        <w:t xml:space="preserve"> is intended only to define the relative rights of the Guarantors, and nothing set forth in this </w:t>
      </w:r>
      <w:r>
        <w:rPr>
          <w:rFonts w:ascii="Arial" w:cs="Arial" w:eastAsia="Arial" w:hAnsi="Arial"/>
          <w:sz w:val="18"/>
          <w:szCs w:val="18"/>
          <w:b w:val="1"/>
          <w:bCs w:val="1"/>
          <w:color w:val="auto"/>
        </w:rPr>
        <w:t>13.10</w:t>
      </w:r>
      <w:r>
        <w:rPr>
          <w:rFonts w:ascii="Arial" w:cs="Arial" w:eastAsia="Arial" w:hAnsi="Arial"/>
          <w:sz w:val="18"/>
          <w:szCs w:val="18"/>
          <w:color w:val="auto"/>
        </w:rPr>
        <w:t xml:space="preserve"> is intended to or shall impair the obligations of the Guarantors, jointly and severally, to pay any amounts as and when the same shall become due and payable in accordance with the terms of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1" w:name="page192"/>
    <w:bookmarkEnd w:id="191"/>
    <w:p>
      <w:pPr>
        <w:ind w:firstLine="656"/>
        <w:spacing w:after="0" w:line="277" w:lineRule="auto"/>
        <w:tabs>
          <w:tab w:leader="none" w:pos="93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parties hereto acknowledge that the rights of contribution and indemnification hereunder shall constitute assets of the Guarantor or Guarantors to which such contribution and indemnification is owing.</w:t>
      </w:r>
    </w:p>
    <w:p>
      <w:pPr>
        <w:spacing w:after="0" w:line="166" w:lineRule="exact"/>
        <w:rPr>
          <w:rFonts w:ascii="Arial" w:cs="Arial" w:eastAsia="Arial" w:hAnsi="Arial"/>
          <w:sz w:val="18"/>
          <w:szCs w:val="18"/>
          <w:color w:val="auto"/>
        </w:rPr>
      </w:pPr>
    </w:p>
    <w:p>
      <w:pPr>
        <w:ind w:firstLine="656"/>
        <w:spacing w:after="0" w:line="282" w:lineRule="auto"/>
        <w:tabs>
          <w:tab w:leader="none" w:pos="912"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rights of the indemnifying Guarantors against other Guarantors under this </w:t>
      </w:r>
      <w:r>
        <w:rPr>
          <w:rFonts w:ascii="Arial" w:cs="Arial" w:eastAsia="Arial" w:hAnsi="Arial"/>
          <w:sz w:val="18"/>
          <w:szCs w:val="18"/>
          <w:b w:val="1"/>
          <w:bCs w:val="1"/>
          <w:color w:val="auto"/>
        </w:rPr>
        <w:t>Section 13.10</w:t>
      </w:r>
      <w:r>
        <w:rPr>
          <w:rFonts w:ascii="Arial" w:cs="Arial" w:eastAsia="Arial" w:hAnsi="Arial"/>
          <w:sz w:val="18"/>
          <w:szCs w:val="18"/>
          <w:color w:val="auto"/>
        </w:rPr>
        <w:t xml:space="preserve"> shall be exercisable only upon the prior and complete satisfaction of the Termination Conditions.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SECTION 487. General Limitations on Guarantee Obligations</w:t>
      </w:r>
      <w:r>
        <w:rPr>
          <w:rFonts w:ascii="Arial" w:cs="Arial" w:eastAsia="Arial" w:hAnsi="Arial"/>
          <w:sz w:val="16"/>
          <w:szCs w:val="16"/>
          <w:color w:val="auto"/>
        </w:rPr>
        <w:t>. In any action or proceeding involving any provincial, territorial or state corporate law,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any state or federal bankruptcy, insolvency, reorganization or other law affecting the rights of creditors generally, if the obligations of any Guarantor under </w:t>
      </w:r>
      <w:r>
        <w:rPr>
          <w:rFonts w:ascii="Arial" w:cs="Arial" w:eastAsia="Arial" w:hAnsi="Arial"/>
          <w:sz w:val="16"/>
          <w:szCs w:val="16"/>
          <w:b w:val="1"/>
          <w:bCs w:val="1"/>
          <w:color w:val="auto"/>
        </w:rPr>
        <w:t xml:space="preserve">Section 13.01 </w:t>
      </w:r>
      <w:r>
        <w:rPr>
          <w:rFonts w:ascii="Arial" w:cs="Arial" w:eastAsia="Arial" w:hAnsi="Arial"/>
          <w:sz w:val="16"/>
          <w:szCs w:val="16"/>
          <w:color w:val="auto"/>
        </w:rPr>
        <w:t>would otherwise be held or determined to be void, invalid or unenforceable, or subordinated to the claims of any other creditors, on account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amount of its liability under </w:t>
      </w:r>
      <w:r>
        <w:rPr>
          <w:rFonts w:ascii="Arial" w:cs="Arial" w:eastAsia="Arial" w:hAnsi="Arial"/>
          <w:sz w:val="16"/>
          <w:szCs w:val="16"/>
          <w:b w:val="1"/>
          <w:bCs w:val="1"/>
          <w:color w:val="auto"/>
        </w:rPr>
        <w:t>Section 13.01</w:t>
      </w:r>
      <w:r>
        <w:rPr>
          <w:rFonts w:ascii="Arial" w:cs="Arial" w:eastAsia="Arial" w:hAnsi="Arial"/>
          <w:sz w:val="16"/>
          <w:szCs w:val="16"/>
          <w:color w:val="auto"/>
        </w:rPr>
        <w:t>, then, notwithstanding any other provision hereof to the contrary, the amount of such liability shall, without any further action by such Guarantor, the Administrative Agent, any Lender or any other Person, be automatically limited and reduced to the highest amount that is valid and enforceable and not subordinated to the claims of other creditors as determined in such action or proceeding.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488. </w:t>
      </w:r>
      <w:r>
        <w:rPr>
          <w:rFonts w:ascii="Arial" w:cs="Arial" w:eastAsia="Arial" w:hAnsi="Arial"/>
          <w:sz w:val="18"/>
          <w:szCs w:val="18"/>
          <w:color w:val="auto"/>
        </w:rPr>
        <w:t>MISCELLANEOUS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SECTION 489. No Waiver</w:t>
      </w:r>
      <w:r>
        <w:rPr>
          <w:rFonts w:ascii="Arial" w:cs="Arial" w:eastAsia="Arial" w:hAnsi="Arial"/>
          <w:sz w:val="17"/>
          <w:szCs w:val="17"/>
          <w:color w:val="auto"/>
        </w:rPr>
        <w:t>. No failure on the part of the Administrative Agent or the Lenders to exercise and no delay in exercising, and no course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dealing with respect to, any right, power or privilege under any Loan Document shall operate as a waiver thereof, nor shall any single or partial exercise of any right, power or privilege under any Loan Document preclude any other or further exercise thereof or the exercise of any other right, power or privilege. The remedies provided herein are cumulative and not exclusive of any remedies provided by Law.</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SECTION 490. Notices</w:t>
      </w:r>
      <w:r>
        <w:rPr>
          <w:rFonts w:ascii="Arial" w:cs="Arial" w:eastAsia="Arial" w:hAnsi="Arial"/>
          <w:sz w:val="18"/>
          <w:szCs w:val="18"/>
          <w:color w:val="auto"/>
        </w:rPr>
        <w:t>. All notices, requests, instructions, directions and other communications provided for herein (including any modifications of,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waivers, requests or consents under, this Agreement) or in the other Loan Documents shall be given or made in writing (including by telecopy or email) delivered, if to the Borrower, another Obligor, the Administrative Agent or any Lender, to its address specified on the signature pages hereto or its Guarantee Assumption Agreement, as the case may be, or at such other address as shall be designated by such party in a written notice to the other parties. Except as otherwise provided in this Agreement or therein, all such communications shall be deemed to have been duly given upon receipt of a legible copy thereof, in each case given or addressed as aforesaid. All such communications provided for herein by telecopy shall be confirmed in writing promptly after the delivery of such communication (it being understood that non-receipt of written confirmation of such communication shall not invalidate such communication).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i w:val="1"/>
          <w:iCs w:val="1"/>
          <w:color w:val="auto"/>
        </w:rPr>
        <w:t>SECTION 491. Expenses, Indemnification, Etc.</w:t>
      </w:r>
    </w:p>
    <w:p>
      <w:pPr>
        <w:spacing w:after="0" w:line="2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SECTION 492. Expenses</w:t>
      </w:r>
      <w:r>
        <w:rPr>
          <w:rFonts w:ascii="Arial" w:cs="Arial" w:eastAsia="Arial" w:hAnsi="Arial"/>
          <w:sz w:val="16"/>
          <w:szCs w:val="16"/>
          <w:color w:val="auto"/>
        </w:rPr>
        <w:t>. Each Obligor, jointly and severally, agrees to pay or reimburse (i) within ten (10) Business Days of receipt of a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detailed invoice the Administrative Agent and its Affiliates for all of their reasonable and documented out-of-pocket costs and expenses (including the reasonable and documented out-of-pocket fees, expenses, charges and disbursements of Latham &amp; Watkins LLP, counsel to the Administrative Agent, the fees (if necessary) of local counsel and regulatory counsel for the Administrative Agent in each relevant material jurisdiction, and any sales, goods and services or other similar Taxes applicable thereto, and reasonable and documented printing, reproduction, document delivery, communication and travel costs) in connection with (x) the negotiation, preparation, execution and delivery of this Agreement and the other Loan Documents and the making of the Loans (exclusive of post-closing costs), (y) post-closing costs (including, without limitation (1) costs of the administration of this Agreement and the other Loan Documents and (2) title, appraisal, survey, audit, environmental inspection, consulting, search, recording, filing and similar coasts, fees and expenses incurred or sustained by the Administrative Agent or any of its Affiliates in connection with the Collateral), and (z) the negotiation or preparation of any modification, supplement or waiver of any of the terms of this Agreement or any of the other Loan Documents (whether or not consummated) and (ii) immediately, each of the Administrative Agent and the Lenders for all of their documented out-of-pocket costs and expenses (including the fees and expenses of any legal counsel) in connection with the enforcement, exercise or protection of their rights in connection with this Agreement and the other Loan Documents after the occurrence of and in connection with an Event of Default, including their rights under this </w:t>
      </w:r>
      <w:r>
        <w:rPr>
          <w:rFonts w:ascii="Arial" w:cs="Arial" w:eastAsia="Arial" w:hAnsi="Arial"/>
          <w:sz w:val="16"/>
          <w:szCs w:val="16"/>
          <w:b w:val="1"/>
          <w:bCs w:val="1"/>
          <w:color w:val="auto"/>
        </w:rPr>
        <w:t>Section 14.03</w:t>
      </w:r>
      <w:r>
        <w:rPr>
          <w:rFonts w:ascii="Arial" w:cs="Arial" w:eastAsia="Arial" w:hAnsi="Arial"/>
          <w:sz w:val="16"/>
          <w:szCs w:val="16"/>
          <w:color w:val="auto"/>
        </w:rPr>
        <w:t>, including (1) in connection with the protection, sale or collection of, or other realization upon, any of the Collateral, including all reasonable and documented out-of-pocket expenses of taking, collecting, holding, sorting, handling, preparing for sale, selling, or the like, and other such expenses of sales and collections of Collateral and (2) such out-of-pocket expenses incurred during any workout, restructuring or negotiations in respect of such Loans and in connection with any enforcement or collection proceedings resulting from the occurrence of an Event of Default.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3" w:name="page194"/>
    <w:bookmarkEnd w:id="193"/>
    <w:p>
      <w:pPr>
        <w:jc w:val="both"/>
        <w:spacing w:after="0" w:line="284" w:lineRule="auto"/>
        <w:rPr>
          <w:sz w:val="20"/>
          <w:szCs w:val="20"/>
          <w:color w:val="auto"/>
        </w:rPr>
      </w:pPr>
      <w:r>
        <w:rPr>
          <w:rFonts w:ascii="Arial" w:cs="Arial" w:eastAsia="Arial" w:hAnsi="Arial"/>
          <w:sz w:val="16"/>
          <w:szCs w:val="16"/>
          <w:b w:val="1"/>
          <w:bCs w:val="1"/>
          <w:color w:val="auto"/>
        </w:rPr>
        <w:t>SECTION 493. Indemnification</w:t>
      </w:r>
      <w:r>
        <w:rPr>
          <w:rFonts w:ascii="Arial" w:cs="Arial" w:eastAsia="Arial" w:hAnsi="Arial"/>
          <w:sz w:val="16"/>
          <w:szCs w:val="16"/>
          <w:color w:val="auto"/>
        </w:rPr>
        <w:t>. Each Obligor, jointly and severally, hereby indemnifies the Administrative Agent (and any sub-agent thereof), the</w:t>
      </w:r>
      <w:r>
        <w:rPr>
          <w:rFonts w:ascii="Arial" w:cs="Arial" w:eastAsia="Arial" w:hAnsi="Arial"/>
          <w:sz w:val="16"/>
          <w:szCs w:val="16"/>
          <w:b w:val="1"/>
          <w:bCs w:val="1"/>
          <w:color w:val="auto"/>
        </w:rPr>
        <w:t xml:space="preserve"> </w:t>
      </w:r>
      <w:r>
        <w:rPr>
          <w:rFonts w:ascii="Arial" w:cs="Arial" w:eastAsia="Arial" w:hAnsi="Arial"/>
          <w:sz w:val="16"/>
          <w:szCs w:val="16"/>
          <w:color w:val="auto"/>
        </w:rPr>
        <w:t>Lenders and their respective Affiliates, directors, officers, employees, attorneys, agents, advisors and controlling parties (each, an “</w:t>
      </w:r>
      <w:r>
        <w:rPr>
          <w:rFonts w:ascii="Arial" w:cs="Arial" w:eastAsia="Arial" w:hAnsi="Arial"/>
          <w:sz w:val="16"/>
          <w:szCs w:val="16"/>
          <w:b w:val="1"/>
          <w:bCs w:val="1"/>
          <w:i w:val="1"/>
          <w:iCs w:val="1"/>
          <w:color w:val="auto"/>
        </w:rPr>
        <w:t>Indemnified Party</w:t>
      </w:r>
      <w:r>
        <w:rPr>
          <w:rFonts w:ascii="Arial" w:cs="Arial" w:eastAsia="Arial" w:hAnsi="Arial"/>
          <w:sz w:val="16"/>
          <w:szCs w:val="16"/>
          <w:color w:val="auto"/>
        </w:rPr>
        <w:t xml:space="preserve">”) from and against, and agrees to hold them harmless against, any and all Claims and Losses of any kind including reasonable and documented out-of-pocket fees and disbursements of any counsel for each Indemnified Party (limited to one legal counsel in each relevant jurisdiction), that may be incurred by or asserted or awarded against any Indemnified Party, in each case arising out of or in connection with or relating to (i) this Agreement or any of the other Loan Documents or the Transactions, (ii) any use made or proposed to be made with the proceeds of the Loans, (iii) any actual or alleged presence or release of Hazardous Materials on or from any property owned or operated by any Obligor or any of its Subsidiaries, or (iv) any actual or prospective claim, investigation, litigation or proceeding relating to any of the foregoing, whether based on contract, tort, or any other theory, whether or not such investigation, litigation or proceeding is brought by any Obligor, any of its Subsidiaries, shareholders or creditors, an Indemnified Party or any other Person, or an Indemnified Party is otherwise a party thereto, and whether or not any of the conditions precedent set forth in </w:t>
      </w:r>
      <w:r>
        <w:rPr>
          <w:rFonts w:ascii="Arial" w:cs="Arial" w:eastAsia="Arial" w:hAnsi="Arial"/>
          <w:sz w:val="16"/>
          <w:szCs w:val="16"/>
          <w:b w:val="1"/>
          <w:bCs w:val="1"/>
          <w:color w:val="auto"/>
        </w:rPr>
        <w:t>Section 6</w:t>
      </w:r>
      <w:r>
        <w:rPr>
          <w:rFonts w:ascii="Arial" w:cs="Arial" w:eastAsia="Arial" w:hAnsi="Arial"/>
          <w:sz w:val="16"/>
          <w:szCs w:val="16"/>
          <w:color w:val="auto"/>
        </w:rPr>
        <w:t xml:space="preserve"> are satisfied or the other transactions contemplated by this Agreement are consummated, except to the extent such Claim or Loss is (i) found in a final, non-appealable judgment by a court of competent jurisdiction to have resulted from such Indemnified Party’s gross negligence or willful misconduct or (ii) is determined by a court of competent jurisdiction by final and non-appealable judgment to have resulted from a claim brought by any Obligor against an Indemnified Party for material breach in bad faith or reckless disregard of such Indemnified Party’s obligations hereunder or under any other Loan Document. No Obligor shall assert any claim against any Indemnified Party, on any theory of liability, for consequential, indirect, special or punitive damages arising out of or otherwise relating to this Agreement or any of the other Loan Documents or any of the Transactions or the actual or proposed use of the proceeds of the Loans. None of the Administrative Agent and the Lenders shall assert any claim against any Obligor, their Subsidiaries and Affiliates and their respective directors, officers, employees, attorneys, agents, advisors and controlling parties, on any theory of liability, for consequential, indirect, special or punitive damages arising out of or otherwise relating to this Agreement or any of the other Loan Documents or any of the Transactions or the actual or proposed use of the proceeds of the Loans. Notwithstanding the foregoing in this </w:t>
      </w:r>
      <w:r>
        <w:rPr>
          <w:rFonts w:ascii="Arial" w:cs="Arial" w:eastAsia="Arial" w:hAnsi="Arial"/>
          <w:sz w:val="16"/>
          <w:szCs w:val="16"/>
          <w:b w:val="1"/>
          <w:bCs w:val="1"/>
          <w:color w:val="auto"/>
        </w:rPr>
        <w:t>Section 14.03(b)</w:t>
      </w:r>
      <w:r>
        <w:rPr>
          <w:rFonts w:ascii="Arial" w:cs="Arial" w:eastAsia="Arial" w:hAnsi="Arial"/>
          <w:sz w:val="16"/>
          <w:szCs w:val="16"/>
          <w:color w:val="auto"/>
        </w:rPr>
        <w:t xml:space="preserve">, the Obligors shall not be liable for any settlement of any proceeding effected without the Obligors’ consent (which consent shall not be unreasonably withheld, delayed or conditioned), but if settled with the Obligors’ written consent, or if there is a judgment against an Indemnified Party in any such proceeding, the Obligors shall indemnify and hold harmless each Indemnified Party to the extent and in the manner set forth above. The Obligors shall not, without the prior written consent of an Indemnified Party (which consent shall not be unreasonably withheld, conditioned or delayed), effect any settlement of any pending or threatened proceeding against such Indemnified Party in respect of which indemnity could have been sought hereunder by such Indemnified Party unless (a) such settlement includes an unconditional release of such Indemnified Party from all liability or claims that are the subject matter of, or arise out of, such proceeding and (b) such settlement does not include any statement as to, or any admission of fault, culpability, wrongdoing or a failure to act by or on behalf of such Indemnified Party. This Section shall not apply with respect to (x) Taxes other than Taxes relating to a non-Tax Claim or Loss governed by this </w:t>
      </w:r>
      <w:r>
        <w:rPr>
          <w:rFonts w:ascii="Arial" w:cs="Arial" w:eastAsia="Arial" w:hAnsi="Arial"/>
          <w:sz w:val="16"/>
          <w:szCs w:val="16"/>
          <w:b w:val="1"/>
          <w:bCs w:val="1"/>
          <w:color w:val="auto"/>
        </w:rPr>
        <w:t>Section 14.03(a)</w:t>
      </w:r>
      <w:r>
        <w:rPr>
          <w:rFonts w:ascii="Arial" w:cs="Arial" w:eastAsia="Arial" w:hAnsi="Arial"/>
          <w:sz w:val="16"/>
          <w:szCs w:val="16"/>
          <w:color w:val="auto"/>
        </w:rPr>
        <w:t xml:space="preserve"> and (y) yield protection matters covered by </w:t>
      </w:r>
      <w:r>
        <w:rPr>
          <w:rFonts w:ascii="Arial" w:cs="Arial" w:eastAsia="Arial" w:hAnsi="Arial"/>
          <w:sz w:val="16"/>
          <w:szCs w:val="16"/>
          <w:b w:val="1"/>
          <w:bCs w:val="1"/>
          <w:color w:val="auto"/>
        </w:rPr>
        <w:t>Section 5.01</w:t>
      </w:r>
      <w:r>
        <w:rPr>
          <w:rFonts w:ascii="Arial" w:cs="Arial" w:eastAsia="Arial" w:hAnsi="Arial"/>
          <w:sz w:val="16"/>
          <w:szCs w:val="16"/>
          <w:color w:val="auto"/>
        </w:rPr>
        <w:t xml:space="preserve">, which shall be governed exclusively by </w:t>
      </w:r>
      <w:r>
        <w:rPr>
          <w:rFonts w:ascii="Arial" w:cs="Arial" w:eastAsia="Arial" w:hAnsi="Arial"/>
          <w:sz w:val="16"/>
          <w:szCs w:val="16"/>
          <w:b w:val="1"/>
          <w:bCs w:val="1"/>
          <w:color w:val="auto"/>
        </w:rPr>
        <w:t>Section 5.01</w:t>
      </w:r>
      <w:r>
        <w:rPr>
          <w:rFonts w:ascii="Arial" w:cs="Arial" w:eastAsia="Arial" w:hAnsi="Arial"/>
          <w:sz w:val="16"/>
          <w:szCs w:val="16"/>
          <w:color w:val="auto"/>
        </w:rPr>
        <w:t>.</w:t>
      </w:r>
    </w:p>
    <w:p>
      <w:pPr>
        <w:spacing w:after="0" w:line="3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SECTION 494. Amendments, Etc. </w:t>
      </w:r>
      <w:r>
        <w:rPr>
          <w:rFonts w:ascii="Arial" w:cs="Arial" w:eastAsia="Arial" w:hAnsi="Arial"/>
          <w:sz w:val="18"/>
          <w:szCs w:val="18"/>
          <w:color w:val="auto"/>
        </w:rPr>
        <w:t>Except as otherwise expressly provided in this Agreement, any provision of this Agreement and any other Loan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Document may be modified or supplemented only by an instrument in writing signed by the Borrower, the Administrative Agent and the Majority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495. </w:t>
      </w:r>
      <w:r>
        <w:rPr>
          <w:rFonts w:ascii="Arial" w:cs="Arial" w:eastAsia="Arial" w:hAnsi="Arial"/>
          <w:sz w:val="18"/>
          <w:szCs w:val="18"/>
          <w:color w:val="auto"/>
        </w:rPr>
        <w:t>any such modification or supplement that is disproportionately adverse to any Lender as compared to other Lenders or subjects any Lender</w:t>
      </w:r>
      <w:r>
        <w:rPr>
          <w:rFonts w:ascii="Arial" w:cs="Arial" w:eastAsia="Arial" w:hAnsi="Arial"/>
          <w:sz w:val="18"/>
          <w:szCs w:val="18"/>
          <w:b w:val="1"/>
          <w:bCs w:val="1"/>
          <w:color w:val="auto"/>
        </w:rPr>
        <w:t xml:space="preserve"> </w:t>
      </w:r>
      <w:r>
        <w:rPr>
          <w:rFonts w:ascii="Arial" w:cs="Arial" w:eastAsia="Arial" w:hAnsi="Arial"/>
          <w:sz w:val="18"/>
          <w:szCs w:val="18"/>
          <w:color w:val="auto"/>
        </w:rPr>
        <w:t>to any additional obligation shall not be effective without the consent of such affected Lender;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496. </w:t>
      </w:r>
      <w:r>
        <w:rPr>
          <w:rFonts w:ascii="Arial" w:cs="Arial" w:eastAsia="Arial" w:hAnsi="Arial"/>
          <w:sz w:val="18"/>
          <w:szCs w:val="18"/>
          <w:color w:val="auto"/>
        </w:rPr>
        <w:t>the consent of all of the Lenders shall be required to:</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4" w:name="page195"/>
    <w:bookmarkEnd w:id="194"/>
    <w:p>
      <w:pPr>
        <w:jc w:val="both"/>
        <w:spacing w:after="0" w:line="272" w:lineRule="auto"/>
        <w:rPr>
          <w:sz w:val="20"/>
          <w:szCs w:val="20"/>
          <w:color w:val="auto"/>
        </w:rPr>
      </w:pPr>
      <w:r>
        <w:rPr>
          <w:rFonts w:ascii="Arial" w:cs="Arial" w:eastAsia="Arial" w:hAnsi="Arial"/>
          <w:sz w:val="17"/>
          <w:szCs w:val="17"/>
          <w:b w:val="1"/>
          <w:bCs w:val="1"/>
          <w:color w:val="auto"/>
        </w:rPr>
        <w:t>SECTION 497. amend, modify, discharge, terminate or waive any of the terms of this Agreement or any other Loan Agreement if such amendment, modification, discharge, termination or waiver would increase the amount of the Loans or Commitment, reduce the fees payable hereunder, reduce interest rates (</w:t>
      </w:r>
      <w:r>
        <w:rPr>
          <w:rFonts w:ascii="Arial" w:cs="Arial" w:eastAsia="Arial" w:hAnsi="Arial"/>
          <w:sz w:val="17"/>
          <w:szCs w:val="17"/>
          <w:b w:val="1"/>
          <w:bCs w:val="1"/>
          <w:u w:val="single" w:color="auto"/>
          <w:color w:val="auto"/>
        </w:rPr>
        <w:t>provided</w:t>
      </w:r>
      <w:r>
        <w:rPr>
          <w:rFonts w:ascii="Arial" w:cs="Arial" w:eastAsia="Arial" w:hAnsi="Arial"/>
          <w:sz w:val="17"/>
          <w:szCs w:val="17"/>
          <w:b w:val="1"/>
          <w:bCs w:val="1"/>
          <w:color w:val="auto"/>
        </w:rPr>
        <w:t xml:space="preserve"> that the Majority Lenders may rescind an imposition of default interest hereunder) or other amounts payable with respect to the Loans (excluding mandatory prepayments), extend any date fixed for payment of principal (excluding mandatory prepayments) (it being understood that the waiver of any prepayment of Loans shall not constitute an extension of any date fixed for payment of principal), interest or other amounts payable relating to the Loans or extend the repayment dates of the Loans (excluding mandatory prepayments); </w:t>
      </w:r>
      <w:r>
        <w:rPr>
          <w:rFonts w:ascii="Arial" w:cs="Arial" w:eastAsia="Arial" w:hAnsi="Arial"/>
          <w:sz w:val="17"/>
          <w:szCs w:val="17"/>
          <w:b w:val="1"/>
          <w:bCs w:val="1"/>
          <w:u w:val="single" w:color="auto"/>
          <w:color w:val="auto"/>
        </w:rPr>
        <w:t>provided</w:t>
      </w:r>
      <w:r>
        <w:rPr>
          <w:rFonts w:ascii="Arial" w:cs="Arial" w:eastAsia="Arial" w:hAnsi="Arial"/>
          <w:sz w:val="17"/>
          <w:szCs w:val="17"/>
          <w:b w:val="1"/>
          <w:bCs w:val="1"/>
          <w:color w:val="auto"/>
        </w:rPr>
        <w:t xml:space="preserve"> that a waiver of any condition precedent set forth in Section 6.02 or of any Default or Event of Default or a mandatory reduction in Commitments is not considered an increase in Commitments of any Lender;</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498. amend, modify, discharge, terminate or waive any Security Document if the effect is to release all or substantially all of the Collateral subject thereto other than pursuant to the terms hereof or thereof; or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499. amend this Section 14.04 or the definition of “Majority Lenders”.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Notwithstanding anything to the contrary herein, (A) the Administrative Agent and the Borrower may amend or modify this Agreement and any other Loan Document to (1) cure any factual or typographical error, omission, defect or inconsistency therein, or (2) grant a new Lien for the benefit of the Lenders, extend an additional Lien over additional property for the benefit of the Lenders or join additional Persons as Obligors and (B)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w:t>
      </w:r>
    </w:p>
    <w:p>
      <w:pPr>
        <w:spacing w:after="0" w:line="2" w:lineRule="exact"/>
        <w:rPr>
          <w:sz w:val="20"/>
          <w:szCs w:val="20"/>
          <w:color w:val="auto"/>
        </w:rPr>
      </w:pPr>
    </w:p>
    <w:p>
      <w:pPr>
        <w:jc w:val="both"/>
        <w:ind w:firstLine="8"/>
        <w:spacing w:after="0" w:line="255" w:lineRule="auto"/>
        <w:tabs>
          <w:tab w:leader="none" w:pos="26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500. Successors and Assigns</w:t>
      </w:r>
      <w:r>
        <w:rPr>
          <w:rFonts w:ascii="Arial" w:cs="Arial" w:eastAsia="Arial" w:hAnsi="Arial"/>
          <w:sz w:val="18"/>
          <w:szCs w:val="18"/>
          <w:color w:val="auto"/>
        </w:rPr>
        <w:t>.</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SECTION 501. General</w:t>
      </w:r>
      <w:r>
        <w:rPr>
          <w:rFonts w:ascii="Arial" w:cs="Arial" w:eastAsia="Arial" w:hAnsi="Arial"/>
          <w:sz w:val="17"/>
          <w:szCs w:val="17"/>
          <w:color w:val="auto"/>
        </w:rPr>
        <w:t>. The provisions of this Agreement and the other Loan Documents shall be binding upon and inure to the benefit of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hereto or thereto and their respective successors and assigns permitted hereby or thereby, except that no Obligor may assign or otherwise transfer any of its rights or obligations hereunder or under any of the other Loan Documents (except in connection with an event permitted under </w:t>
      </w:r>
      <w:r>
        <w:rPr>
          <w:rFonts w:ascii="Arial" w:cs="Arial" w:eastAsia="Arial" w:hAnsi="Arial"/>
          <w:sz w:val="17"/>
          <w:szCs w:val="17"/>
          <w:b w:val="1"/>
          <w:bCs w:val="1"/>
          <w:color w:val="auto"/>
        </w:rPr>
        <w:t>Section 9.03</w:t>
      </w:r>
      <w:r>
        <w:rPr>
          <w:rFonts w:ascii="Arial" w:cs="Arial" w:eastAsia="Arial" w:hAnsi="Arial"/>
          <w:sz w:val="17"/>
          <w:szCs w:val="17"/>
          <w:color w:val="auto"/>
        </w:rPr>
        <w:t xml:space="preserve">) without the prior written consent of the Administrative Agent. Any Lender may assign or otherwise transfer any of its rights or obligations hereunder or under any of the other Loan Documents (i) to an assignee in accordance with the provisions of </w:t>
      </w:r>
      <w:r>
        <w:rPr>
          <w:rFonts w:ascii="Arial" w:cs="Arial" w:eastAsia="Arial" w:hAnsi="Arial"/>
          <w:sz w:val="17"/>
          <w:szCs w:val="17"/>
          <w:b w:val="1"/>
          <w:bCs w:val="1"/>
          <w:color w:val="auto"/>
        </w:rPr>
        <w:t>Section 14.05(b)</w:t>
      </w:r>
      <w:r>
        <w:rPr>
          <w:rFonts w:ascii="Arial" w:cs="Arial" w:eastAsia="Arial" w:hAnsi="Arial"/>
          <w:sz w:val="17"/>
          <w:szCs w:val="17"/>
          <w:color w:val="auto"/>
        </w:rPr>
        <w:t xml:space="preserve">, (ii) by way of participation in accordance with the provisions of </w:t>
      </w:r>
      <w:r>
        <w:rPr>
          <w:rFonts w:ascii="Arial" w:cs="Arial" w:eastAsia="Arial" w:hAnsi="Arial"/>
          <w:sz w:val="17"/>
          <w:szCs w:val="17"/>
          <w:b w:val="1"/>
          <w:bCs w:val="1"/>
          <w:color w:val="auto"/>
        </w:rPr>
        <w:t>Section 14.05(e)</w:t>
      </w:r>
      <w:r>
        <w:rPr>
          <w:rFonts w:ascii="Arial" w:cs="Arial" w:eastAsia="Arial" w:hAnsi="Arial"/>
          <w:sz w:val="17"/>
          <w:szCs w:val="17"/>
          <w:color w:val="auto"/>
        </w:rPr>
        <w:t xml:space="preserve">, or (iii) by way of pledge or assignment of a security interest subject to the restrictions of </w:t>
      </w:r>
      <w:r>
        <w:rPr>
          <w:rFonts w:ascii="Arial" w:cs="Arial" w:eastAsia="Arial" w:hAnsi="Arial"/>
          <w:sz w:val="17"/>
          <w:szCs w:val="17"/>
          <w:b w:val="1"/>
          <w:bCs w:val="1"/>
          <w:color w:val="auto"/>
        </w:rPr>
        <w:t>Section 14.05(f)</w:t>
      </w:r>
      <w:r>
        <w:rPr>
          <w:rFonts w:ascii="Arial" w:cs="Arial" w:eastAsia="Arial" w:hAnsi="Arial"/>
          <w:sz w:val="17"/>
          <w:szCs w:val="17"/>
          <w:color w:val="auto"/>
        </w:rPr>
        <w:t xml:space="preserve">.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7"/>
          <w:szCs w:val="17"/>
          <w:b w:val="1"/>
          <w:bCs w:val="1"/>
          <w:color w:val="auto"/>
        </w:rPr>
        <w:t>Section 14.05(e)</w:t>
      </w:r>
      <w:r>
        <w:rPr>
          <w:rFonts w:ascii="Arial" w:cs="Arial" w:eastAsia="Arial" w:hAnsi="Arial"/>
          <w:sz w:val="17"/>
          <w:szCs w:val="17"/>
          <w:color w:val="auto"/>
        </w:rPr>
        <w:t xml:space="preserve"> and, to the extent expressly contemplated hereby, the Indemnified Parties) any legal or equitable right, remedy or claim under or by reason of this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5" w:name="page196"/>
    <w:bookmarkEnd w:id="195"/>
    <w:p>
      <w:pPr>
        <w:jc w:val="both"/>
        <w:spacing w:after="0" w:line="284" w:lineRule="auto"/>
        <w:rPr>
          <w:sz w:val="20"/>
          <w:szCs w:val="20"/>
          <w:color w:val="auto"/>
        </w:rPr>
      </w:pPr>
      <w:r>
        <w:rPr>
          <w:rFonts w:ascii="Arial" w:cs="Arial" w:eastAsia="Arial" w:hAnsi="Arial"/>
          <w:sz w:val="16"/>
          <w:szCs w:val="16"/>
          <w:b w:val="1"/>
          <w:bCs w:val="1"/>
          <w:color w:val="auto"/>
        </w:rPr>
        <w:t>SECTION 502. Assignments by Lender</w:t>
      </w:r>
      <w:r>
        <w:rPr>
          <w:rFonts w:ascii="Arial" w:cs="Arial" w:eastAsia="Arial" w:hAnsi="Arial"/>
          <w:sz w:val="16"/>
          <w:szCs w:val="16"/>
          <w:color w:val="auto"/>
        </w:rPr>
        <w:t>. Any Lender may at any time assign to one or more Eligible Transferees (or, (i) if an Event of Default under</w:t>
      </w:r>
      <w:r>
        <w:rPr>
          <w:rFonts w:ascii="Arial" w:cs="Arial" w:eastAsia="Arial" w:hAnsi="Arial"/>
          <w:sz w:val="16"/>
          <w:szCs w:val="16"/>
          <w:b w:val="1"/>
          <w:bCs w:val="1"/>
          <w:color w:val="auto"/>
        </w:rPr>
        <w:t xml:space="preserve"> Section 11.01(a)</w:t>
      </w:r>
      <w:r>
        <w:rPr>
          <w:rFonts w:ascii="Arial" w:cs="Arial" w:eastAsia="Arial" w:hAnsi="Arial"/>
          <w:sz w:val="16"/>
          <w:szCs w:val="16"/>
          <w:color w:val="auto"/>
        </w:rPr>
        <w:t>,</w:t>
      </w:r>
      <w:r>
        <w:rPr>
          <w:rFonts w:ascii="Arial" w:cs="Arial" w:eastAsia="Arial" w:hAnsi="Arial"/>
          <w:sz w:val="16"/>
          <w:szCs w:val="16"/>
          <w:b w:val="1"/>
          <w:bCs w:val="1"/>
          <w:color w:val="auto"/>
        </w:rPr>
        <w:t xml:space="preserve"> (b) </w:t>
      </w:r>
      <w:r>
        <w:rPr>
          <w:rFonts w:ascii="Arial" w:cs="Arial" w:eastAsia="Arial" w:hAnsi="Arial"/>
          <w:sz w:val="16"/>
          <w:szCs w:val="16"/>
          <w:color w:val="auto"/>
        </w:rPr>
        <w:t>or</w:t>
      </w:r>
      <w:r>
        <w:rPr>
          <w:rFonts w:ascii="Arial" w:cs="Arial" w:eastAsia="Arial" w:hAnsi="Arial"/>
          <w:sz w:val="16"/>
          <w:szCs w:val="16"/>
          <w:b w:val="1"/>
          <w:bCs w:val="1"/>
          <w:color w:val="auto"/>
        </w:rPr>
        <w:t xml:space="preserve"> (h) </w:t>
      </w:r>
      <w:r>
        <w:rPr>
          <w:rFonts w:ascii="Arial" w:cs="Arial" w:eastAsia="Arial" w:hAnsi="Arial"/>
          <w:sz w:val="16"/>
          <w:szCs w:val="16"/>
          <w:color w:val="auto"/>
        </w:rPr>
        <w:t>has occurred and is continuing, to any Person that is not a Defaulting Lender and (ii) if an Event of Default that is not an Event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Default under </w:t>
      </w:r>
      <w:r>
        <w:rPr>
          <w:rFonts w:ascii="Arial" w:cs="Arial" w:eastAsia="Arial" w:hAnsi="Arial"/>
          <w:sz w:val="16"/>
          <w:szCs w:val="16"/>
          <w:b w:val="1"/>
          <w:bCs w:val="1"/>
          <w:color w:val="auto"/>
        </w:rPr>
        <w:t>Section 11.01(a)</w:t>
      </w:r>
      <w:r>
        <w:rPr>
          <w:rFonts w:ascii="Arial" w:cs="Arial" w:eastAsia="Arial" w:hAnsi="Arial"/>
          <w:sz w:val="16"/>
          <w:szCs w:val="16"/>
          <w:color w:val="auto"/>
        </w:rPr>
        <w:t xml:space="preserve">, </w:t>
      </w:r>
      <w:r>
        <w:rPr>
          <w:rFonts w:ascii="Arial" w:cs="Arial" w:eastAsia="Arial" w:hAnsi="Arial"/>
          <w:sz w:val="16"/>
          <w:szCs w:val="16"/>
          <w:b w:val="1"/>
          <w:bCs w:val="1"/>
          <w:color w:val="auto"/>
        </w:rPr>
        <w:t>(b)</w:t>
      </w:r>
      <w:r>
        <w:rPr>
          <w:rFonts w:ascii="Arial" w:cs="Arial" w:eastAsia="Arial" w:hAnsi="Arial"/>
          <w:sz w:val="16"/>
          <w:szCs w:val="16"/>
          <w:color w:val="auto"/>
        </w:rPr>
        <w:t xml:space="preserve"> or </w:t>
      </w:r>
      <w:r>
        <w:rPr>
          <w:rFonts w:ascii="Arial" w:cs="Arial" w:eastAsia="Arial" w:hAnsi="Arial"/>
          <w:sz w:val="16"/>
          <w:szCs w:val="16"/>
          <w:b w:val="1"/>
          <w:bCs w:val="1"/>
          <w:color w:val="auto"/>
        </w:rPr>
        <w:t>(h)</w:t>
      </w:r>
      <w:r>
        <w:rPr>
          <w:rFonts w:ascii="Arial" w:cs="Arial" w:eastAsia="Arial" w:hAnsi="Arial"/>
          <w:sz w:val="16"/>
          <w:szCs w:val="16"/>
          <w:color w:val="auto"/>
        </w:rPr>
        <w:t xml:space="preserve"> has occurred and is continuing (but no Event of Default </w:t>
      </w:r>
      <w:r>
        <w:rPr>
          <w:rFonts w:ascii="Arial" w:cs="Arial" w:eastAsia="Arial" w:hAnsi="Arial"/>
          <w:sz w:val="16"/>
          <w:szCs w:val="16"/>
          <w:b w:val="1"/>
          <w:bCs w:val="1"/>
          <w:color w:val="auto"/>
        </w:rPr>
        <w:t>Section 11.01(a)</w:t>
      </w:r>
      <w:r>
        <w:rPr>
          <w:rFonts w:ascii="Arial" w:cs="Arial" w:eastAsia="Arial" w:hAnsi="Arial"/>
          <w:sz w:val="16"/>
          <w:szCs w:val="16"/>
          <w:color w:val="auto"/>
        </w:rPr>
        <w:t xml:space="preserve">, </w:t>
      </w:r>
      <w:r>
        <w:rPr>
          <w:rFonts w:ascii="Arial" w:cs="Arial" w:eastAsia="Arial" w:hAnsi="Arial"/>
          <w:sz w:val="16"/>
          <w:szCs w:val="16"/>
          <w:b w:val="1"/>
          <w:bCs w:val="1"/>
          <w:color w:val="auto"/>
        </w:rPr>
        <w:t>(b)</w:t>
      </w:r>
      <w:r>
        <w:rPr>
          <w:rFonts w:ascii="Arial" w:cs="Arial" w:eastAsia="Arial" w:hAnsi="Arial"/>
          <w:sz w:val="16"/>
          <w:szCs w:val="16"/>
          <w:color w:val="auto"/>
        </w:rPr>
        <w:t xml:space="preserve"> or </w:t>
      </w:r>
      <w:r>
        <w:rPr>
          <w:rFonts w:ascii="Arial" w:cs="Arial" w:eastAsia="Arial" w:hAnsi="Arial"/>
          <w:sz w:val="16"/>
          <w:szCs w:val="16"/>
          <w:b w:val="1"/>
          <w:bCs w:val="1"/>
          <w:color w:val="auto"/>
        </w:rPr>
        <w:t>(h)</w:t>
      </w:r>
      <w:r>
        <w:rPr>
          <w:rFonts w:ascii="Arial" w:cs="Arial" w:eastAsia="Arial" w:hAnsi="Arial"/>
          <w:sz w:val="16"/>
          <w:szCs w:val="16"/>
          <w:color w:val="auto"/>
        </w:rPr>
        <w:t xml:space="preserve"> has occurred and is continuing), to any Person that is not a Defaulting Lender or a Company Competitor (that has been identified by name in writing by the Borrower to the Administrative Agent prior to the date of such Event of Default)) all or a portion of its rights and obligations under this Agreement (including all or a portion of the Loans at the time owing to it) and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assignment shall be made to any Obligor, any Affiliate of any Obligor, any employees or directors of any Obligor at any time and no such assignment shall be made without the prior written consent of the Administrative Agent. The consent of the Borrower (such consent not to be unreasonably withheld, conditioned or delayed) shall be required unless (x) an Event of Default has occurred and is continuing at the time of such assignment or (y) such assignment is to an Eligible Transferee;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be deemed to have consented to any such assignment unless it shall object thereto by written notice to the Administrative Agent within five</w:t>
      </w:r>
    </w:p>
    <w:p>
      <w:pPr>
        <w:spacing w:after="0" w:line="1" w:lineRule="exact"/>
        <w:rPr>
          <w:sz w:val="20"/>
          <w:szCs w:val="20"/>
          <w:color w:val="auto"/>
        </w:rPr>
      </w:pPr>
    </w:p>
    <w:p>
      <w:pPr>
        <w:jc w:val="both"/>
        <w:ind w:firstLine="8"/>
        <w:spacing w:after="0" w:line="267" w:lineRule="auto"/>
        <w:tabs>
          <w:tab w:leader="none" w:pos="262"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Business Days after having received written notice thereof. Subject to the recording thereof by the Administrative Agent pursuant to </w:t>
      </w:r>
      <w:r>
        <w:rPr>
          <w:rFonts w:ascii="Arial" w:cs="Arial" w:eastAsia="Arial" w:hAnsi="Arial"/>
          <w:sz w:val="17"/>
          <w:szCs w:val="17"/>
          <w:b w:val="1"/>
          <w:bCs w:val="1"/>
          <w:color w:val="auto"/>
        </w:rPr>
        <w:t>Section 14.05(d)</w:t>
      </w:r>
      <w:r>
        <w:rPr>
          <w:rFonts w:ascii="Arial" w:cs="Arial" w:eastAsia="Arial" w:hAnsi="Arial"/>
          <w:sz w:val="17"/>
          <w:szCs w:val="17"/>
          <w:color w:val="auto"/>
        </w:rPr>
        <w:t>, and to receipt by the Administrative Agent of a processing and recordation fee in the amount of $3,500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may, in its sole discretion, elect to waive such processing and recordation fee in the case of any assignment) from and after the date such Assignment and Assumption is recorded in the Register, the assignee thereunder shall be a party to this Agreement and, to the extent of the interest assigned by such Assignment and Assumption, have the rights and obligations of the Lender under this Agreement and the other Loan Documents, and correspondingly the assigning Lender shall, to the extent of the interest assigned by such Assignment and Assumption, be released from its obligations under this Agreement (and, in the case of an Assignment and Assumption covering all of the Lender’s rights and obligations under this Agreement, such Lender shall cease to be a party hereto) and the other Loan Documents but shall continue to be entitled to the benefits of </w:t>
      </w:r>
      <w:r>
        <w:rPr>
          <w:rFonts w:ascii="Arial" w:cs="Arial" w:eastAsia="Arial" w:hAnsi="Arial"/>
          <w:sz w:val="17"/>
          <w:szCs w:val="17"/>
          <w:b w:val="1"/>
          <w:bCs w:val="1"/>
          <w:color w:val="auto"/>
        </w:rPr>
        <w:t>Section 5</w:t>
      </w:r>
      <w:r>
        <w:rPr>
          <w:rFonts w:ascii="Arial" w:cs="Arial" w:eastAsia="Arial" w:hAnsi="Arial"/>
          <w:sz w:val="17"/>
          <w:szCs w:val="17"/>
          <w:color w:val="auto"/>
        </w:rPr>
        <w:t xml:space="preserve"> and </w:t>
      </w:r>
      <w:r>
        <w:rPr>
          <w:rFonts w:ascii="Arial" w:cs="Arial" w:eastAsia="Arial" w:hAnsi="Arial"/>
          <w:sz w:val="17"/>
          <w:szCs w:val="17"/>
          <w:b w:val="1"/>
          <w:bCs w:val="1"/>
          <w:color w:val="auto"/>
        </w:rPr>
        <w:t>Section 14.03</w:t>
      </w:r>
      <w:r>
        <w:rPr>
          <w:rFonts w:ascii="Arial" w:cs="Arial" w:eastAsia="Arial" w:hAnsi="Arial"/>
          <w:sz w:val="17"/>
          <w:szCs w:val="17"/>
          <w:color w:val="auto"/>
        </w:rPr>
        <w:t xml:space="preserve">. Any assignment or transfer by the Lender of rights or obligations under this Agreement that does not comply with this </w:t>
      </w:r>
      <w:r>
        <w:rPr>
          <w:rFonts w:ascii="Arial" w:cs="Arial" w:eastAsia="Arial" w:hAnsi="Arial"/>
          <w:sz w:val="17"/>
          <w:szCs w:val="17"/>
          <w:b w:val="1"/>
          <w:bCs w:val="1"/>
          <w:color w:val="auto"/>
        </w:rPr>
        <w:t>Section 14.05(b)</w:t>
      </w:r>
      <w:r>
        <w:rPr>
          <w:rFonts w:ascii="Arial" w:cs="Arial" w:eastAsia="Arial" w:hAnsi="Arial"/>
          <w:sz w:val="17"/>
          <w:szCs w:val="17"/>
          <w:color w:val="auto"/>
        </w:rPr>
        <w:t xml:space="preserve"> shall be treated for purposes of this Agreement as a sale by such Lender of a participation in such rights and obligations in accordance with </w:t>
      </w:r>
      <w:r>
        <w:rPr>
          <w:rFonts w:ascii="Arial" w:cs="Arial" w:eastAsia="Arial" w:hAnsi="Arial"/>
          <w:sz w:val="17"/>
          <w:szCs w:val="17"/>
          <w:b w:val="1"/>
          <w:bCs w:val="1"/>
          <w:color w:val="auto"/>
        </w:rPr>
        <w:t>Section 14.05(e)</w:t>
      </w:r>
      <w:r>
        <w:rPr>
          <w:rFonts w:ascii="Arial" w:cs="Arial" w:eastAsia="Arial" w:hAnsi="Arial"/>
          <w:sz w:val="17"/>
          <w:szCs w:val="17"/>
          <w:color w:val="auto"/>
        </w:rPr>
        <w:t>. If an assignee is not a Lender, the assignee shall provide the Administrative Agent with all “know your customer” documents requested by the Administrative Agent pursuant to anti-money laundering rules and regulations.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503. Amendments to Loan Documents</w:t>
      </w:r>
      <w:r>
        <w:rPr>
          <w:rFonts w:ascii="Arial" w:cs="Arial" w:eastAsia="Arial" w:hAnsi="Arial"/>
          <w:sz w:val="18"/>
          <w:szCs w:val="18"/>
          <w:color w:val="auto"/>
        </w:rPr>
        <w:t>. Each of the Administrative Agent, the Lenders and the Obligors agrees to enter into such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the Loan Documents, and such additional Security Documents and other instruments and agreements, in each case in form and substance reasonably acceptable to the Administrative Agent, the Lenders and the Obligors, as shall reasonably be necessary to implement and give effect to any assignment made under this </w:t>
      </w:r>
      <w:r>
        <w:rPr>
          <w:rFonts w:ascii="Arial" w:cs="Arial" w:eastAsia="Arial" w:hAnsi="Arial"/>
          <w:sz w:val="18"/>
          <w:szCs w:val="18"/>
          <w:b w:val="1"/>
          <w:bCs w:val="1"/>
          <w:color w:val="auto"/>
        </w:rPr>
        <w:t>Section 14.05</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6" w:name="page197"/>
    <w:bookmarkEnd w:id="196"/>
    <w:p>
      <w:pPr>
        <w:jc w:val="both"/>
        <w:spacing w:after="0" w:line="271" w:lineRule="auto"/>
        <w:rPr>
          <w:sz w:val="20"/>
          <w:szCs w:val="20"/>
          <w:color w:val="auto"/>
        </w:rPr>
      </w:pPr>
      <w:r>
        <w:rPr>
          <w:rFonts w:ascii="Arial" w:cs="Arial" w:eastAsia="Arial" w:hAnsi="Arial"/>
          <w:sz w:val="17"/>
          <w:szCs w:val="17"/>
          <w:b w:val="1"/>
          <w:bCs w:val="1"/>
          <w:color w:val="auto"/>
        </w:rPr>
        <w:t>SECTION 504. Register</w:t>
      </w:r>
      <w:r>
        <w:rPr>
          <w:rFonts w:ascii="Arial" w:cs="Arial" w:eastAsia="Arial" w:hAnsi="Arial"/>
          <w:sz w:val="17"/>
          <w:szCs w:val="17"/>
          <w:color w:val="auto"/>
        </w:rPr>
        <w:t>. The Administrative Agent, acting solely for this purpose as a non-fiduciary agent of the Borrower, shall maintain at one of its</w:t>
      </w:r>
      <w:r>
        <w:rPr>
          <w:rFonts w:ascii="Arial" w:cs="Arial" w:eastAsia="Arial" w:hAnsi="Arial"/>
          <w:sz w:val="17"/>
          <w:szCs w:val="17"/>
          <w:b w:val="1"/>
          <w:bCs w:val="1"/>
          <w:color w:val="auto"/>
        </w:rPr>
        <w:t xml:space="preserve"> </w:t>
      </w:r>
      <w:r>
        <w:rPr>
          <w:rFonts w:ascii="Arial" w:cs="Arial" w:eastAsia="Arial" w:hAnsi="Arial"/>
          <w:sz w:val="17"/>
          <w:szCs w:val="17"/>
          <w:color w:val="auto"/>
        </w:rPr>
        <w:t>offices in the United States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Arial" w:cs="Arial" w:eastAsia="Arial" w:hAnsi="Arial"/>
          <w:sz w:val="17"/>
          <w:szCs w:val="17"/>
          <w:b w:val="1"/>
          <w:bCs w:val="1"/>
          <w:i w:val="1"/>
          <w:iCs w:val="1"/>
          <w:color w:val="auto"/>
        </w:rPr>
        <w:t>Register</w:t>
      </w:r>
      <w:r>
        <w:rPr>
          <w:rFonts w:ascii="Arial" w:cs="Arial" w:eastAsia="Arial" w:hAnsi="Arial"/>
          <w:sz w:val="17"/>
          <w:szCs w:val="17"/>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In addition, the Administrative Agent shall maintain on the Register information regarding the designation, and revocation of designation, of any Lender as a Defaulting Lender. The Register shall be available for inspection by the Borrower and any Lender, at any reasonable time and from time to time upon reasonable prior written notice. Notwithstanding anything to the contrary, any assignment of any Loan shall be effective only upon appropriate entries with respect thereto being made in the Register.</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SECTION 505. Participations</w:t>
      </w:r>
      <w:r>
        <w:rPr>
          <w:rFonts w:ascii="Arial" w:cs="Arial" w:eastAsia="Arial" w:hAnsi="Arial"/>
          <w:sz w:val="16"/>
          <w:szCs w:val="16"/>
          <w:color w:val="auto"/>
        </w:rPr>
        <w:t>. Any Lender may at any time, without the consent of, or notice to, the Borrower, sell participations to any Eligible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Transferee (other than a natural person, a Defaulting Lender or any Obligor or any of its Affiliates or Subsidiaries) (each, a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xml:space="preserve">”) in all or a portion of the Lender’s rights and/or obligations under this Agreement (including all or a portion of the Commitment and/or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 w:lineRule="exact"/>
        <w:rPr>
          <w:sz w:val="20"/>
          <w:szCs w:val="20"/>
          <w:color w:val="auto"/>
        </w:rPr>
      </w:pPr>
    </w:p>
    <w:p>
      <w:pPr>
        <w:jc w:val="both"/>
        <w:ind w:firstLine="8"/>
        <w:spacing w:after="0" w:line="283" w:lineRule="auto"/>
        <w:tabs>
          <w:tab w:leader="none" w:pos="217"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such Lender’s obligations under this Agreement and the other Loan Documents shall remain unchanged, (ii) such Lender shall remain solely responsible to the other parties hereto for the performance of such obligations and (iii) the Borrower shall continue to deal solely and directly with such Lender in connection therewith. Any agreement or instrument pursuant to which any Lender sells such a participation shall provide that such Lender shall retain the sole right to enforce the Loan Documents and to approve any amendment, modification or waiver of any provision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that would (i) increase or extend the term of such Lender’s Commitment (it being understood and agreed that a waiver of any condition precedent set forth in </w:t>
      </w:r>
      <w:r>
        <w:rPr>
          <w:rFonts w:ascii="Arial" w:cs="Arial" w:eastAsia="Arial" w:hAnsi="Arial"/>
          <w:sz w:val="16"/>
          <w:szCs w:val="16"/>
          <w:b w:val="1"/>
          <w:bCs w:val="1"/>
          <w:color w:val="auto"/>
        </w:rPr>
        <w:t>Section 6.02</w:t>
      </w:r>
      <w:r>
        <w:rPr>
          <w:rFonts w:ascii="Arial" w:cs="Arial" w:eastAsia="Arial" w:hAnsi="Arial"/>
          <w:sz w:val="16"/>
          <w:szCs w:val="16"/>
          <w:color w:val="auto"/>
        </w:rPr>
        <w:t xml:space="preserve"> or of any Default or Event of Default or a mandatory reduction in Commitments is not considered an increase of any Commitment), (ii) extend the date fixed for the payment of principal (excluding mandatory prepayments) of or interest on the Loans or any portion of any fee hereunder payable to the Participant, (iii) reduce the amount of any such payment of principal, or (iv) reduce the rate at which interest is payable thereon to a level below the rate at which the Participant is entitled to receive such interest (other than a waiver of default interest). Subject to </w:t>
      </w:r>
      <w:r>
        <w:rPr>
          <w:rFonts w:ascii="Arial" w:cs="Arial" w:eastAsia="Arial" w:hAnsi="Arial"/>
          <w:sz w:val="16"/>
          <w:szCs w:val="16"/>
          <w:b w:val="1"/>
          <w:bCs w:val="1"/>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14.05(f)</w:t>
      </w:r>
      <w:r>
        <w:rPr>
          <w:rFonts w:ascii="Arial" w:cs="Arial" w:eastAsia="Arial" w:hAnsi="Arial"/>
          <w:sz w:val="16"/>
          <w:szCs w:val="16"/>
          <w:color w:val="auto"/>
        </w:rPr>
        <w:t>, the Borrower agrees that each Participant shall be entitled to the benefits of</w:t>
      </w:r>
      <w:r>
        <w:rPr>
          <w:rFonts w:ascii="Arial" w:cs="Arial" w:eastAsia="Arial" w:hAnsi="Arial"/>
          <w:sz w:val="16"/>
          <w:szCs w:val="16"/>
          <w:b w:val="1"/>
          <w:bCs w:val="1"/>
          <w:color w:val="auto"/>
        </w:rPr>
        <w:t xml:space="preserve"> Section 5.01 </w:t>
      </w:r>
      <w:r>
        <w:rPr>
          <w:rFonts w:ascii="Arial" w:cs="Arial" w:eastAsia="Arial" w:hAnsi="Arial"/>
          <w:sz w:val="16"/>
          <w:szCs w:val="16"/>
          <w:color w:val="auto"/>
        </w:rPr>
        <w:t>or</w:t>
      </w:r>
      <w:r>
        <w:rPr>
          <w:rFonts w:ascii="Arial" w:cs="Arial" w:eastAsia="Arial" w:hAnsi="Arial"/>
          <w:sz w:val="16"/>
          <w:szCs w:val="16"/>
          <w:b w:val="1"/>
          <w:bCs w:val="1"/>
          <w:color w:val="auto"/>
        </w:rPr>
        <w:t xml:space="preserve"> 5.03 </w:t>
      </w:r>
      <w:r>
        <w:rPr>
          <w:rFonts w:ascii="Arial" w:cs="Arial" w:eastAsia="Arial" w:hAnsi="Arial"/>
          <w:sz w:val="16"/>
          <w:szCs w:val="16"/>
          <w:color w:val="auto"/>
        </w:rPr>
        <w:t>(subject to the requirements and limitations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therein, including the requirements under </w:t>
      </w:r>
      <w:r>
        <w:rPr>
          <w:rFonts w:ascii="Arial" w:cs="Arial" w:eastAsia="Arial" w:hAnsi="Arial"/>
          <w:sz w:val="16"/>
          <w:szCs w:val="16"/>
          <w:b w:val="1"/>
          <w:bCs w:val="1"/>
          <w:color w:val="auto"/>
        </w:rPr>
        <w:t>Section 5.03(f)</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b w:val="1"/>
          <w:bCs w:val="1"/>
          <w:color w:val="auto"/>
        </w:rPr>
        <w:t>Section 5.03(f)</w:t>
      </w:r>
      <w:r>
        <w:rPr>
          <w:rFonts w:ascii="Arial" w:cs="Arial" w:eastAsia="Arial" w:hAnsi="Arial"/>
          <w:sz w:val="16"/>
          <w:szCs w:val="16"/>
          <w:color w:val="auto"/>
        </w:rPr>
        <w:t xml:space="preserve"> shall be delivered to the participating Lender)) to the same extent as if it were a Lender and had acquired its interest by assignment pursuant to </w:t>
      </w:r>
      <w:r>
        <w:rPr>
          <w:rFonts w:ascii="Arial" w:cs="Arial" w:eastAsia="Arial" w:hAnsi="Arial"/>
          <w:sz w:val="16"/>
          <w:szCs w:val="16"/>
          <w:b w:val="1"/>
          <w:bCs w:val="1"/>
          <w:color w:val="auto"/>
        </w:rPr>
        <w:t>Section 14.05(b)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(i) shall not be entitled to such benefits unless such Participant agrees, for the benefit of the Borrower, to comply with the documentation requirements of </w:t>
      </w:r>
      <w:r>
        <w:rPr>
          <w:rFonts w:ascii="Arial" w:cs="Arial" w:eastAsia="Arial" w:hAnsi="Arial"/>
          <w:sz w:val="16"/>
          <w:szCs w:val="16"/>
          <w:b w:val="1"/>
          <w:bCs w:val="1"/>
          <w:color w:val="auto"/>
        </w:rPr>
        <w:t>Section 5.03(e)(ii)</w:t>
      </w:r>
      <w:r>
        <w:rPr>
          <w:rFonts w:ascii="Arial" w:cs="Arial" w:eastAsia="Arial" w:hAnsi="Arial"/>
          <w:sz w:val="16"/>
          <w:szCs w:val="16"/>
          <w:color w:val="auto"/>
        </w:rPr>
        <w:t xml:space="preserve"> as if it were a Lender and complies with such requirements, (ii) agrees to be subject to the provisions of </w:t>
      </w:r>
      <w:r>
        <w:rPr>
          <w:rFonts w:ascii="Arial" w:cs="Arial" w:eastAsia="Arial" w:hAnsi="Arial"/>
          <w:sz w:val="16"/>
          <w:szCs w:val="16"/>
          <w:b w:val="1"/>
          <w:bCs w:val="1"/>
          <w:color w:val="auto"/>
        </w:rPr>
        <w:t>Section 5.04</w:t>
      </w:r>
      <w:r>
        <w:rPr>
          <w:rFonts w:ascii="Arial" w:cs="Arial" w:eastAsia="Arial" w:hAnsi="Arial"/>
          <w:sz w:val="16"/>
          <w:szCs w:val="16"/>
          <w:color w:val="auto"/>
        </w:rPr>
        <w:t xml:space="preserve"> as if it were an assignee under </w:t>
      </w:r>
      <w:r>
        <w:rPr>
          <w:rFonts w:ascii="Arial" w:cs="Arial" w:eastAsia="Arial" w:hAnsi="Arial"/>
          <w:sz w:val="16"/>
          <w:szCs w:val="16"/>
          <w:b w:val="1"/>
          <w:bCs w:val="1"/>
          <w:color w:val="auto"/>
        </w:rPr>
        <w:t>Section 14.05(b)</w:t>
      </w:r>
      <w:r>
        <w:rPr>
          <w:rFonts w:ascii="Arial" w:cs="Arial" w:eastAsia="Arial" w:hAnsi="Arial"/>
          <w:sz w:val="16"/>
          <w:szCs w:val="16"/>
          <w:color w:val="auto"/>
        </w:rPr>
        <w:t xml:space="preserve"> and (iii) shall not be entitled to receive any greater payment under </w:t>
      </w:r>
      <w:r>
        <w:rPr>
          <w:rFonts w:ascii="Arial" w:cs="Arial" w:eastAsia="Arial" w:hAnsi="Arial"/>
          <w:sz w:val="16"/>
          <w:szCs w:val="16"/>
          <w:b w:val="1"/>
          <w:bCs w:val="1"/>
          <w:color w:val="auto"/>
        </w:rPr>
        <w:t>Section 5.01</w:t>
      </w:r>
      <w:r>
        <w:rPr>
          <w:rFonts w:ascii="Arial" w:cs="Arial" w:eastAsia="Arial" w:hAnsi="Arial"/>
          <w:sz w:val="16"/>
          <w:szCs w:val="16"/>
          <w:color w:val="auto"/>
        </w:rPr>
        <w:t xml:space="preserve"> or </w:t>
      </w:r>
      <w:r>
        <w:rPr>
          <w:rFonts w:ascii="Arial" w:cs="Arial" w:eastAsia="Arial" w:hAnsi="Arial"/>
          <w:sz w:val="16"/>
          <w:szCs w:val="16"/>
          <w:b w:val="1"/>
          <w:bCs w:val="1"/>
          <w:color w:val="auto"/>
        </w:rPr>
        <w:t>5.03</w:t>
      </w:r>
      <w:r>
        <w:rPr>
          <w:rFonts w:ascii="Arial" w:cs="Arial" w:eastAsia="Arial" w:hAnsi="Arial"/>
          <w:sz w:val="16"/>
          <w:szCs w:val="16"/>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w:t>
      </w:r>
      <w:r>
        <w:rPr>
          <w:rFonts w:ascii="Arial" w:cs="Arial" w:eastAsia="Arial" w:hAnsi="Arial"/>
          <w:sz w:val="16"/>
          <w:szCs w:val="16"/>
          <w:b w:val="1"/>
          <w:bCs w:val="1"/>
          <w:color w:val="auto"/>
        </w:rPr>
        <w:t>Section 4.03(a)</w:t>
      </w:r>
      <w:r>
        <w:rPr>
          <w:rFonts w:ascii="Arial" w:cs="Arial" w:eastAsia="Arial" w:hAnsi="Arial"/>
          <w:sz w:val="16"/>
          <w:szCs w:val="16"/>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b w:val="1"/>
          <w:bCs w:val="1"/>
          <w:i w:val="1"/>
          <w:iCs w:val="1"/>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7" w:name="page198"/>
    <w:bookmarkEnd w:id="197"/>
    <w:p>
      <w:pPr>
        <w:jc w:val="both"/>
        <w:spacing w:after="0" w:line="266" w:lineRule="auto"/>
        <w:rPr>
          <w:sz w:val="20"/>
          <w:szCs w:val="20"/>
          <w:color w:val="auto"/>
        </w:rPr>
      </w:pPr>
      <w:r>
        <w:rPr>
          <w:rFonts w:ascii="Arial" w:cs="Arial" w:eastAsia="Arial" w:hAnsi="Arial"/>
          <w:sz w:val="18"/>
          <w:szCs w:val="18"/>
          <w:b w:val="1"/>
          <w:bCs w:val="1"/>
          <w:color w:val="auto"/>
        </w:rPr>
        <w:t>SECTION 506. Limitations on Rights of Participants</w:t>
      </w:r>
      <w:r>
        <w:rPr>
          <w:rFonts w:ascii="Arial" w:cs="Arial" w:eastAsia="Arial" w:hAnsi="Arial"/>
          <w:sz w:val="18"/>
          <w:szCs w:val="18"/>
          <w:color w:val="auto"/>
        </w:rPr>
        <w:t>. A Participant shall not be entitled to receive any greater payment under</w:t>
      </w:r>
      <w:r>
        <w:rPr>
          <w:rFonts w:ascii="Arial" w:cs="Arial" w:eastAsia="Arial" w:hAnsi="Arial"/>
          <w:sz w:val="18"/>
          <w:szCs w:val="18"/>
          <w:b w:val="1"/>
          <w:bCs w:val="1"/>
          <w:color w:val="auto"/>
        </w:rPr>
        <w:t xml:space="preserve"> Section 5.01 </w:t>
      </w:r>
      <w:r>
        <w:rPr>
          <w:rFonts w:ascii="Arial" w:cs="Arial" w:eastAsia="Arial" w:hAnsi="Arial"/>
          <w:sz w:val="18"/>
          <w:szCs w:val="18"/>
          <w:color w:val="auto"/>
        </w:rPr>
        <w:t>or</w:t>
      </w:r>
      <w:r>
        <w:rPr>
          <w:rFonts w:ascii="Arial" w:cs="Arial" w:eastAsia="Arial" w:hAnsi="Arial"/>
          <w:sz w:val="18"/>
          <w:szCs w:val="18"/>
          <w:b w:val="1"/>
          <w:bCs w:val="1"/>
          <w:color w:val="auto"/>
        </w:rPr>
        <w:t xml:space="preserve"> 5.03 </w:t>
      </w:r>
      <w:r>
        <w:rPr>
          <w:rFonts w:ascii="Arial" w:cs="Arial" w:eastAsia="Arial" w:hAnsi="Arial"/>
          <w:sz w:val="18"/>
          <w:szCs w:val="18"/>
          <w:color w:val="auto"/>
        </w:rPr>
        <w:t>than</w:t>
      </w:r>
      <w:r>
        <w:rPr>
          <w:rFonts w:ascii="Arial" w:cs="Arial" w:eastAsia="Arial" w:hAnsi="Arial"/>
          <w:sz w:val="18"/>
          <w:szCs w:val="18"/>
          <w:b w:val="1"/>
          <w:bCs w:val="1"/>
          <w:color w:val="auto"/>
        </w:rPr>
        <w:t xml:space="preserve"> </w:t>
      </w:r>
      <w:r>
        <w:rPr>
          <w:rFonts w:ascii="Arial" w:cs="Arial" w:eastAsia="Arial" w:hAnsi="Arial"/>
          <w:sz w:val="18"/>
          <w:szCs w:val="18"/>
          <w:color w:val="auto"/>
        </w:rPr>
        <w:t>such Lender would have been entitled to receive with respect to the participation sold to such Participant, unless the sale of the participation to such Participant is made with the Borrower’s prior written consent.</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SECTION 507. Certain Pledges</w:t>
      </w:r>
      <w:r>
        <w:rPr>
          <w:rFonts w:ascii="Arial" w:cs="Arial" w:eastAsia="Arial" w:hAnsi="Arial"/>
          <w:sz w:val="18"/>
          <w:szCs w:val="18"/>
          <w:color w:val="auto"/>
        </w:rPr>
        <w:t>. Any Lender may at any time pledge or assign a security interest in all or any portion of its rights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Documents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SECTION 508. Certain Additional Payments</w:t>
      </w:r>
      <w:r>
        <w:rPr>
          <w:rFonts w:ascii="Arial" w:cs="Arial" w:eastAsia="Arial" w:hAnsi="Arial"/>
          <w:sz w:val="17"/>
          <w:szCs w:val="17"/>
          <w:color w:val="auto"/>
        </w:rPr>
        <w:t>. In connection with any assignment of rights and obligations of any Defaulting Lender hereunder, no such</w:t>
      </w:r>
      <w:r>
        <w:rPr>
          <w:rFonts w:ascii="Arial" w:cs="Arial" w:eastAsia="Arial" w:hAnsi="Arial"/>
          <w:sz w:val="17"/>
          <w:szCs w:val="17"/>
          <w:b w:val="1"/>
          <w:bCs w:val="1"/>
          <w:color w:val="auto"/>
        </w:rPr>
        <w:t xml:space="preserve"> </w:t>
      </w:r>
      <w:r>
        <w:rPr>
          <w:rFonts w:ascii="Arial" w:cs="Arial" w:eastAsia="Arial" w:hAnsi="Arial"/>
          <w:sz w:val="17"/>
          <w:szCs w:val="17"/>
          <w:color w:val="auto"/>
        </w:rPr>
        <w:t>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Proportionate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Proportionate Share of all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8" w:name="page199"/>
    <w:bookmarkEnd w:id="198"/>
    <w:p>
      <w:pPr>
        <w:jc w:val="both"/>
        <w:spacing w:after="0" w:line="294" w:lineRule="auto"/>
        <w:rPr>
          <w:sz w:val="20"/>
          <w:szCs w:val="20"/>
          <w:color w:val="auto"/>
        </w:rPr>
      </w:pPr>
      <w:r>
        <w:rPr>
          <w:rFonts w:ascii="Arial" w:cs="Arial" w:eastAsia="Arial" w:hAnsi="Arial"/>
          <w:sz w:val="16"/>
          <w:szCs w:val="16"/>
          <w:b w:val="1"/>
          <w:bCs w:val="1"/>
          <w:i w:val="1"/>
          <w:iCs w:val="1"/>
          <w:color w:val="auto"/>
        </w:rPr>
        <w:t>SECTION 509. Survival</w:t>
      </w:r>
      <w:r>
        <w:rPr>
          <w:rFonts w:ascii="Arial" w:cs="Arial" w:eastAsia="Arial" w:hAnsi="Arial"/>
          <w:sz w:val="16"/>
          <w:szCs w:val="16"/>
          <w:color w:val="auto"/>
        </w:rPr>
        <w:t>. The obligations of the Borrower under</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Sections 5.01</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5.03</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14.03</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14.05</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14.06</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14.09</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14.10</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14.11</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14.12</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14.13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14.14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obligations of the Guarantors under </w:t>
      </w:r>
      <w:r>
        <w:rPr>
          <w:rFonts w:ascii="Arial" w:cs="Arial" w:eastAsia="Arial" w:hAnsi="Arial"/>
          <w:sz w:val="16"/>
          <w:szCs w:val="16"/>
          <w:b w:val="1"/>
          <w:bCs w:val="1"/>
          <w:color w:val="auto"/>
        </w:rPr>
        <w:t>Section 13</w:t>
      </w:r>
      <w:r>
        <w:rPr>
          <w:rFonts w:ascii="Arial" w:cs="Arial" w:eastAsia="Arial" w:hAnsi="Arial"/>
          <w:sz w:val="16"/>
          <w:szCs w:val="16"/>
          <w:color w:val="auto"/>
        </w:rPr>
        <w:t xml:space="preserve"> (solely to the extent guaranteeing any of the obligations under the foregoing Sections) shall survive the repayment of the Obligations and the termination of the Commitments and, in the case of the Lenders’ assignment of any interest in the Commitments or the Loans hereunder, shall survive, in the case of any event or circumstance that occurred prior to the effective date of such assignment, the making of such assignment, notwithstanding that the Lenders may cease to be “Lenders” hereunder. In addition, each representation and warranty made, or deemed to be made by a Borrowing Notice, herein or pursuant hereto shall survive the making of such representation and warranty.</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SECTION 510. Captions</w:t>
      </w:r>
      <w:r>
        <w:rPr>
          <w:rFonts w:ascii="Arial" w:cs="Arial" w:eastAsia="Arial" w:hAnsi="Arial"/>
          <w:sz w:val="18"/>
          <w:szCs w:val="18"/>
          <w:color w:val="auto"/>
        </w:rPr>
        <w:t>. The table of contents and captions and section headings appearing herein are included solely for convenience of reference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not intended to affect the interpretation of any provision of this Agreement.</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SECTION 511. Counterparts, Effectiveness</w:t>
      </w:r>
      <w:r>
        <w:rPr>
          <w:rFonts w:ascii="Arial" w:cs="Arial" w:eastAsia="Arial" w:hAnsi="Arial"/>
          <w:sz w:val="17"/>
          <w:szCs w:val="17"/>
          <w:color w:val="auto"/>
        </w:rPr>
        <w:t>. This Agreement may be executed in any number of counterparts (including electronic imaging means), all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taken together shall constitute one and the same instrument and any of the parties hereto may execute this Agreement by signing any such counterpart. Delivery of an executed signature page of this Agreement by electronic transmission (e.g. “pdf” or “tif” format) shall be effective as delivery of a manually executed counterpart hereof. The words “execution,” “execute”, “signed,” “signature,” and words of like import in or related to any document to be signed in connection with this Agreement and the other Loan Documents and the transactions contemplated hereby and thereby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SECTION 512. Governing Law</w:t>
      </w:r>
      <w:r>
        <w:rPr>
          <w:rFonts w:ascii="Arial" w:cs="Arial" w:eastAsia="Arial" w:hAnsi="Arial"/>
          <w:sz w:val="18"/>
          <w:szCs w:val="18"/>
          <w:color w:val="auto"/>
        </w:rPr>
        <w:t>. THIS AGREEMENT AND THE RIGHTS AND OBLIGATIONS OF THE PARTIES HEREUNDER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GOVERNED BY, AND CONSTRUED IN ACCORDANCE WITH, THE LAW OF THE STATE OF NEW YORK, WITHOUT REGARD TO PRINCIPLES OF CONFLICTS OF LAWS THAT WOULD RESULT IN THE APPLICATION OF THE LAWS OF ANY OTHER JURISDICTION; PROVIDED THAT SECTION 5-1401 OF THE NEW YORK GENERAL OBLIGATIONS LAW SHALL APPLY.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i w:val="1"/>
          <w:iCs w:val="1"/>
          <w:color w:val="auto"/>
        </w:rPr>
        <w:t>SECTION 513. Jurisdiction, Service of Process and Venue</w:t>
      </w:r>
      <w:r>
        <w:rPr>
          <w:rFonts w:ascii="Arial" w:cs="Arial" w:eastAsia="Arial" w:hAnsi="Arial"/>
          <w:sz w:val="18"/>
          <w:szCs w:val="18"/>
          <w:color w:val="auto"/>
        </w:rPr>
        <w:t>.</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SECTION 514. Submission to Jurisdiction</w:t>
      </w:r>
      <w:r>
        <w:rPr>
          <w:rFonts w:ascii="Arial" w:cs="Arial" w:eastAsia="Arial" w:hAnsi="Arial"/>
          <w:sz w:val="17"/>
          <w:szCs w:val="17"/>
          <w:color w:val="auto"/>
        </w:rPr>
        <w:t>. Each party hereby irrevocably and unconditionally agrees that it will not commence any action, litigation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of any kind or description, whether in law or equity, whether in contract or tort or otherwise, against such other party in any way relating to this Agreement or any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exclusive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515. Service of Process</w:t>
      </w:r>
      <w:r>
        <w:rPr>
          <w:rFonts w:ascii="Arial" w:cs="Arial" w:eastAsia="Arial" w:hAnsi="Arial"/>
          <w:sz w:val="16"/>
          <w:szCs w:val="16"/>
          <w:color w:val="auto"/>
        </w:rPr>
        <w:t>. Each party hereto irrevocably consents to service of process in the manner provided for notices in</w:t>
      </w:r>
      <w:r>
        <w:rPr>
          <w:rFonts w:ascii="Arial" w:cs="Arial" w:eastAsia="Arial" w:hAnsi="Arial"/>
          <w:sz w:val="16"/>
          <w:szCs w:val="16"/>
          <w:b w:val="1"/>
          <w:bCs w:val="1"/>
          <w:color w:val="auto"/>
        </w:rPr>
        <w:t xml:space="preserve"> Section 14.02</w:t>
      </w:r>
      <w:r>
        <w:rPr>
          <w:rFonts w:ascii="Arial" w:cs="Arial" w:eastAsia="Arial" w:hAnsi="Arial"/>
          <w:sz w:val="16"/>
          <w:szCs w:val="16"/>
          <w:i w:val="1"/>
          <w:i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Nothing in this Agreement will affect the right of any party hereto to serve process in any other manner permitted by applicable Law.</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SECTION 516. Waiver of Venue, Etc</w:t>
      </w:r>
      <w:r>
        <w:rPr>
          <w:rFonts w:ascii="Arial" w:cs="Arial" w:eastAsia="Arial" w:hAnsi="Arial"/>
          <w:sz w:val="17"/>
          <w:szCs w:val="17"/>
          <w:color w:val="auto"/>
        </w:rPr>
        <w:t>. Each party hereto irrevocably waives to the fullest extent permitted by law any objection that it may now or</w:t>
      </w:r>
      <w:r>
        <w:rPr>
          <w:rFonts w:ascii="Arial" w:cs="Arial" w:eastAsia="Arial" w:hAnsi="Arial"/>
          <w:sz w:val="17"/>
          <w:szCs w:val="17"/>
          <w:b w:val="1"/>
          <w:bCs w:val="1"/>
          <w:color w:val="auto"/>
        </w:rPr>
        <w:t xml:space="preserve"> </w:t>
      </w:r>
      <w:r>
        <w:rPr>
          <w:rFonts w:ascii="Arial" w:cs="Arial" w:eastAsia="Arial" w:hAnsi="Arial"/>
          <w:sz w:val="17"/>
          <w:szCs w:val="17"/>
          <w:color w:val="auto"/>
        </w:rPr>
        <w:t>hereafter have to the laying of the venue of any suit, action or proceeding arising out of or relating to this Agreement or any other Loan Document and hereby further irrevocably waives to the fullest extent permitted by law any claim that any such suit, action or proceeding brought in any such court has been brought in an inconvenient forum. A final judgment (in respect of which time for all appeals has elapsed) in any such suit, action or proceeding shall be conclusive and may be enforced in any court to the jurisdiction of which such party is or may be subject, by suit upon judgment.</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SECTION 517. Waiver of Jury Trial</w:t>
      </w:r>
      <w:r>
        <w:rPr>
          <w:rFonts w:ascii="Arial" w:cs="Arial" w:eastAsia="Arial" w:hAnsi="Arial"/>
          <w:sz w:val="17"/>
          <w:szCs w:val="17"/>
          <w:color w:val="auto"/>
        </w:rPr>
        <w:t>. EACH PARTY HERETO HEREBY IRREVOCABLY WAIVES, TO THE FULLEST EXTENT PERMITTED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LAW, ANY AND ALL RIGHT TO TRIAL BY JURY IN ANY SUIT, ACTION OR PROCEEDING ARISING OUT OF OR RELATING TO THIS AGREEMENT, THE OTHER LOAN DOCUMENTS OR THE TRANSACTIONS CONTEMPLATED HEREBY OR THEREBY.</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SECTION 518. Waiver of Immunity</w:t>
      </w:r>
      <w:r>
        <w:rPr>
          <w:rFonts w:ascii="Arial" w:cs="Arial" w:eastAsia="Arial" w:hAnsi="Arial"/>
          <w:sz w:val="18"/>
          <w:szCs w:val="18"/>
          <w:color w:val="auto"/>
        </w:rPr>
        <w:t>. To the extent that any Obligor may be or become entitled to claim for itself or its property or revenues any immunity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ground of sovereignty or the like from suit, court jurisdiction, attachment prior to judgment, attachment in aid of execution of a judgment or execution of a judgment, and to the extent that in any such jurisdiction there may be attributed such an immunity (whether or not claimed), such Obligor hereby irrevocably agrees not to claim and hereby irrevocably waives such immunity with respect to its obligations under this Agreement and the other Loan Documents.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0" w:name="page201"/>
    <w:bookmarkEnd w:id="200"/>
    <w:p>
      <w:pPr>
        <w:jc w:val="both"/>
        <w:spacing w:after="0" w:line="272" w:lineRule="auto"/>
        <w:rPr>
          <w:sz w:val="20"/>
          <w:szCs w:val="20"/>
          <w:color w:val="auto"/>
        </w:rPr>
      </w:pPr>
      <w:r>
        <w:rPr>
          <w:rFonts w:ascii="Arial" w:cs="Arial" w:eastAsia="Arial" w:hAnsi="Arial"/>
          <w:sz w:val="17"/>
          <w:szCs w:val="17"/>
          <w:b w:val="1"/>
          <w:bCs w:val="1"/>
          <w:i w:val="1"/>
          <w:iCs w:val="1"/>
          <w:color w:val="auto"/>
        </w:rPr>
        <w:t>SECTION 519. Entire Agreement</w:t>
      </w:r>
      <w:r>
        <w:rPr>
          <w:rFonts w:ascii="Arial" w:cs="Arial" w:eastAsia="Arial" w:hAnsi="Arial"/>
          <w:sz w:val="17"/>
          <w:szCs w:val="17"/>
          <w:color w:val="auto"/>
        </w:rPr>
        <w:t>. This Agreement and the other Loan Documents constitute the entire agreement among the parties with respect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matter hereof and thereof and supersede any and all previous agreements and understandings, oral or written, relating to the subject matter hereof, including any confidentiality (or similar) agreements. EACH OBLIGOR ACKNOWLEDGES, REPRESENTS AND WARRANTS THAT IN DECIDING TO ENTER INTO THIS AGREEMENT AND THE OTHER LOAN DOCUMENTS OR IN TAKING OR NOT TAKING ANY ACTION HEREUNDER OR THEREUNDER, IT HAS NOT RELIED, AND WILL NOT RELY, ON ANY STATEMENT, REPRESENTATION, WARRANTY, COVENANT, AGREEMENT OR UNDERSTANDING, WHETHER WRITTEN OR ORAL, OF OR WITH ADMINISTRATIVE AGENT OR THE LENDERS OTHER THAN THOSE EXPRESSLY SET FORTH IN THIS AGREEMENT AND THE OTHER LOAN DOCUMENTS.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SECTION 520. Severability</w:t>
      </w:r>
      <w:r>
        <w:rPr>
          <w:rFonts w:ascii="Arial" w:cs="Arial" w:eastAsia="Arial" w:hAnsi="Arial"/>
          <w:sz w:val="18"/>
          <w:szCs w:val="18"/>
          <w:color w:val="auto"/>
        </w:rPr>
        <w:t>. If any provision hereof is found by a court to be invalid or unenforceable, to the fullest extent permitted by any Law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parties agree that such invalidity or unenforceability shall not impair the validity or enforceability of any other provision hereof. Without limiting the foregoing provisions of this </w:t>
      </w:r>
      <w:r>
        <w:rPr>
          <w:rFonts w:ascii="Arial" w:cs="Arial" w:eastAsia="Arial" w:hAnsi="Arial"/>
          <w:sz w:val="18"/>
          <w:szCs w:val="18"/>
          <w:b w:val="1"/>
          <w:bCs w:val="1"/>
          <w:color w:val="auto"/>
        </w:rPr>
        <w:t>Section 14.14</w:t>
      </w:r>
      <w:r>
        <w:rPr>
          <w:rFonts w:ascii="Arial" w:cs="Arial" w:eastAsia="Arial" w:hAnsi="Arial"/>
          <w:sz w:val="18"/>
          <w:szCs w:val="18"/>
          <w:color w:val="auto"/>
        </w:rPr>
        <w:t>, if and to the extent that the enforceability of any provisions in this Agreement relating to Defaulting Lenders shall be limited by the Bankruptcy Code, or any other liquidation, conservatorship, bankruptcy, assignment for the benefit of creditors, examinership, moratorium, rearrangement, receivership, insolvency, reorganization, or similar debtor relief Laws of the United States or other applicable jurisdictions from time to time in effect, as determined in good faith by the Administrative Agent, then such provisions shall be deemed to be in effect only to the extent not so limited.</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SECTION 521. No Fiduciary Relationship</w:t>
      </w:r>
      <w:r>
        <w:rPr>
          <w:rFonts w:ascii="Arial" w:cs="Arial" w:eastAsia="Arial" w:hAnsi="Arial"/>
          <w:sz w:val="18"/>
          <w:szCs w:val="18"/>
          <w:color w:val="auto"/>
        </w:rPr>
        <w:t>. The Borrower acknowledges that the Administrative Agent and the Lenders have no fiduciary relationship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or fiduciary duty to, the Borrower arising out of or in connection with this Agreement or the other Loan Documents, and the relationship between the Lenders and the Borrower is solely that of creditor and debtor. This Agreement and the other Loan Documents do not create a joint venture among the parties.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1" w:name="page202"/>
    <w:bookmarkEnd w:id="201"/>
    <w:p>
      <w:pPr>
        <w:jc w:val="both"/>
        <w:spacing w:after="0" w:line="283" w:lineRule="auto"/>
        <w:rPr>
          <w:sz w:val="20"/>
          <w:szCs w:val="20"/>
          <w:color w:val="auto"/>
        </w:rPr>
      </w:pPr>
      <w:r>
        <w:rPr>
          <w:rFonts w:ascii="Arial" w:cs="Arial" w:eastAsia="Arial" w:hAnsi="Arial"/>
          <w:sz w:val="16"/>
          <w:szCs w:val="16"/>
          <w:b w:val="1"/>
          <w:bCs w:val="1"/>
          <w:i w:val="1"/>
          <w:iCs w:val="1"/>
          <w:color w:val="auto"/>
        </w:rPr>
        <w:t>SECTION 522. Confidentiality</w:t>
      </w:r>
      <w:r>
        <w:rPr>
          <w:rFonts w:ascii="Arial" w:cs="Arial" w:eastAsia="Arial" w:hAnsi="Arial"/>
          <w:sz w:val="16"/>
          <w:szCs w:val="16"/>
          <w:color w:val="auto"/>
        </w:rPr>
        <w:t>. The Administrative Agent and each Lender agree to keep confidential, and not disclose to any Person all non-public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information provided to them by or on behalf of any Obligor pursuant to this Agreement that is designated by such Obligor as confidential in accordance with its customary procedures for handling its own confidential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prevent the Administrative Agent or any Lender from disclosing any such information (i) to the Administrative Agent, any other Lender, any Affiliate of a Lender or subject to an agreement to comply with the provisions of this Section, any Eligible Transferee or other assignee permitted under </w:t>
      </w:r>
      <w:r>
        <w:rPr>
          <w:rFonts w:ascii="Arial" w:cs="Arial" w:eastAsia="Arial" w:hAnsi="Arial"/>
          <w:sz w:val="16"/>
          <w:szCs w:val="16"/>
          <w:b w:val="1"/>
          <w:bCs w:val="1"/>
          <w:color w:val="auto"/>
        </w:rPr>
        <w:t>Section 14.05(b)</w:t>
      </w:r>
      <w:r>
        <w:rPr>
          <w:rFonts w:ascii="Arial" w:cs="Arial" w:eastAsia="Arial" w:hAnsi="Arial"/>
          <w:sz w:val="16"/>
          <w:szCs w:val="16"/>
          <w:color w:val="auto"/>
        </w:rPr>
        <w:t>, (ii) subject to an agreement to comply with the provisions of this Section, to any actual or prospective direct or indirect counterparty to any Hedging Agreement (or any professional advisor to such counterparty), (iii) to its employees, officers, directors or agents (provided that such Persons were informed of the confidential nature of such confidential information and instructed to keep such information confidential), or its attorneys, accountants, trustees and other professional advisors or those of any of its affiliates (provided that such Persons were informed of the confidential nature of such confidential information and instructed to keep such information confidential or are otherwise subject to professional obligations to maintain the confidentiality of such confidential information) (collectively, its “</w:t>
      </w:r>
      <w:r>
        <w:rPr>
          <w:rFonts w:ascii="Arial" w:cs="Arial" w:eastAsia="Arial" w:hAnsi="Arial"/>
          <w:sz w:val="16"/>
          <w:szCs w:val="16"/>
          <w:b w:val="1"/>
          <w:bCs w:val="1"/>
          <w:i w:val="1"/>
          <w:iCs w:val="1"/>
          <w:color w:val="auto"/>
        </w:rPr>
        <w:t>Related Parties</w:t>
      </w:r>
      <w:r>
        <w:rPr>
          <w:rFonts w:ascii="Arial" w:cs="Arial" w:eastAsia="Arial" w:hAnsi="Arial"/>
          <w:sz w:val="16"/>
          <w:szCs w:val="16"/>
          <w:color w:val="auto"/>
        </w:rPr>
        <w:t>”), (iv) upon the request or demand of any Governmental Authority or any Regulatory Authority purporting to have jurisdiction over such Person or its Related Parties (including any self-regulatory authority, such as the National Association of Insurance Commissioners),</w:t>
      </w:r>
    </w:p>
    <w:p>
      <w:pPr>
        <w:spacing w:after="0" w:line="3" w:lineRule="exact"/>
        <w:rPr>
          <w:sz w:val="20"/>
          <w:szCs w:val="20"/>
          <w:color w:val="auto"/>
        </w:rPr>
      </w:pPr>
    </w:p>
    <w:p>
      <w:pPr>
        <w:jc w:val="both"/>
        <w:ind w:firstLine="8"/>
        <w:spacing w:after="0" w:line="268" w:lineRule="auto"/>
        <w:tabs>
          <w:tab w:leader="none" w:pos="279"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in response to any order of any court or other Governmental Authority or as may otherwise be required pursuant to any Law, (vi) if requested or required to do so in connection with any litigation or similar proceeding, (vii) that has been publicly disclosed (other than as a result of a disclosure in violation of this </w:t>
      </w:r>
      <w:r>
        <w:rPr>
          <w:rFonts w:ascii="Arial" w:cs="Arial" w:eastAsia="Arial" w:hAnsi="Arial"/>
          <w:sz w:val="17"/>
          <w:szCs w:val="17"/>
          <w:b w:val="1"/>
          <w:bCs w:val="1"/>
          <w:color w:val="auto"/>
        </w:rPr>
        <w:t>Section 14.16</w:t>
      </w:r>
      <w:r>
        <w:rPr>
          <w:rFonts w:ascii="Arial" w:cs="Arial" w:eastAsia="Arial" w:hAnsi="Arial"/>
          <w:sz w:val="17"/>
          <w:szCs w:val="17"/>
          <w:color w:val="auto"/>
        </w:rPr>
        <w:t xml:space="preserve">), (viii) to the National Association of Insurance Commissioners or any similar organization or any nationally recognized rating agency that requires access to information about a Lender’s investment portfolio in connection with ratings issued with respect to such Lender, (ix) in connection with the exercise of any remedy hereunder or under any other Loan Document, (x) on a confidential basis to (A) any rating agency in connection with rating the Borrower or its Subsidiaries or the Loans or (B) the CUSIP Service Bureau or any similar agency in connection with the issuance and monitoring of CUSIP numbers of other market identifiers with respect to the Loans or (xi) to any other party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disclosure pursuant to </w:t>
      </w:r>
      <w:r>
        <w:rPr>
          <w:rFonts w:ascii="Arial" w:cs="Arial" w:eastAsia="Arial" w:hAnsi="Arial"/>
          <w:sz w:val="17"/>
          <w:szCs w:val="17"/>
          <w:b w:val="1"/>
          <w:bCs w:val="1"/>
          <w:color w:val="auto"/>
        </w:rPr>
        <w:t>clause (iv), (v)</w:t>
      </w:r>
      <w:r>
        <w:rPr>
          <w:rFonts w:ascii="Arial" w:cs="Arial" w:eastAsia="Arial" w:hAnsi="Arial"/>
          <w:sz w:val="17"/>
          <w:szCs w:val="17"/>
          <w:color w:val="auto"/>
        </w:rPr>
        <w:t xml:space="preserve"> and </w:t>
      </w:r>
      <w:r>
        <w:rPr>
          <w:rFonts w:ascii="Arial" w:cs="Arial" w:eastAsia="Arial" w:hAnsi="Arial"/>
          <w:sz w:val="17"/>
          <w:szCs w:val="17"/>
          <w:b w:val="1"/>
          <w:bCs w:val="1"/>
          <w:color w:val="auto"/>
        </w:rPr>
        <w:t>(vi)</w:t>
      </w:r>
      <w:r>
        <w:rPr>
          <w:rFonts w:ascii="Arial" w:cs="Arial" w:eastAsia="Arial" w:hAnsi="Arial"/>
          <w:sz w:val="17"/>
          <w:szCs w:val="17"/>
          <w:color w:val="auto"/>
        </w:rPr>
        <w:t xml:space="preserve"> above, the Administrative Agent or applicable Lender, as applicable, shall promptly provide notice to the Borrower to the extent reasonable and not prohibited by Law or any applicable Governmental Authority.</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SECTION 523. Interest Rate Limitation</w:t>
      </w:r>
      <w:r>
        <w:rPr>
          <w:rFonts w:ascii="Arial" w:cs="Arial" w:eastAsia="Arial" w:hAnsi="Arial"/>
          <w:sz w:val="16"/>
          <w:szCs w:val="16"/>
          <w:color w:val="auto"/>
        </w:rPr>
        <w:t>. Notwithstanding anything herein to the contrary, if at any time the interest rate applicable to any Loan, together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all fees, charges and other amounts that are treated as interest on such Loan under applicable Law (collectively, “</w:t>
      </w:r>
      <w:r>
        <w:rPr>
          <w:rFonts w:ascii="Arial" w:cs="Arial" w:eastAsia="Arial" w:hAnsi="Arial"/>
          <w:sz w:val="16"/>
          <w:szCs w:val="16"/>
          <w:b w:val="1"/>
          <w:bCs w:val="1"/>
          <w:i w:val="1"/>
          <w:iCs w:val="1"/>
          <w:color w:val="auto"/>
        </w:rPr>
        <w:t>charges</w:t>
      </w:r>
      <w:r>
        <w:rPr>
          <w:rFonts w:ascii="Arial" w:cs="Arial" w:eastAsia="Arial" w:hAnsi="Arial"/>
          <w:sz w:val="16"/>
          <w:szCs w:val="16"/>
          <w:color w:val="auto"/>
        </w:rPr>
        <w:t>”), shall exceed the maximum lawful rate (the “</w:t>
      </w:r>
      <w:r>
        <w:rPr>
          <w:rFonts w:ascii="Arial" w:cs="Arial" w:eastAsia="Arial" w:hAnsi="Arial"/>
          <w:sz w:val="16"/>
          <w:szCs w:val="16"/>
          <w:b w:val="1"/>
          <w:bCs w:val="1"/>
          <w:i w:val="1"/>
          <w:iCs w:val="1"/>
          <w:color w:val="auto"/>
        </w:rPr>
        <w:t>Maximum Rate</w:t>
      </w:r>
      <w:r>
        <w:rPr>
          <w:rFonts w:ascii="Arial" w:cs="Arial" w:eastAsia="Arial" w:hAnsi="Arial"/>
          <w:sz w:val="16"/>
          <w:szCs w:val="16"/>
          <w:color w:val="auto"/>
        </w:rPr>
        <w:t>”) that may be contracted for, charged, taken, received or reserved by the Administrative Agent and the Lender holding such Loan in accordance with applicable Law, the rate of interest payable in respect of such Loan hereunder, together with all charges payable in respect thereof, shall be limited to the Maximum Rate. To the extent lawful, the interest and charges that would have been paid in respect of such Loan but were not paid as a result of the operation of this Section shall be cumulated and the interest and charges payable to such Lender in respect of other Loans or periods shall be increased (but not above the amount collectible at the Maximum Rate therefor) until such cumulated amount, together with interest thereon at the Federal Funds Effective Rate for each day to the date of repayment, shall have been received by such Lender. Any amount collected by such Lender that exceeds the maximum amount collectible at the Maximum Rate shall be applied to the reduction of the principal balance of such Loan so that at no time shall the interest and charges paid or payable in respect of such Loan exceed the maximum amount collectible at the Maximum Rate.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524. Judgment Currency</w:t>
      </w:r>
      <w:r>
        <w:rPr>
          <w:rFonts w:ascii="Arial" w:cs="Arial" w:eastAsia="Arial" w:hAnsi="Arial"/>
          <w:sz w:val="18"/>
          <w:szCs w:val="18"/>
          <w:color w:val="auto"/>
        </w:rPr>
        <w:t>.</w:t>
      </w:r>
    </w:p>
    <w:p>
      <w:pPr>
        <w:spacing w:after="0" w:line="22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SECTION 525. </w:t>
      </w:r>
      <w:r>
        <w:rPr>
          <w:rFonts w:ascii="Arial" w:cs="Arial" w:eastAsia="Arial" w:hAnsi="Arial"/>
          <w:sz w:val="17"/>
          <w:szCs w:val="17"/>
          <w:color w:val="auto"/>
        </w:rPr>
        <w:t>If, for the purposes of obtaining judgment in any court, it is necessary to convert a sum due hereunder in Dollars into another currency,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hereto agree, to the fullest extent permitted by Law, that the rate of exchange used shall be that at which, in accordance with normal banking procedures, the Administrative Agent could purchase Dollars with such other currency at the buying spot rate of exchange in the New York foreign exchange market on the Business Day immediately preceding that on which any such judgment, or any relevant part thereof, is given.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2" w:name="page203"/>
    <w:bookmarkEnd w:id="202"/>
    <w:p>
      <w:pPr>
        <w:jc w:val="both"/>
        <w:spacing w:after="0" w:line="273" w:lineRule="auto"/>
        <w:rPr>
          <w:sz w:val="20"/>
          <w:szCs w:val="20"/>
          <w:color w:val="auto"/>
        </w:rPr>
      </w:pPr>
      <w:r>
        <w:rPr>
          <w:rFonts w:ascii="Arial" w:cs="Arial" w:eastAsia="Arial" w:hAnsi="Arial"/>
          <w:sz w:val="17"/>
          <w:szCs w:val="17"/>
          <w:b w:val="1"/>
          <w:bCs w:val="1"/>
          <w:color w:val="auto"/>
        </w:rPr>
        <w:t xml:space="preserve">SECTION 526. </w:t>
      </w:r>
      <w:r>
        <w:rPr>
          <w:rFonts w:ascii="Arial" w:cs="Arial" w:eastAsia="Arial" w:hAnsi="Arial"/>
          <w:sz w:val="17"/>
          <w:szCs w:val="17"/>
          <w:color w:val="auto"/>
        </w:rPr>
        <w:t>The obligations of the Obligors in respect of any sum due to the Administrative Agent hereunder and under the other Loan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notwithstanding any judgment in a currency other than Dollars, be discharged only to the extent that on the Business Day following receipt by the Administrative Agent of any sum adjudged to be so due in such other currency the Administrative Agent may, in accordance with normal banking procedures, purchase Dollars with such other currency. If the amount of Dollars so purchased is less than the sum originally due to the Administrative Agent in Dollars, the Borrower agrees, to the fullest extent that it may effectively do so, as a separate obligation and notwithstanding any such judgment, to indemnify the Administrative Agent against such loss. If the amount of Dollars so purchased exceeds the sum originally due to the Administrative Agent in Dollars, the Administrative Agent shall remit such excess to the Borrower.</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SECTION 527. USA PATRIOT Act</w:t>
      </w:r>
      <w:r>
        <w:rPr>
          <w:rFonts w:ascii="Arial" w:cs="Arial" w:eastAsia="Arial" w:hAnsi="Arial"/>
          <w:sz w:val="18"/>
          <w:szCs w:val="18"/>
          <w:color w:val="auto"/>
        </w:rPr>
        <w:t>. The Administrative Agent and the Lenders hereby notify the Obligors that pursuant to the requirements of the USA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PATRIOT Act (Title III of Pub. L. 107-56 (signed into law October 26, 2001)) (the “</w:t>
      </w:r>
      <w:r>
        <w:rPr>
          <w:rFonts w:ascii="Arial" w:cs="Arial" w:eastAsia="Arial" w:hAnsi="Arial"/>
          <w:sz w:val="18"/>
          <w:szCs w:val="18"/>
          <w:b w:val="1"/>
          <w:bCs w:val="1"/>
          <w:i w:val="1"/>
          <w:iCs w:val="1"/>
          <w:color w:val="auto"/>
        </w:rPr>
        <w:t>Patriot Act</w:t>
      </w:r>
      <w:r>
        <w:rPr>
          <w:rFonts w:ascii="Arial" w:cs="Arial" w:eastAsia="Arial" w:hAnsi="Arial"/>
          <w:sz w:val="18"/>
          <w:szCs w:val="18"/>
          <w:color w:val="auto"/>
        </w:rPr>
        <w:t>”), they are required to obtain, verify and record information that identifies the Obligors, which information includes the name and address of each Obligor and other information that will allow such Person to identify such Obligor in accordance with the Patriot Act.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SECTION 528. Acknowledgement and Consent to Bail-In of Affected Financial Institutions</w:t>
      </w:r>
      <w:r>
        <w:rPr>
          <w:rFonts w:ascii="Arial" w:cs="Arial" w:eastAsia="Arial" w:hAnsi="Arial"/>
          <w:sz w:val="17"/>
          <w:szCs w:val="17"/>
          <w:color w:val="auto"/>
        </w:rPr>
        <w:t>. Notwithstanding anything to the contrary in any Loan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529. </w:t>
      </w:r>
      <w:r>
        <w:rPr>
          <w:rFonts w:ascii="Arial" w:cs="Arial" w:eastAsia="Arial" w:hAnsi="Arial"/>
          <w:sz w:val="18"/>
          <w:szCs w:val="18"/>
          <w:color w:val="auto"/>
        </w:rPr>
        <w:t>the application of any Write-Down and Conversion Powers by the applicable Resolution Authority to any such liabilities arising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which may be payable to it by any party hereto that is an EEA Financial Institution; 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530. </w:t>
      </w:r>
      <w:r>
        <w:rPr>
          <w:rFonts w:ascii="Arial" w:cs="Arial" w:eastAsia="Arial" w:hAnsi="Arial"/>
          <w:sz w:val="18"/>
          <w:szCs w:val="18"/>
          <w:color w:val="auto"/>
        </w:rPr>
        <w:t>the effects of any Bail-In Action on any such liability, including, if applicable:</w:t>
      </w:r>
    </w:p>
    <w:p>
      <w:pPr>
        <w:spacing w:after="0" w:line="229" w:lineRule="exact"/>
        <w:rPr>
          <w:sz w:val="20"/>
          <w:szCs w:val="20"/>
          <w:color w:val="auto"/>
        </w:rPr>
      </w:pPr>
    </w:p>
    <w:p>
      <w:pPr>
        <w:ind w:left="1620" w:hanging="209"/>
        <w:spacing w:after="0"/>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left="120" w:firstLine="1291"/>
        <w:spacing w:after="0" w:line="311" w:lineRule="auto"/>
        <w:tabs>
          <w:tab w:leader="none" w:pos="1681"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8" w:lineRule="exact"/>
        <w:rPr>
          <w:rFonts w:ascii="Arial" w:cs="Arial" w:eastAsia="Arial" w:hAnsi="Arial"/>
          <w:sz w:val="16"/>
          <w:szCs w:val="16"/>
          <w:color w:val="auto"/>
        </w:rPr>
      </w:pPr>
    </w:p>
    <w:p>
      <w:pPr>
        <w:ind w:left="120" w:firstLine="1291"/>
        <w:spacing w:after="0" w:line="277" w:lineRule="auto"/>
        <w:tabs>
          <w:tab w:leader="none" w:pos="17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the applicable Resolution Authority.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i w:val="1"/>
          <w:iCs w:val="1"/>
          <w:color w:val="auto"/>
        </w:rPr>
        <w:t>SECTION 531. Certain ERISA Matters</w:t>
      </w:r>
      <w:r>
        <w:rPr>
          <w:rFonts w:ascii="Arial" w:cs="Arial" w:eastAsia="Arial" w:hAnsi="Arial"/>
          <w:sz w:val="18"/>
          <w:szCs w:val="18"/>
          <w:color w:val="auto"/>
        </w:rPr>
        <w:t>.</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SECTION 532. </w:t>
      </w:r>
      <w:r>
        <w:rPr>
          <w:rFonts w:ascii="Arial" w:cs="Arial" w:eastAsia="Arial" w:hAnsi="Arial"/>
          <w:sz w:val="18"/>
          <w:szCs w:val="18"/>
          <w:color w:val="auto"/>
        </w:rPr>
        <w:t>Each Person that becomes party hereto after the date hereof as a Lender (x) represents and warrants, as of the date such Person became a</w:t>
      </w:r>
      <w:r>
        <w:rPr>
          <w:rFonts w:ascii="Arial" w:cs="Arial" w:eastAsia="Arial" w:hAnsi="Arial"/>
          <w:sz w:val="18"/>
          <w:szCs w:val="18"/>
          <w:b w:val="1"/>
          <w:bCs w:val="1"/>
          <w:color w:val="auto"/>
        </w:rPr>
        <w:t xml:space="preserve"> </w:t>
      </w:r>
      <w:r>
        <w:rPr>
          <w:rFonts w:ascii="Arial" w:cs="Arial" w:eastAsia="Arial" w:hAnsi="Arial"/>
          <w:sz w:val="18"/>
          <w:szCs w:val="18"/>
          <w:color w:val="auto"/>
        </w:rPr>
        <w:t>Lender party hereto, to, and (y) covenants, from the date such Person became a Lender party hereto to the date such Person ceases being a Lender party hereto, for the benefit of, the Administrative Agent and its Affiliates, and not, for the avoidance of doubt, to or for the benefit of Obligors, that at least one of the following is and will be true:</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SECTION 533. such Lender is not using “plan assets” (within the meaning of Section 3(42) of ERISA or otherwise) of one or more Employee Benefit Plans with respect to such Lender’s entrance into, participation in, administration of and performance of the Loans, the Notes or this Agreement;</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SECTION 534.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Notes and this Agreement;</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SECTION 535.(A)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Notes and this Agreement, (C) the entrance into, participation in, administration of and performance of the Loans, the Notes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Notes and this Agreement; or</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SECTION 536. such other representation, warranty and covenant as may be agreed in writing between the Administrative Agent, in its sole discretion, and such Lender.</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unless either (1) sub-clause (i) in the immediately preceding clause (a) is true with respect to a Lender making the representation in clause (a) or (2) a Lender making the representation in clause (a)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Borrower, that none of the Administrative Agent or its Affiliates is a fiduciary with respect to the assets of such Lender involved in such Lender’s entrance into, participation in, administration of and performance of the Loans, the Notes and this Agreement (including in connection with the reservation or exercise of any rights by the Administrative Agent under this Agreement, any other Loan Documents or any documents related hereto or thereto).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color w:val="auto"/>
        </w:rPr>
        <w:t>IN WITNESS WHEREOF, the parties hereto have caused this Agreement to be duly executed and delivered as of the day and year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BORROWER:</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HARROW HEALTH, INC.</w:t>
      </w:r>
      <w:r>
        <w:rPr>
          <w:rFonts w:ascii="Arial" w:cs="Arial" w:eastAsia="Arial" w:hAnsi="Arial"/>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Andrew R. Boll</w:t>
      </w:r>
    </w:p>
    <w:p>
      <w:pPr>
        <w:spacing w:after="0" w:line="36"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Secretary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 Harrow Health,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102 Woodmont Blvd., Suite 610</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Nashville, TN 37205</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Attn: Andrew R. Boll</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Holland &amp; Knight LLP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511 Union Street, Suite 2700</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Nashville, TN 37219</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Attn: Elle McCulty</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Credit Agreement and Guaranty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5" w:name="page206"/>
    <w:bookmarkEnd w:id="205"/>
    <w:p>
      <w:pPr>
        <w:ind w:left="4500"/>
        <w:spacing w:after="0"/>
        <w:rPr>
          <w:sz w:val="20"/>
          <w:szCs w:val="20"/>
          <w:color w:val="auto"/>
        </w:rPr>
      </w:pPr>
      <w:r>
        <w:rPr>
          <w:rFonts w:ascii="Arial" w:cs="Arial" w:eastAsia="Arial" w:hAnsi="Arial"/>
          <w:sz w:val="18"/>
          <w:szCs w:val="18"/>
          <w:color w:val="auto"/>
        </w:rPr>
        <w:t>SUBSIDIARY GUARANTOR(S):</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HARROW IP, LLC</w:t>
      </w:r>
      <w:r>
        <w:rPr>
          <w:rFonts w:ascii="Arial" w:cs="Arial" w:eastAsia="Arial" w:hAnsi="Arial"/>
          <w:sz w:val="18"/>
          <w:szCs w:val="18"/>
          <w:color w:val="auto"/>
        </w:rPr>
        <w:t>,</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HARROW EYE, LLC</w:t>
      </w:r>
      <w:r>
        <w:rPr>
          <w:rFonts w:ascii="Arial" w:cs="Arial" w:eastAsia="Arial" w:hAnsi="Arial"/>
          <w:sz w:val="18"/>
          <w:szCs w:val="18"/>
          <w:color w:val="auto"/>
        </w:rPr>
        <w:t>,</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IMPRIMISRX, LLC</w:t>
      </w:r>
      <w:r>
        <w:rPr>
          <w:rFonts w:ascii="Arial" w:cs="Arial" w:eastAsia="Arial" w:hAnsi="Arial"/>
          <w:sz w:val="18"/>
          <w:szCs w:val="18"/>
          <w:color w:val="auto"/>
        </w:rPr>
        <w:t>,</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IMPRIMIS NJOF, LLC</w:t>
      </w:r>
      <w:r>
        <w:rPr>
          <w:rFonts w:ascii="Arial" w:cs="Arial" w:eastAsia="Arial" w:hAnsi="Arial"/>
          <w:sz w:val="18"/>
          <w:szCs w:val="18"/>
          <w:color w:val="auto"/>
        </w:rPr>
        <w:t>,</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 New Jersey limited liability company</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IMPRIMISRX NJ, LLC</w:t>
      </w:r>
      <w:r>
        <w:rPr>
          <w:rFonts w:ascii="Arial" w:cs="Arial" w:eastAsia="Arial" w:hAnsi="Arial"/>
          <w:sz w:val="18"/>
          <w:szCs w:val="18"/>
          <w:color w:val="auto"/>
        </w:rPr>
        <w:t>,</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 New Jersey limited liability company</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VISIONOLOGY EQUITY, LLC</w:t>
      </w:r>
      <w:r>
        <w:rPr>
          <w:rFonts w:ascii="Arial" w:cs="Arial" w:eastAsia="Arial" w:hAnsi="Arial"/>
          <w:sz w:val="18"/>
          <w:szCs w:val="18"/>
          <w:color w:val="auto"/>
        </w:rPr>
        <w:t>,</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a Delaware limited liability company</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VISIONOLOGY, INC.</w:t>
      </w:r>
      <w:r>
        <w:rPr>
          <w:rFonts w:ascii="Arial" w:cs="Arial" w:eastAsia="Arial" w:hAnsi="Arial"/>
          <w:sz w:val="18"/>
          <w:szCs w:val="18"/>
          <w:color w:val="auto"/>
        </w:rPr>
        <w:t>,</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VISIONOLOGY MSO, INC.</w:t>
      </w:r>
      <w:r>
        <w:rPr>
          <w:rFonts w:ascii="Arial" w:cs="Arial" w:eastAsia="Arial" w:hAnsi="Arial"/>
          <w:sz w:val="18"/>
          <w:szCs w:val="18"/>
          <w:color w:val="auto"/>
        </w:rPr>
        <w:t>,</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IMPRIMISRX NASHVILLE, LLC</w:t>
      </w:r>
      <w:r>
        <w:rPr>
          <w:rFonts w:ascii="Arial" w:cs="Arial" w:eastAsia="Arial" w:hAnsi="Arial"/>
          <w:sz w:val="18"/>
          <w:szCs w:val="18"/>
          <w:color w:val="auto"/>
        </w:rPr>
        <w:t>,</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a Delaware limited liability company</w:t>
      </w:r>
    </w:p>
    <w:p>
      <w:pPr>
        <w:spacing w:after="0" w:line="2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 Harrow Health, Inc.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102 Woodmont Blvd., Suite 610</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Nashville, TN 37205</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Attn: Andrew R. Boll</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Holland &amp; Knight LLP</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511 Union Street, Suite 2700</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Nashville, TN 37219</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Attn: Elle McCulty</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Credit Agreement and Guaranty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06" w:name="page207"/>
    <w:bookmarkEnd w:id="206"/>
    <w:p>
      <w:pPr>
        <w:ind w:left="4500"/>
        <w:spacing w:after="0"/>
        <w:rPr>
          <w:sz w:val="20"/>
          <w:szCs w:val="20"/>
          <w:color w:val="auto"/>
        </w:rPr>
      </w:pPr>
      <w:r>
        <w:rPr>
          <w:rFonts w:ascii="Arial" w:cs="Arial" w:eastAsia="Arial" w:hAnsi="Arial"/>
          <w:sz w:val="18"/>
          <w:szCs w:val="18"/>
          <w:color w:val="auto"/>
        </w:rPr>
        <w:t>ADMINISTRATIVE AGENT:</w:t>
      </w:r>
    </w:p>
    <w:p>
      <w:pPr>
        <w:spacing w:after="0" w:line="221" w:lineRule="exact"/>
        <w:rPr>
          <w:sz w:val="20"/>
          <w:szCs w:val="20"/>
          <w:color w:val="auto"/>
        </w:rPr>
      </w:pPr>
    </w:p>
    <w:p>
      <w:pPr>
        <w:jc w:val="right"/>
        <w:ind w:right="959"/>
        <w:spacing w:after="0"/>
        <w:rPr>
          <w:sz w:val="20"/>
          <w:szCs w:val="20"/>
          <w:color w:val="auto"/>
        </w:rPr>
      </w:pPr>
      <w:r>
        <w:rPr>
          <w:rFonts w:ascii="Arial" w:cs="Arial" w:eastAsia="Arial" w:hAnsi="Arial"/>
          <w:sz w:val="18"/>
          <w:szCs w:val="18"/>
          <w:b w:val="1"/>
          <w:bCs w:val="1"/>
          <w:color w:val="auto"/>
        </w:rPr>
        <w:t>OAKTREE FUND ADMINISTRATION, LLC</w:t>
      </w:r>
    </w:p>
    <w:p>
      <w:pPr>
        <w:sectPr>
          <w:pgSz w:w="11900" w:h="16838" w:orient="portrait"/>
          <w:cols w:equalWidth="0" w:num="1">
            <w:col w:w="9019"/>
          </w:cols>
          <w:pgMar w:left="1440" w:top="665" w:right="1440" w:bottom="1440" w:gutter="0" w:footer="0" w:header="0"/>
        </w:sectPr>
      </w:pP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Oaktree Capital Management,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Managing Member</w:t>
      </w:r>
    </w:p>
    <w:p>
      <w:pPr>
        <w:spacing w:after="0" w:line="200" w:lineRule="exact"/>
        <w:rPr>
          <w:sz w:val="20"/>
          <w:szCs w:val="20"/>
          <w:color w:val="auto"/>
        </w:rPr>
      </w:pPr>
    </w:p>
    <w:p>
      <w:pPr>
        <w:sectPr>
          <w:pgSz w:w="11900" w:h="16838" w:orient="portrait"/>
          <w:cols w:equalWidth="0" w:num="2">
            <w:col w:w="4760" w:space="300"/>
            <w:col w:w="3959"/>
          </w:cols>
          <w:pgMar w:left="1440" w:top="665" w:right="1440" w:bottom="1440" w:gutter="0" w:footer="0" w:header="0"/>
          <w:type w:val="continuous"/>
        </w:sectPr>
      </w:pPr>
    </w:p>
    <w:p>
      <w:pPr>
        <w:spacing w:after="0" w:line="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Oaktree Fund Administration, LLC</w:t>
      </w:r>
    </w:p>
    <w:p>
      <w:pPr>
        <w:ind w:left="4500"/>
        <w:spacing w:after="0" w:line="192" w:lineRule="auto"/>
        <w:rPr>
          <w:sz w:val="20"/>
          <w:szCs w:val="20"/>
          <w:color w:val="auto"/>
        </w:rPr>
      </w:pPr>
      <w:r>
        <w:rPr>
          <w:rFonts w:ascii="Arial" w:cs="Arial" w:eastAsia="Arial" w:hAnsi="Arial"/>
          <w:sz w:val="18"/>
          <w:szCs w:val="18"/>
          <w:color w:val="auto"/>
        </w:rPr>
        <w:t>333 S. Grand Avenue,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4500"/>
        <w:spacing w:after="0"/>
        <w:rPr>
          <w:sz w:val="20"/>
          <w:szCs w:val="20"/>
          <w:color w:val="auto"/>
        </w:rPr>
      </w:pPr>
      <w:r>
        <w:rPr>
          <w:rFonts w:ascii="Arial" w:cs="Arial" w:eastAsia="Arial" w:hAnsi="Arial"/>
          <w:sz w:val="18"/>
          <w:szCs w:val="18"/>
          <w:color w:val="auto"/>
        </w:rPr>
        <w:t>Los Angeles, CA 90071</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Attn: Oaktree Agency</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Oaktree Capital Management, L.P.</w:t>
      </w:r>
    </w:p>
    <w:p>
      <w:pPr>
        <w:ind w:left="4500"/>
        <w:spacing w:after="0" w:line="210" w:lineRule="auto"/>
        <w:rPr>
          <w:sz w:val="20"/>
          <w:szCs w:val="20"/>
          <w:color w:val="auto"/>
        </w:rPr>
      </w:pPr>
      <w:r>
        <w:rPr>
          <w:rFonts w:ascii="Arial" w:cs="Arial" w:eastAsia="Arial" w:hAnsi="Arial"/>
          <w:sz w:val="18"/>
          <w:szCs w:val="18"/>
          <w:color w:val="auto"/>
        </w:rPr>
        <w:t>333 S. Grand Avenue,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4500"/>
        <w:spacing w:after="0"/>
        <w:rPr>
          <w:sz w:val="20"/>
          <w:szCs w:val="20"/>
          <w:color w:val="auto"/>
        </w:rPr>
      </w:pPr>
      <w:r>
        <w:rPr>
          <w:rFonts w:ascii="Arial" w:cs="Arial" w:eastAsia="Arial" w:hAnsi="Arial"/>
          <w:sz w:val="18"/>
          <w:szCs w:val="18"/>
          <w:color w:val="auto"/>
        </w:rPr>
        <w:t>Los Angeles, CA 90071</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Attn: Stephen DeNelsky; Tim Markov</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Credit Agreement and Guaranty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207" w:name="page208"/>
    <w:bookmarkEnd w:id="207"/>
    <w:p>
      <w:pPr>
        <w:ind w:left="4500"/>
        <w:spacing w:after="0"/>
        <w:rPr>
          <w:sz w:val="20"/>
          <w:szCs w:val="20"/>
          <w:color w:val="auto"/>
        </w:rPr>
      </w:pPr>
      <w:r>
        <w:rPr>
          <w:rFonts w:ascii="Arial" w:cs="Arial" w:eastAsia="Arial" w:hAnsi="Arial"/>
          <w:sz w:val="18"/>
          <w:szCs w:val="18"/>
          <w:color w:val="auto"/>
        </w:rPr>
        <w:t>LENDERS:</w:t>
      </w:r>
    </w:p>
    <w:p>
      <w:pPr>
        <w:spacing w:after="0" w:line="221" w:lineRule="exact"/>
        <w:rPr>
          <w:sz w:val="20"/>
          <w:szCs w:val="20"/>
          <w:color w:val="auto"/>
        </w:rPr>
      </w:pPr>
    </w:p>
    <w:p>
      <w:pPr>
        <w:jc w:val="right"/>
        <w:ind w:right="659"/>
        <w:spacing w:after="0"/>
        <w:rPr>
          <w:sz w:val="20"/>
          <w:szCs w:val="20"/>
          <w:color w:val="auto"/>
        </w:rPr>
      </w:pPr>
      <w:r>
        <w:rPr>
          <w:rFonts w:ascii="Arial" w:cs="Arial" w:eastAsia="Arial" w:hAnsi="Arial"/>
          <w:sz w:val="18"/>
          <w:szCs w:val="18"/>
          <w:b w:val="1"/>
          <w:bCs w:val="1"/>
          <w:color w:val="auto"/>
        </w:rPr>
        <w:t>INPRS STRATEGIC CREDIT HOLDINGS, LLC</w:t>
      </w:r>
    </w:p>
    <w:p>
      <w:pPr>
        <w:sectPr>
          <w:pgSz w:w="11900" w:h="16838" w:orient="portrait"/>
          <w:cols w:equalWidth="0" w:num="1">
            <w:col w:w="9019"/>
          </w:cols>
          <w:pgMar w:left="1440" w:top="665" w:right="1440" w:bottom="1440" w:gutter="0" w:footer="0" w:header="0"/>
        </w:sectPr>
      </w:pP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Oaktree Capital Management,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Manager</w:t>
      </w:r>
    </w:p>
    <w:p>
      <w:pPr>
        <w:spacing w:after="0" w:line="200" w:lineRule="exact"/>
        <w:rPr>
          <w:sz w:val="20"/>
          <w:szCs w:val="20"/>
          <w:color w:val="auto"/>
        </w:rPr>
      </w:pPr>
    </w:p>
    <w:p>
      <w:pPr>
        <w:sectPr>
          <w:pgSz w:w="11900" w:h="16838" w:orient="portrait"/>
          <w:cols w:equalWidth="0" w:num="2">
            <w:col w:w="4760" w:space="300"/>
            <w:col w:w="3959"/>
          </w:cols>
          <w:pgMar w:left="1440" w:top="665" w:right="1440" w:bottom="1440" w:gutter="0" w:footer="0" w:header="0"/>
          <w:type w:val="continuous"/>
        </w:sectPr>
      </w:pPr>
    </w:p>
    <w:p>
      <w:pPr>
        <w:spacing w:after="0" w:line="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Oaktree Fund Administration, LLC</w:t>
      </w:r>
    </w:p>
    <w:p>
      <w:pPr>
        <w:ind w:left="4500"/>
        <w:spacing w:after="0" w:line="192" w:lineRule="auto"/>
        <w:rPr>
          <w:sz w:val="20"/>
          <w:szCs w:val="20"/>
          <w:color w:val="auto"/>
        </w:rPr>
      </w:pPr>
      <w:r>
        <w:rPr>
          <w:rFonts w:ascii="Arial" w:cs="Arial" w:eastAsia="Arial" w:hAnsi="Arial"/>
          <w:sz w:val="18"/>
          <w:szCs w:val="18"/>
          <w:color w:val="auto"/>
        </w:rPr>
        <w:t>333 S. Grand Avenue,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4500"/>
        <w:spacing w:after="0"/>
        <w:rPr>
          <w:sz w:val="20"/>
          <w:szCs w:val="20"/>
          <w:color w:val="auto"/>
        </w:rPr>
      </w:pPr>
      <w:r>
        <w:rPr>
          <w:rFonts w:ascii="Arial" w:cs="Arial" w:eastAsia="Arial" w:hAnsi="Arial"/>
          <w:sz w:val="18"/>
          <w:szCs w:val="18"/>
          <w:color w:val="auto"/>
        </w:rPr>
        <w:t>Los Angeles, CA 90071</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Attn: Oaktree Agency</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Oaktree Capital Management, L.P.</w:t>
      </w:r>
    </w:p>
    <w:p>
      <w:pPr>
        <w:ind w:left="4500"/>
        <w:spacing w:after="0" w:line="210" w:lineRule="auto"/>
        <w:rPr>
          <w:sz w:val="20"/>
          <w:szCs w:val="20"/>
          <w:color w:val="auto"/>
        </w:rPr>
      </w:pPr>
      <w:r>
        <w:rPr>
          <w:rFonts w:ascii="Arial" w:cs="Arial" w:eastAsia="Arial" w:hAnsi="Arial"/>
          <w:sz w:val="18"/>
          <w:szCs w:val="18"/>
          <w:color w:val="auto"/>
        </w:rPr>
        <w:t>333 S. Grand Avenue,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4500"/>
        <w:spacing w:after="0"/>
        <w:rPr>
          <w:sz w:val="20"/>
          <w:szCs w:val="20"/>
          <w:color w:val="auto"/>
        </w:rPr>
      </w:pPr>
      <w:r>
        <w:rPr>
          <w:rFonts w:ascii="Arial" w:cs="Arial" w:eastAsia="Arial" w:hAnsi="Arial"/>
          <w:sz w:val="18"/>
          <w:szCs w:val="18"/>
          <w:color w:val="auto"/>
        </w:rPr>
        <w:t>Los Angeles, CA 90071</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Attn: Stephen DeNelsky; Tim Markov</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Credit Agreement and Guaranty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208" w:name="page209"/>
    <w:bookmarkEnd w:id="208"/>
    <w:p>
      <w:pPr>
        <w:jc w:val="right"/>
        <w:ind w:right="279"/>
        <w:spacing w:after="0"/>
        <w:rPr>
          <w:sz w:val="20"/>
          <w:szCs w:val="20"/>
          <w:color w:val="auto"/>
        </w:rPr>
      </w:pPr>
      <w:r>
        <w:rPr>
          <w:rFonts w:ascii="Arial" w:cs="Arial" w:eastAsia="Arial" w:hAnsi="Arial"/>
          <w:sz w:val="18"/>
          <w:szCs w:val="18"/>
          <w:b w:val="1"/>
          <w:bCs w:val="1"/>
          <w:color w:val="auto"/>
        </w:rPr>
        <w:t>OAKTREE SPECIALTY LENDING CORPORATION</w:t>
      </w:r>
    </w:p>
    <w:p>
      <w:pPr>
        <w:sectPr>
          <w:pgSz w:w="11900" w:h="16838" w:orient="portrait"/>
          <w:cols w:equalWidth="0" w:num="1">
            <w:col w:w="9019"/>
          </w:cols>
          <w:pgMar w:left="1440" w:top="661" w:right="1440" w:bottom="1440" w:gutter="0" w:footer="0" w:header="0"/>
        </w:sectPr>
      </w:pP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Oaktree Fund Advisors,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 Advisor</w:t>
      </w:r>
    </w:p>
    <w:p>
      <w:pPr>
        <w:spacing w:after="0" w:line="200" w:lineRule="exact"/>
        <w:rPr>
          <w:sz w:val="20"/>
          <w:szCs w:val="20"/>
          <w:color w:val="auto"/>
        </w:rPr>
      </w:pPr>
    </w:p>
    <w:p>
      <w:pPr>
        <w:sectPr>
          <w:pgSz w:w="11900" w:h="16838" w:orient="portrait"/>
          <w:cols w:equalWidth="0" w:num="2">
            <w:col w:w="4760" w:space="300"/>
            <w:col w:w="3959"/>
          </w:cols>
          <w:pgMar w:left="1440" w:top="661" w:right="1440" w:bottom="1440" w:gutter="0" w:footer="0" w:header="0"/>
          <w:type w:val="continuous"/>
        </w:sectPr>
      </w:pPr>
    </w:p>
    <w:p>
      <w:pPr>
        <w:spacing w:after="0" w:line="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Oaktree Fund Administration, LLC</w:t>
      </w:r>
    </w:p>
    <w:p>
      <w:pPr>
        <w:ind w:left="4500"/>
        <w:spacing w:after="0" w:line="192" w:lineRule="auto"/>
        <w:rPr>
          <w:sz w:val="20"/>
          <w:szCs w:val="20"/>
          <w:color w:val="auto"/>
        </w:rPr>
      </w:pPr>
      <w:r>
        <w:rPr>
          <w:rFonts w:ascii="Arial" w:cs="Arial" w:eastAsia="Arial" w:hAnsi="Arial"/>
          <w:sz w:val="18"/>
          <w:szCs w:val="18"/>
          <w:color w:val="auto"/>
        </w:rPr>
        <w:t>333 S. Grand Avenue,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4500"/>
        <w:spacing w:after="0"/>
        <w:rPr>
          <w:sz w:val="20"/>
          <w:szCs w:val="20"/>
          <w:color w:val="auto"/>
        </w:rPr>
      </w:pPr>
      <w:r>
        <w:rPr>
          <w:rFonts w:ascii="Arial" w:cs="Arial" w:eastAsia="Arial" w:hAnsi="Arial"/>
          <w:sz w:val="18"/>
          <w:szCs w:val="18"/>
          <w:color w:val="auto"/>
        </w:rPr>
        <w:t>Los Angeles, CA 90071</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Attn: Oaktree Agency</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Oaktree Capital Management, L.P.</w:t>
      </w:r>
    </w:p>
    <w:p>
      <w:pPr>
        <w:ind w:left="4500"/>
        <w:spacing w:after="0" w:line="210" w:lineRule="auto"/>
        <w:rPr>
          <w:sz w:val="20"/>
          <w:szCs w:val="20"/>
          <w:color w:val="auto"/>
        </w:rPr>
      </w:pPr>
      <w:r>
        <w:rPr>
          <w:rFonts w:ascii="Arial" w:cs="Arial" w:eastAsia="Arial" w:hAnsi="Arial"/>
          <w:sz w:val="18"/>
          <w:szCs w:val="18"/>
          <w:color w:val="auto"/>
        </w:rPr>
        <w:t>333 S. Grand Avenue,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4500"/>
        <w:spacing w:after="0"/>
        <w:rPr>
          <w:sz w:val="20"/>
          <w:szCs w:val="20"/>
          <w:color w:val="auto"/>
        </w:rPr>
      </w:pPr>
      <w:r>
        <w:rPr>
          <w:rFonts w:ascii="Arial" w:cs="Arial" w:eastAsia="Arial" w:hAnsi="Arial"/>
          <w:sz w:val="18"/>
          <w:szCs w:val="18"/>
          <w:color w:val="auto"/>
        </w:rPr>
        <w:t>Los Angeles, CA 90071</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Attn: Stephen DeNelsky; Tim Markov</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Credit Agreement and Guaranty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09" w:name="page210"/>
    <w:bookmarkEnd w:id="209"/>
    <w:p>
      <w:pPr>
        <w:jc w:val="right"/>
        <w:ind w:right="1239"/>
        <w:spacing w:after="0"/>
        <w:rPr>
          <w:sz w:val="20"/>
          <w:szCs w:val="20"/>
          <w:color w:val="auto"/>
        </w:rPr>
      </w:pPr>
      <w:r>
        <w:rPr>
          <w:rFonts w:ascii="Arial" w:cs="Arial" w:eastAsia="Arial" w:hAnsi="Arial"/>
          <w:sz w:val="18"/>
          <w:szCs w:val="18"/>
          <w:b w:val="1"/>
          <w:bCs w:val="1"/>
          <w:color w:val="auto"/>
        </w:rPr>
        <w:t>OAKTREE STRATEGIC CREDIT FUND</w:t>
      </w:r>
    </w:p>
    <w:p>
      <w:pPr>
        <w:sectPr>
          <w:pgSz w:w="11900" w:h="16838" w:orient="portrait"/>
          <w:cols w:equalWidth="0" w:num="1">
            <w:col w:w="9019"/>
          </w:cols>
          <w:pgMar w:left="1440" w:top="661" w:right="1440" w:bottom="1440" w:gutter="0" w:footer="0" w:header="0"/>
        </w:sectPr>
      </w:pP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Oaktree Fund Advisors,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 Advisor</w:t>
      </w:r>
    </w:p>
    <w:p>
      <w:pPr>
        <w:spacing w:after="0" w:line="200" w:lineRule="exact"/>
        <w:rPr>
          <w:sz w:val="20"/>
          <w:szCs w:val="20"/>
          <w:color w:val="auto"/>
        </w:rPr>
      </w:pPr>
    </w:p>
    <w:p>
      <w:pPr>
        <w:sectPr>
          <w:pgSz w:w="11900" w:h="16838" w:orient="portrait"/>
          <w:cols w:equalWidth="0" w:num="2">
            <w:col w:w="4760" w:space="300"/>
            <w:col w:w="3959"/>
          </w:cols>
          <w:pgMar w:left="1440" w:top="661" w:right="1440" w:bottom="1440" w:gutter="0" w:footer="0" w:header="0"/>
          <w:type w:val="continuous"/>
        </w:sectPr>
      </w:pPr>
    </w:p>
    <w:p>
      <w:pPr>
        <w:spacing w:after="0" w:line="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Oaktree Fund Administration, LLC</w:t>
      </w:r>
    </w:p>
    <w:p>
      <w:pPr>
        <w:ind w:left="4500"/>
        <w:spacing w:after="0" w:line="192" w:lineRule="auto"/>
        <w:rPr>
          <w:sz w:val="20"/>
          <w:szCs w:val="20"/>
          <w:color w:val="auto"/>
        </w:rPr>
      </w:pPr>
      <w:r>
        <w:rPr>
          <w:rFonts w:ascii="Arial" w:cs="Arial" w:eastAsia="Arial" w:hAnsi="Arial"/>
          <w:sz w:val="18"/>
          <w:szCs w:val="18"/>
          <w:color w:val="auto"/>
        </w:rPr>
        <w:t>333 S. Grand Avenue,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4500"/>
        <w:spacing w:after="0"/>
        <w:rPr>
          <w:sz w:val="20"/>
          <w:szCs w:val="20"/>
          <w:color w:val="auto"/>
        </w:rPr>
      </w:pPr>
      <w:r>
        <w:rPr>
          <w:rFonts w:ascii="Arial" w:cs="Arial" w:eastAsia="Arial" w:hAnsi="Arial"/>
          <w:sz w:val="18"/>
          <w:szCs w:val="18"/>
          <w:color w:val="auto"/>
        </w:rPr>
        <w:t>Los Angeles, CA 90071</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Attn: Oaktree Agency</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Oaktree Capital Management, L.P.</w:t>
      </w:r>
    </w:p>
    <w:p>
      <w:pPr>
        <w:ind w:left="4500"/>
        <w:spacing w:after="0" w:line="210" w:lineRule="auto"/>
        <w:rPr>
          <w:sz w:val="20"/>
          <w:szCs w:val="20"/>
          <w:color w:val="auto"/>
        </w:rPr>
      </w:pPr>
      <w:r>
        <w:rPr>
          <w:rFonts w:ascii="Arial" w:cs="Arial" w:eastAsia="Arial" w:hAnsi="Arial"/>
          <w:sz w:val="18"/>
          <w:szCs w:val="18"/>
          <w:color w:val="auto"/>
        </w:rPr>
        <w:t>333 S. Grand Avenue,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4500"/>
        <w:spacing w:after="0"/>
        <w:rPr>
          <w:sz w:val="20"/>
          <w:szCs w:val="20"/>
          <w:color w:val="auto"/>
        </w:rPr>
      </w:pPr>
      <w:r>
        <w:rPr>
          <w:rFonts w:ascii="Arial" w:cs="Arial" w:eastAsia="Arial" w:hAnsi="Arial"/>
          <w:sz w:val="18"/>
          <w:szCs w:val="18"/>
          <w:color w:val="auto"/>
        </w:rPr>
        <w:t>Los Angeles, CA 90071</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Attn: Stephen DeNelsky; Tim Markov</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Credit Agreement and Guaranty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10" w:name="page211"/>
    <w:bookmarkEnd w:id="210"/>
    <w:p>
      <w:pPr>
        <w:ind w:left="4500"/>
        <w:spacing w:after="0"/>
        <w:rPr>
          <w:sz w:val="20"/>
          <w:szCs w:val="20"/>
          <w:color w:val="auto"/>
        </w:rPr>
      </w:pPr>
      <w:r>
        <w:rPr>
          <w:rFonts w:ascii="Arial" w:cs="Arial" w:eastAsia="Arial" w:hAnsi="Arial"/>
          <w:sz w:val="18"/>
          <w:szCs w:val="18"/>
          <w:b w:val="1"/>
          <w:bCs w:val="1"/>
          <w:color w:val="auto"/>
        </w:rPr>
        <w:t>OAKTREE ROUTE 66 MULTI-STRATEGY FUND, L.P.</w:t>
      </w:r>
    </w:p>
    <w:p>
      <w:pPr>
        <w:spacing w:after="0" w:line="229" w:lineRule="exact"/>
        <w:rPr>
          <w:sz w:val="20"/>
          <w:szCs w:val="20"/>
          <w:color w:val="auto"/>
        </w:rPr>
      </w:pPr>
    </w:p>
    <w:tbl>
      <w:tblPr>
        <w:tblLayout w:type="fixed"/>
        <w:tblInd w:w="450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Oaktree Route 66 Multi-Strategy Fund GP, L.P.</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Its:</w:t>
            </w: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General Partner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Oaktree Route 66 Multi-Strategy Fund GP, Ltd.</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Its:</w:t>
            </w: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General Partner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Its:</w:t>
            </w: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r>
      <w:tr>
        <w:trPr>
          <w:trHeight w:val="439"/>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r>
        <w:trPr>
          <w:trHeight w:val="202"/>
        </w:trPr>
        <w:tc>
          <w:tcPr>
            <w:tcW w:w="520" w:type="dxa"/>
            <w:vAlign w:val="bottom"/>
          </w:tcPr>
          <w:p>
            <w:pPr>
              <w:spacing w:after="0" w:line="201" w:lineRule="exact"/>
              <w:rPr>
                <w:sz w:val="20"/>
                <w:szCs w:val="20"/>
                <w:color w:val="auto"/>
              </w:rPr>
            </w:pPr>
            <w:r>
              <w:rPr>
                <w:rFonts w:ascii="Arial" w:cs="Arial" w:eastAsia="Arial" w:hAnsi="Arial"/>
                <w:sz w:val="18"/>
                <w:szCs w:val="18"/>
                <w:color w:val="auto"/>
                <w:w w:val="94"/>
              </w:rPr>
              <w:t>Name:</w:t>
            </w:r>
          </w:p>
        </w:tc>
        <w:tc>
          <w:tcPr>
            <w:tcW w:w="60" w:type="dxa"/>
            <w:vAlign w:val="bottom"/>
          </w:tcPr>
          <w:p>
            <w:pPr>
              <w:spacing w:after="0"/>
              <w:rPr>
                <w:sz w:val="17"/>
                <w:szCs w:val="17"/>
                <w:color w:val="auto"/>
              </w:rPr>
            </w:pPr>
          </w:p>
        </w:tc>
        <w:tc>
          <w:tcPr>
            <w:tcW w:w="5040" w:type="dxa"/>
            <w:vAlign w:val="bottom"/>
          </w:tcPr>
          <w:p>
            <w:pPr>
              <w:spacing w:after="0"/>
              <w:rPr>
                <w:sz w:val="17"/>
                <w:szCs w:val="17"/>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655"/>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r>
        <w:trPr>
          <w:trHeight w:val="202"/>
        </w:trPr>
        <w:tc>
          <w:tcPr>
            <w:tcW w:w="520" w:type="dxa"/>
            <w:vAlign w:val="bottom"/>
          </w:tcPr>
          <w:p>
            <w:pPr>
              <w:spacing w:after="0" w:line="201" w:lineRule="exact"/>
              <w:rPr>
                <w:sz w:val="20"/>
                <w:szCs w:val="20"/>
                <w:color w:val="auto"/>
              </w:rPr>
            </w:pPr>
            <w:r>
              <w:rPr>
                <w:rFonts w:ascii="Arial" w:cs="Arial" w:eastAsia="Arial" w:hAnsi="Arial"/>
                <w:sz w:val="18"/>
                <w:szCs w:val="18"/>
                <w:color w:val="auto"/>
                <w:w w:val="94"/>
              </w:rPr>
              <w:t>Name:</w:t>
            </w:r>
          </w:p>
        </w:tc>
        <w:tc>
          <w:tcPr>
            <w:tcW w:w="60" w:type="dxa"/>
            <w:vAlign w:val="bottom"/>
          </w:tcPr>
          <w:p>
            <w:pPr>
              <w:spacing w:after="0"/>
              <w:rPr>
                <w:sz w:val="17"/>
                <w:szCs w:val="17"/>
                <w:color w:val="auto"/>
              </w:rPr>
            </w:pPr>
          </w:p>
        </w:tc>
        <w:tc>
          <w:tcPr>
            <w:tcW w:w="5040" w:type="dxa"/>
            <w:vAlign w:val="bottom"/>
          </w:tcPr>
          <w:p>
            <w:pPr>
              <w:spacing w:after="0"/>
              <w:rPr>
                <w:sz w:val="17"/>
                <w:szCs w:val="17"/>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20"/>
                <w:szCs w:val="20"/>
                <w:color w:val="auto"/>
              </w:rPr>
            </w:pPr>
          </w:p>
        </w:tc>
        <w:tc>
          <w:tcPr>
            <w:tcW w:w="504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Oaktree Fund Administration, LLC</w:t>
      </w:r>
    </w:p>
    <w:p>
      <w:pPr>
        <w:ind w:left="4500"/>
        <w:spacing w:after="0" w:line="192" w:lineRule="auto"/>
        <w:rPr>
          <w:sz w:val="20"/>
          <w:szCs w:val="20"/>
          <w:color w:val="auto"/>
        </w:rPr>
      </w:pPr>
      <w:r>
        <w:rPr>
          <w:rFonts w:ascii="Arial" w:cs="Arial" w:eastAsia="Arial" w:hAnsi="Arial"/>
          <w:sz w:val="18"/>
          <w:szCs w:val="18"/>
          <w:color w:val="auto"/>
        </w:rPr>
        <w:t>333 S. Grand Avenue,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4500"/>
        <w:spacing w:after="0"/>
        <w:rPr>
          <w:sz w:val="20"/>
          <w:szCs w:val="20"/>
          <w:color w:val="auto"/>
        </w:rPr>
      </w:pPr>
      <w:r>
        <w:rPr>
          <w:rFonts w:ascii="Arial" w:cs="Arial" w:eastAsia="Arial" w:hAnsi="Arial"/>
          <w:sz w:val="18"/>
          <w:szCs w:val="18"/>
          <w:color w:val="auto"/>
        </w:rPr>
        <w:t>Los Angeles, CA 90071</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Attn: Oaktree Agency</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Oaktree Capital Management, L.P.</w:t>
      </w:r>
    </w:p>
    <w:p>
      <w:pPr>
        <w:ind w:left="4500"/>
        <w:spacing w:after="0" w:line="201" w:lineRule="auto"/>
        <w:rPr>
          <w:sz w:val="20"/>
          <w:szCs w:val="20"/>
          <w:color w:val="auto"/>
        </w:rPr>
      </w:pPr>
      <w:r>
        <w:rPr>
          <w:rFonts w:ascii="Arial" w:cs="Arial" w:eastAsia="Arial" w:hAnsi="Arial"/>
          <w:sz w:val="18"/>
          <w:szCs w:val="18"/>
          <w:color w:val="auto"/>
        </w:rPr>
        <w:t>333 S. Grand Avenue,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Los Angeles, CA 90071</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Attn: Stephen DeNelsky; Tim Markov</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6"/>
          <w:szCs w:val="16"/>
          <w:i w:val="1"/>
          <w:iCs w:val="1"/>
          <w:color w:val="auto"/>
        </w:rPr>
        <w:t>Signature Page to Credit Agreement and Guaranty</w:t>
      </w:r>
    </w:p>
    <w:p>
      <w:pPr>
        <w:spacing w:after="0" w:line="24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211" w:name="page212"/>
    <w:bookmarkEnd w:id="211"/>
    <w:p>
      <w:pPr>
        <w:jc w:val="right"/>
        <w:ind w:right="1520"/>
        <w:spacing w:after="0"/>
        <w:rPr>
          <w:sz w:val="20"/>
          <w:szCs w:val="20"/>
          <w:color w:val="auto"/>
        </w:rPr>
      </w:pPr>
      <w:r>
        <w:rPr>
          <w:rFonts w:ascii="Arial" w:cs="Arial" w:eastAsia="Arial" w:hAnsi="Arial"/>
          <w:sz w:val="18"/>
          <w:szCs w:val="18"/>
          <w:b w:val="1"/>
          <w:bCs w:val="1"/>
          <w:color w:val="auto"/>
        </w:rPr>
        <w:t>OAKTREE AZ STRATEGIC LENDING FUND, L.P.</w:t>
      </w:r>
    </w:p>
    <w:p>
      <w:pPr>
        <w:spacing w:after="0" w:line="229" w:lineRule="exact"/>
        <w:rPr>
          <w:sz w:val="20"/>
          <w:szCs w:val="20"/>
          <w:color w:val="auto"/>
        </w:rPr>
      </w:pPr>
    </w:p>
    <w:tbl>
      <w:tblPr>
        <w:tblLayout w:type="fixed"/>
        <w:tblInd w:w="450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Oaktree AZ Strategic Lending Fund GP, L.P.</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Its:</w:t>
            </w: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General Partner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Oaktree Fund GP IIA, LLC</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Its:</w:t>
            </w: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General Partner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Oaktree Fund GP II, L.P.</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Its:</w:t>
            </w: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Managing Member</w:t>
            </w:r>
          </w:p>
        </w:tc>
      </w:tr>
      <w:tr>
        <w:trPr>
          <w:trHeight w:val="439"/>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r>
        <w:trPr>
          <w:trHeight w:val="202"/>
        </w:trPr>
        <w:tc>
          <w:tcPr>
            <w:tcW w:w="520" w:type="dxa"/>
            <w:vAlign w:val="bottom"/>
          </w:tcPr>
          <w:p>
            <w:pPr>
              <w:spacing w:after="0" w:line="201" w:lineRule="exact"/>
              <w:rPr>
                <w:sz w:val="20"/>
                <w:szCs w:val="20"/>
                <w:color w:val="auto"/>
              </w:rPr>
            </w:pPr>
            <w:r>
              <w:rPr>
                <w:rFonts w:ascii="Arial" w:cs="Arial" w:eastAsia="Arial" w:hAnsi="Arial"/>
                <w:sz w:val="18"/>
                <w:szCs w:val="18"/>
                <w:color w:val="auto"/>
                <w:w w:val="94"/>
              </w:rPr>
              <w:t>Name:</w:t>
            </w:r>
          </w:p>
        </w:tc>
        <w:tc>
          <w:tcPr>
            <w:tcW w:w="60" w:type="dxa"/>
            <w:vAlign w:val="bottom"/>
          </w:tcPr>
          <w:p>
            <w:pPr>
              <w:spacing w:after="0"/>
              <w:rPr>
                <w:sz w:val="17"/>
                <w:szCs w:val="17"/>
                <w:color w:val="auto"/>
              </w:rPr>
            </w:pPr>
          </w:p>
        </w:tc>
        <w:tc>
          <w:tcPr>
            <w:tcW w:w="5040" w:type="dxa"/>
            <w:vAlign w:val="bottom"/>
          </w:tcPr>
          <w:p>
            <w:pPr>
              <w:spacing w:after="0"/>
              <w:rPr>
                <w:sz w:val="17"/>
                <w:szCs w:val="17"/>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2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Oaktree Fund Administration, LLC</w:t>
      </w:r>
    </w:p>
    <w:p>
      <w:pPr>
        <w:ind w:left="4500"/>
        <w:spacing w:after="0" w:line="192" w:lineRule="auto"/>
        <w:rPr>
          <w:sz w:val="20"/>
          <w:szCs w:val="20"/>
          <w:color w:val="auto"/>
        </w:rPr>
      </w:pPr>
      <w:r>
        <w:rPr>
          <w:rFonts w:ascii="Arial" w:cs="Arial" w:eastAsia="Arial" w:hAnsi="Arial"/>
          <w:sz w:val="18"/>
          <w:szCs w:val="18"/>
          <w:color w:val="auto"/>
        </w:rPr>
        <w:t>333 S. Grand Avenue,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4500"/>
        <w:spacing w:after="0"/>
        <w:rPr>
          <w:sz w:val="20"/>
          <w:szCs w:val="20"/>
          <w:color w:val="auto"/>
        </w:rPr>
      </w:pPr>
      <w:r>
        <w:rPr>
          <w:rFonts w:ascii="Arial" w:cs="Arial" w:eastAsia="Arial" w:hAnsi="Arial"/>
          <w:sz w:val="18"/>
          <w:szCs w:val="18"/>
          <w:color w:val="auto"/>
        </w:rPr>
        <w:t>Los Angeles, CA 90071</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Attn: Oaktree Agency</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Oaktree Capital Management, L.P.</w:t>
      </w:r>
    </w:p>
    <w:p>
      <w:pPr>
        <w:ind w:left="4500"/>
        <w:spacing w:after="0" w:line="201" w:lineRule="auto"/>
        <w:rPr>
          <w:sz w:val="20"/>
          <w:szCs w:val="20"/>
          <w:color w:val="auto"/>
        </w:rPr>
      </w:pPr>
      <w:r>
        <w:rPr>
          <w:rFonts w:ascii="Arial" w:cs="Arial" w:eastAsia="Arial" w:hAnsi="Arial"/>
          <w:sz w:val="18"/>
          <w:szCs w:val="18"/>
          <w:color w:val="auto"/>
        </w:rPr>
        <w:t>333 S. Grand Avenue,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Los Angeles, CA 90071</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Attn: Stephen DeNelsky; Tim Markov</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6"/>
          <w:szCs w:val="16"/>
          <w:i w:val="1"/>
          <w:iCs w:val="1"/>
          <w:color w:val="auto"/>
        </w:rPr>
        <w:t>Signature Page to Credit Agreement and Guaranty</w:t>
      </w:r>
    </w:p>
    <w:p>
      <w:pPr>
        <w:spacing w:after="0" w:line="24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212" w:name="page213"/>
    <w:bookmarkEnd w:id="212"/>
    <w:p>
      <w:pPr>
        <w:jc w:val="right"/>
        <w:ind w:right="839"/>
        <w:spacing w:after="0"/>
        <w:rPr>
          <w:sz w:val="20"/>
          <w:szCs w:val="20"/>
          <w:color w:val="auto"/>
        </w:rPr>
      </w:pPr>
      <w:r>
        <w:rPr>
          <w:rFonts w:ascii="Arial" w:cs="Arial" w:eastAsia="Arial" w:hAnsi="Arial"/>
          <w:sz w:val="18"/>
          <w:szCs w:val="18"/>
          <w:b w:val="1"/>
          <w:bCs w:val="1"/>
          <w:color w:val="auto"/>
        </w:rPr>
        <w:t>OAKTREE LOAN ACQUISITION FUND, L.P.</w:t>
      </w:r>
    </w:p>
    <w:p>
      <w:pPr>
        <w:sectPr>
          <w:pgSz w:w="11900" w:h="16838" w:orient="portrait"/>
          <w:cols w:equalWidth="0" w:num="1">
            <w:col w:w="9019"/>
          </w:cols>
          <w:pgMar w:left="1440" w:top="661" w:right="1440" w:bottom="1440" w:gutter="0" w:footer="0" w:header="0"/>
        </w:sectPr>
      </w:pP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Oaktree Fund GP IIA,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ectPr>
          <w:pgSz w:w="11900" w:h="16838" w:orient="portrait"/>
          <w:cols w:equalWidth="0" w:num="2">
            <w:col w:w="4760" w:space="300"/>
            <w:col w:w="3959"/>
          </w:cols>
          <w:pgMar w:left="1440" w:top="661" w:right="1440" w:bottom="1440" w:gutter="0" w:footer="0" w:header="0"/>
          <w:type w:val="continuous"/>
        </w:sectPr>
      </w:pPr>
    </w:p>
    <w:p>
      <w:pPr>
        <w:spacing w:after="0" w:line="11"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Oaktree Fund GP II,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Managing Member</w:t>
      </w:r>
    </w:p>
    <w:p>
      <w:pPr>
        <w:spacing w:after="0" w:line="200" w:lineRule="exact"/>
        <w:rPr>
          <w:sz w:val="20"/>
          <w:szCs w:val="20"/>
          <w:color w:val="auto"/>
        </w:rPr>
      </w:pPr>
    </w:p>
    <w:p>
      <w:pPr>
        <w:sectPr>
          <w:pgSz w:w="11900" w:h="16838" w:orient="portrait"/>
          <w:cols w:equalWidth="0" w:num="2">
            <w:col w:w="4760" w:space="300"/>
            <w:col w:w="3959"/>
          </w:cols>
          <w:pgMar w:left="1440" w:top="661" w:right="1440" w:bottom="1440" w:gutter="0" w:footer="0" w:header="0"/>
          <w:type w:val="continuous"/>
        </w:sect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4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2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Oaktree Fund Administration, LLC</w:t>
      </w:r>
    </w:p>
    <w:p>
      <w:pPr>
        <w:ind w:left="4500"/>
        <w:spacing w:after="0" w:line="192" w:lineRule="auto"/>
        <w:rPr>
          <w:sz w:val="20"/>
          <w:szCs w:val="20"/>
          <w:color w:val="auto"/>
        </w:rPr>
      </w:pPr>
      <w:r>
        <w:rPr>
          <w:rFonts w:ascii="Arial" w:cs="Arial" w:eastAsia="Arial" w:hAnsi="Arial"/>
          <w:sz w:val="18"/>
          <w:szCs w:val="18"/>
          <w:color w:val="auto"/>
        </w:rPr>
        <w:t>333 S. Grand Avenue,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4500"/>
        <w:spacing w:after="0"/>
        <w:rPr>
          <w:sz w:val="20"/>
          <w:szCs w:val="20"/>
          <w:color w:val="auto"/>
        </w:rPr>
      </w:pPr>
      <w:r>
        <w:rPr>
          <w:rFonts w:ascii="Arial" w:cs="Arial" w:eastAsia="Arial" w:hAnsi="Arial"/>
          <w:sz w:val="18"/>
          <w:szCs w:val="18"/>
          <w:color w:val="auto"/>
        </w:rPr>
        <w:t>Los Angeles, CA 90071</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Attn: Oaktree Agency</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Oaktree Capital Management, L.P.</w:t>
      </w:r>
    </w:p>
    <w:p>
      <w:pPr>
        <w:ind w:left="4500"/>
        <w:spacing w:after="0" w:line="210" w:lineRule="auto"/>
        <w:rPr>
          <w:sz w:val="20"/>
          <w:szCs w:val="20"/>
          <w:color w:val="auto"/>
        </w:rPr>
      </w:pPr>
      <w:r>
        <w:rPr>
          <w:rFonts w:ascii="Arial" w:cs="Arial" w:eastAsia="Arial" w:hAnsi="Arial"/>
          <w:sz w:val="18"/>
          <w:szCs w:val="18"/>
          <w:color w:val="auto"/>
        </w:rPr>
        <w:t>333 S. Grand Avenue,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4500"/>
        <w:spacing w:after="0"/>
        <w:rPr>
          <w:sz w:val="20"/>
          <w:szCs w:val="20"/>
          <w:color w:val="auto"/>
        </w:rPr>
      </w:pPr>
      <w:r>
        <w:rPr>
          <w:rFonts w:ascii="Arial" w:cs="Arial" w:eastAsia="Arial" w:hAnsi="Arial"/>
          <w:sz w:val="18"/>
          <w:szCs w:val="18"/>
          <w:color w:val="auto"/>
        </w:rPr>
        <w:t>Los Angeles, CA 90071</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Attn: Stephen DeNelsky; Tim Markov</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Credit Agreement and Guaranty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213" w:name="page214"/>
    <w:bookmarkEnd w:id="213"/>
    <w:p>
      <w:pPr>
        <w:jc w:val="right"/>
        <w:ind w:right="640"/>
        <w:spacing w:after="0"/>
        <w:rPr>
          <w:sz w:val="20"/>
          <w:szCs w:val="20"/>
          <w:color w:val="auto"/>
        </w:rPr>
      </w:pPr>
      <w:r>
        <w:rPr>
          <w:rFonts w:ascii="Arial" w:cs="Arial" w:eastAsia="Arial" w:hAnsi="Arial"/>
          <w:sz w:val="18"/>
          <w:szCs w:val="18"/>
          <w:b w:val="1"/>
          <w:bCs w:val="1"/>
          <w:color w:val="auto"/>
        </w:rPr>
        <w:t>OAKTREE LSL FUND DELAWARE HOLDINGS EURRC, L.P.</w:t>
      </w:r>
    </w:p>
    <w:p>
      <w:pPr>
        <w:spacing w:after="0" w:line="229" w:lineRule="exact"/>
        <w:rPr>
          <w:sz w:val="20"/>
          <w:szCs w:val="20"/>
          <w:color w:val="auto"/>
        </w:rPr>
      </w:pPr>
    </w:p>
    <w:tbl>
      <w:tblPr>
        <w:tblLayout w:type="fixed"/>
        <w:tblInd w:w="450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Oaktree Life Sciences Lending Fund GP, L.P.</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Its:</w:t>
            </w: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General Partner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Oaktree Life Sciences Lending Fund GP Ltd.</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Its:</w:t>
            </w: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General Partner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Oaktree Capital Management, L.P.</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Its:</w:t>
            </w: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r>
      <w:tr>
        <w:trPr>
          <w:trHeight w:val="439"/>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r>
        <w:trPr>
          <w:trHeight w:val="202"/>
        </w:trPr>
        <w:tc>
          <w:tcPr>
            <w:tcW w:w="520" w:type="dxa"/>
            <w:vAlign w:val="bottom"/>
          </w:tcPr>
          <w:p>
            <w:pPr>
              <w:spacing w:after="0" w:line="201" w:lineRule="exact"/>
              <w:rPr>
                <w:sz w:val="20"/>
                <w:szCs w:val="20"/>
                <w:color w:val="auto"/>
              </w:rPr>
            </w:pPr>
            <w:r>
              <w:rPr>
                <w:rFonts w:ascii="Arial" w:cs="Arial" w:eastAsia="Arial" w:hAnsi="Arial"/>
                <w:sz w:val="18"/>
                <w:szCs w:val="18"/>
                <w:color w:val="auto"/>
                <w:w w:val="94"/>
              </w:rPr>
              <w:t>Name:</w:t>
            </w:r>
          </w:p>
        </w:tc>
        <w:tc>
          <w:tcPr>
            <w:tcW w:w="60" w:type="dxa"/>
            <w:vAlign w:val="bottom"/>
          </w:tcPr>
          <w:p>
            <w:pPr>
              <w:spacing w:after="0"/>
              <w:rPr>
                <w:sz w:val="17"/>
                <w:szCs w:val="17"/>
                <w:color w:val="auto"/>
              </w:rPr>
            </w:pPr>
          </w:p>
        </w:tc>
        <w:tc>
          <w:tcPr>
            <w:tcW w:w="5040" w:type="dxa"/>
            <w:vAlign w:val="bottom"/>
          </w:tcPr>
          <w:p>
            <w:pPr>
              <w:spacing w:after="0"/>
              <w:rPr>
                <w:sz w:val="17"/>
                <w:szCs w:val="17"/>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20"/>
                <w:szCs w:val="20"/>
                <w:color w:val="auto"/>
              </w:rPr>
            </w:pPr>
          </w:p>
        </w:tc>
        <w:tc>
          <w:tcPr>
            <w:tcW w:w="504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Oaktree Fund Administration, LLC</w:t>
      </w:r>
    </w:p>
    <w:p>
      <w:pPr>
        <w:ind w:left="4500"/>
        <w:spacing w:after="0" w:line="192" w:lineRule="auto"/>
        <w:rPr>
          <w:sz w:val="20"/>
          <w:szCs w:val="20"/>
          <w:color w:val="auto"/>
        </w:rPr>
      </w:pPr>
      <w:r>
        <w:rPr>
          <w:rFonts w:ascii="Arial" w:cs="Arial" w:eastAsia="Arial" w:hAnsi="Arial"/>
          <w:sz w:val="18"/>
          <w:szCs w:val="18"/>
          <w:color w:val="auto"/>
        </w:rPr>
        <w:t>333 S. Grand Avenue,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4500"/>
        <w:spacing w:after="0"/>
        <w:rPr>
          <w:sz w:val="20"/>
          <w:szCs w:val="20"/>
          <w:color w:val="auto"/>
        </w:rPr>
      </w:pPr>
      <w:r>
        <w:rPr>
          <w:rFonts w:ascii="Arial" w:cs="Arial" w:eastAsia="Arial" w:hAnsi="Arial"/>
          <w:sz w:val="18"/>
          <w:szCs w:val="18"/>
          <w:color w:val="auto"/>
        </w:rPr>
        <w:t>Los Angeles, CA 90071</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Attn: Oaktree Agency</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Oaktree Capital Management, L.P.</w:t>
      </w:r>
    </w:p>
    <w:p>
      <w:pPr>
        <w:ind w:left="4500"/>
        <w:spacing w:after="0" w:line="201" w:lineRule="auto"/>
        <w:rPr>
          <w:sz w:val="20"/>
          <w:szCs w:val="20"/>
          <w:color w:val="auto"/>
        </w:rPr>
      </w:pPr>
      <w:r>
        <w:rPr>
          <w:rFonts w:ascii="Arial" w:cs="Arial" w:eastAsia="Arial" w:hAnsi="Arial"/>
          <w:sz w:val="18"/>
          <w:szCs w:val="18"/>
          <w:color w:val="auto"/>
        </w:rPr>
        <w:t>333 S. Grand Avenue, 28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Los Angeles, CA 90071</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Attn: Stephen DeNelsky; Tim Markov</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6"/>
          <w:szCs w:val="16"/>
          <w:i w:val="1"/>
          <w:iCs w:val="1"/>
          <w:color w:val="auto"/>
        </w:rPr>
        <w:t>Signature Page to Credit Agreement and Guaranty</w:t>
      </w:r>
    </w:p>
    <w:p>
      <w:pPr>
        <w:spacing w:after="0" w:line="24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00" w:type="dxa"/>
            <w:vAlign w:val="bottom"/>
            <w:gridSpan w:val="2"/>
          </w:tcPr>
          <w:p>
            <w:pPr>
              <w:jc w:val="right"/>
              <w:ind w:right="527"/>
              <w:spacing w:after="0"/>
              <w:rPr>
                <w:sz w:val="20"/>
                <w:szCs w:val="20"/>
                <w:color w:val="auto"/>
              </w:rPr>
            </w:pPr>
            <w:r>
              <w:rPr>
                <w:rFonts w:ascii="Arial" w:cs="Arial" w:eastAsia="Arial" w:hAnsi="Arial"/>
                <w:sz w:val="18"/>
                <w:szCs w:val="18"/>
                <w:b w:val="1"/>
                <w:bCs w:val="1"/>
                <w:color w:val="auto"/>
              </w:rPr>
              <w:t>Schedule 1</w:t>
            </w:r>
          </w:p>
        </w:tc>
        <w:tc>
          <w:tcPr>
            <w:tcW w:w="2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00" w:type="dxa"/>
            <w:vAlign w:val="bottom"/>
            <w:gridSpan w:val="2"/>
          </w:tcPr>
          <w:p>
            <w:pPr>
              <w:jc w:val="right"/>
              <w:ind w:right="347"/>
              <w:spacing w:after="0"/>
              <w:rPr>
                <w:sz w:val="20"/>
                <w:szCs w:val="20"/>
                <w:color w:val="auto"/>
              </w:rPr>
            </w:pPr>
            <w:r>
              <w:rPr>
                <w:rFonts w:ascii="Arial" w:cs="Arial" w:eastAsia="Arial" w:hAnsi="Arial"/>
                <w:sz w:val="18"/>
                <w:szCs w:val="18"/>
                <w:b w:val="1"/>
                <w:bCs w:val="1"/>
                <w:color w:val="auto"/>
              </w:rPr>
              <w:t>Loans Schedule</w:t>
            </w: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Tranche A Term Loans</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w w:val="97"/>
              </w:rPr>
              <w:t>Lenders and their respective Applicable Commitments:</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Lender</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Closing Date Tranche A</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Incremental Tranche A</w:t>
            </w:r>
          </w:p>
        </w:tc>
        <w:tc>
          <w:tcPr>
            <w:tcW w:w="0" w:type="dxa"/>
            <w:vAlign w:val="bottom"/>
          </w:tcPr>
          <w:p>
            <w:pPr>
              <w:spacing w:after="0"/>
              <w:rPr>
                <w:sz w:val="1"/>
                <w:szCs w:val="1"/>
                <w:color w:val="auto"/>
              </w:rPr>
            </w:pPr>
          </w:p>
        </w:tc>
      </w:tr>
      <w:tr>
        <w:trPr>
          <w:trHeight w:val="241"/>
        </w:trPr>
        <w:tc>
          <w:tcPr>
            <w:tcW w:w="4640" w:type="dxa"/>
            <w:vAlign w:val="bottom"/>
            <w:gridSpan w:val="3"/>
            <w:vMerge w:val="continue"/>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Commitment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Commitment</w:t>
            </w:r>
          </w:p>
        </w:tc>
        <w:tc>
          <w:tcPr>
            <w:tcW w:w="0" w:type="dxa"/>
            <w:vAlign w:val="bottom"/>
          </w:tcPr>
          <w:p>
            <w:pPr>
              <w:spacing w:after="0"/>
              <w:rPr>
                <w:sz w:val="1"/>
                <w:szCs w:val="1"/>
                <w:color w:val="auto"/>
              </w:rPr>
            </w:pPr>
          </w:p>
        </w:tc>
      </w:tr>
      <w:tr>
        <w:trPr>
          <w:trHeight w:val="243"/>
        </w:trPr>
        <w:tc>
          <w:tcPr>
            <w:tcW w:w="46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INPRS Strategic Credit Holdings, LLC</w:t>
            </w:r>
          </w:p>
        </w:tc>
        <w:tc>
          <w:tcPr>
            <w:tcW w:w="1900" w:type="dxa"/>
            <w:vAlign w:val="bottom"/>
            <w:tcBorders>
              <w:top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662,000.00</w:t>
            </w:r>
          </w:p>
        </w:tc>
        <w:tc>
          <w:tcPr>
            <w:tcW w:w="3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127,307.69</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40" w:type="dxa"/>
            <w:vAlign w:val="bottom"/>
            <w:gridSpan w:val="3"/>
          </w:tcPr>
          <w:p>
            <w:pPr>
              <w:spacing w:after="0"/>
              <w:rPr>
                <w:sz w:val="20"/>
                <w:szCs w:val="20"/>
                <w:color w:val="auto"/>
              </w:rPr>
            </w:pPr>
            <w:r>
              <w:rPr>
                <w:rFonts w:ascii="Arial" w:cs="Arial" w:eastAsia="Arial" w:hAnsi="Arial"/>
                <w:sz w:val="18"/>
                <w:szCs w:val="18"/>
                <w:color w:val="auto"/>
              </w:rPr>
              <w:t>Oaktree Specialty Lending Corporation</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7,448,000.00</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1,432,307.69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Oaktree Strategic Credit Fund</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9,319,000.00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1,792,115.38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40" w:type="dxa"/>
            <w:vAlign w:val="bottom"/>
            <w:gridSpan w:val="3"/>
          </w:tcPr>
          <w:p>
            <w:pPr>
              <w:spacing w:after="0"/>
              <w:rPr>
                <w:sz w:val="20"/>
                <w:szCs w:val="20"/>
                <w:color w:val="auto"/>
              </w:rPr>
            </w:pPr>
            <w:r>
              <w:rPr>
                <w:rFonts w:ascii="Arial" w:cs="Arial" w:eastAsia="Arial" w:hAnsi="Arial"/>
                <w:sz w:val="18"/>
                <w:szCs w:val="18"/>
                <w:color w:val="auto"/>
              </w:rPr>
              <w:t>Oaktree Route 66 Multi-Strategy Fund, L.P.</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1,218,000.00</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234,230.77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Oaktree AZ Strategic Lending Fund, L.P.</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8,122,000.00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1,561,923.08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40" w:type="dxa"/>
            <w:vAlign w:val="bottom"/>
            <w:gridSpan w:val="3"/>
          </w:tcPr>
          <w:p>
            <w:pPr>
              <w:spacing w:after="0"/>
              <w:rPr>
                <w:sz w:val="20"/>
                <w:szCs w:val="20"/>
                <w:color w:val="auto"/>
              </w:rPr>
            </w:pPr>
            <w:r>
              <w:rPr>
                <w:rFonts w:ascii="Arial" w:cs="Arial" w:eastAsia="Arial" w:hAnsi="Arial"/>
                <w:sz w:val="18"/>
                <w:szCs w:val="18"/>
                <w:color w:val="auto"/>
              </w:rPr>
              <w:t>Oaktree Loan Acquisition Fund, L.P.</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31,869,000.00</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OLAF Senior Lending SPV, LLC</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6,128,653.85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40" w:type="dxa"/>
            <w:vAlign w:val="bottom"/>
            <w:gridSpan w:val="3"/>
          </w:tcPr>
          <w:p>
            <w:pPr>
              <w:spacing w:after="0"/>
              <w:rPr>
                <w:sz w:val="20"/>
                <w:szCs w:val="20"/>
                <w:color w:val="auto"/>
              </w:rPr>
            </w:pPr>
            <w:r>
              <w:rPr>
                <w:rFonts w:ascii="Arial" w:cs="Arial" w:eastAsia="Arial" w:hAnsi="Arial"/>
                <w:sz w:val="18"/>
                <w:szCs w:val="18"/>
                <w:color w:val="auto"/>
              </w:rPr>
              <w:t>Oaktree LSL Fund Delaware Holdings EURRC, L.P.</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6,362,000.00</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1,223,461.54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65,000,000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12,500,000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1780" w:type="dxa"/>
            <w:vAlign w:val="bottom"/>
            <w:tcBorders>
              <w:top w:val="single" w:sz="8" w:color="CCEEFF"/>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Tranche B Term Loans</w:t>
            </w:r>
          </w:p>
        </w:tc>
        <w:tc>
          <w:tcPr>
            <w:tcW w:w="2860" w:type="dxa"/>
            <w:vAlign w:val="bottom"/>
            <w:tcBorders>
              <w:top w:val="single" w:sz="8" w:color="CCEEFF"/>
            </w:tcBorders>
          </w:tcPr>
          <w:p>
            <w:pPr>
              <w:spacing w:after="0"/>
              <w:rPr>
                <w:sz w:val="24"/>
                <w:szCs w:val="24"/>
                <w:color w:val="auto"/>
              </w:rPr>
            </w:pPr>
          </w:p>
        </w:tc>
        <w:tc>
          <w:tcPr>
            <w:tcW w:w="19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w w:val="97"/>
              </w:rPr>
              <w:t>Lenders and their respective Applicable Commitments:</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Tranche B Commitment (if</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gridSpan w:val="3"/>
          </w:tcPr>
          <w:p>
            <w:pPr>
              <w:spacing w:after="0"/>
              <w:rPr>
                <w:sz w:val="20"/>
                <w:szCs w:val="20"/>
                <w:color w:val="auto"/>
              </w:rPr>
            </w:pPr>
            <w:r>
              <w:rPr>
                <w:rFonts w:ascii="Arial" w:cs="Arial" w:eastAsia="Arial" w:hAnsi="Arial"/>
                <w:sz w:val="18"/>
                <w:szCs w:val="18"/>
                <w:b w:val="1"/>
                <w:bCs w:val="1"/>
                <w:color w:val="auto"/>
                <w:w w:val="93"/>
              </w:rPr>
              <w:t>reduced in accordance with</w:t>
            </w:r>
          </w:p>
        </w:tc>
        <w:tc>
          <w:tcPr>
            <w:tcW w:w="0" w:type="dxa"/>
            <w:vAlign w:val="bottom"/>
          </w:tcPr>
          <w:p>
            <w:pPr>
              <w:spacing w:after="0"/>
              <w:rPr>
                <w:sz w:val="1"/>
                <w:szCs w:val="1"/>
                <w:color w:val="auto"/>
              </w:rPr>
            </w:pPr>
          </w:p>
        </w:tc>
      </w:tr>
      <w:tr>
        <w:trPr>
          <w:trHeight w:val="216"/>
        </w:trPr>
        <w:tc>
          <w:tcPr>
            <w:tcW w:w="4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Lender</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the definition of “Tranche</w:t>
            </w:r>
          </w:p>
        </w:tc>
        <w:tc>
          <w:tcPr>
            <w:tcW w:w="0" w:type="dxa"/>
            <w:vAlign w:val="bottom"/>
          </w:tcPr>
          <w:p>
            <w:pPr>
              <w:spacing w:after="0"/>
              <w:rPr>
                <w:sz w:val="1"/>
                <w:szCs w:val="1"/>
                <w:color w:val="auto"/>
              </w:rPr>
            </w:pPr>
          </w:p>
        </w:tc>
      </w:tr>
      <w:tr>
        <w:trPr>
          <w:trHeight w:val="241"/>
        </w:trPr>
        <w:tc>
          <w:tcPr>
            <w:tcW w:w="4640" w:type="dxa"/>
            <w:vAlign w:val="bottom"/>
            <w:gridSpan w:val="3"/>
            <w:vMerge w:val="continue"/>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Tranche B Commitment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B Commitment”)</w:t>
            </w:r>
          </w:p>
        </w:tc>
        <w:tc>
          <w:tcPr>
            <w:tcW w:w="0" w:type="dxa"/>
            <w:vAlign w:val="bottom"/>
          </w:tcPr>
          <w:p>
            <w:pPr>
              <w:spacing w:after="0"/>
              <w:rPr>
                <w:sz w:val="1"/>
                <w:szCs w:val="1"/>
                <w:color w:val="auto"/>
              </w:rPr>
            </w:pPr>
          </w:p>
        </w:tc>
      </w:tr>
      <w:tr>
        <w:trPr>
          <w:trHeight w:val="243"/>
        </w:trPr>
        <w:tc>
          <w:tcPr>
            <w:tcW w:w="46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INPRS Strategic Credit Holdings, LLC</w:t>
            </w:r>
          </w:p>
        </w:tc>
        <w:tc>
          <w:tcPr>
            <w:tcW w:w="1900" w:type="dxa"/>
            <w:vAlign w:val="bottom"/>
            <w:tcBorders>
              <w:top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357,000.00</w:t>
            </w:r>
          </w:p>
        </w:tc>
        <w:tc>
          <w:tcPr>
            <w:tcW w:w="3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305,700.00</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40" w:type="dxa"/>
            <w:vAlign w:val="bottom"/>
            <w:gridSpan w:val="3"/>
          </w:tcPr>
          <w:p>
            <w:pPr>
              <w:spacing w:after="0"/>
              <w:rPr>
                <w:sz w:val="20"/>
                <w:szCs w:val="20"/>
                <w:color w:val="auto"/>
              </w:rPr>
            </w:pPr>
            <w:r>
              <w:rPr>
                <w:rFonts w:ascii="Arial" w:cs="Arial" w:eastAsia="Arial" w:hAnsi="Arial"/>
                <w:sz w:val="18"/>
                <w:szCs w:val="18"/>
                <w:color w:val="auto"/>
              </w:rPr>
              <w:t>Oaktree Specialty Lending Corporation</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4,011,000.00</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3,437,700.00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Oaktree Strategic Credit Fund</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5,018,000.00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4,301,100.00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40" w:type="dxa"/>
            <w:vAlign w:val="bottom"/>
            <w:gridSpan w:val="3"/>
          </w:tcPr>
          <w:p>
            <w:pPr>
              <w:spacing w:after="0"/>
              <w:rPr>
                <w:sz w:val="20"/>
                <w:szCs w:val="20"/>
                <w:color w:val="auto"/>
              </w:rPr>
            </w:pPr>
            <w:r>
              <w:rPr>
                <w:rFonts w:ascii="Arial" w:cs="Arial" w:eastAsia="Arial" w:hAnsi="Arial"/>
                <w:sz w:val="18"/>
                <w:szCs w:val="18"/>
                <w:color w:val="auto"/>
              </w:rPr>
              <w:t>Oaktree Route 66 Multi-Strategy Fund, L.P.</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656,000.00</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562,200.00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Oaktree AZ Strategic Lending Fund, L.P.</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4,373,000.00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3,748,500.00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40" w:type="dxa"/>
            <w:vAlign w:val="bottom"/>
            <w:gridSpan w:val="3"/>
          </w:tcPr>
          <w:p>
            <w:pPr>
              <w:spacing w:after="0"/>
              <w:rPr>
                <w:sz w:val="20"/>
                <w:szCs w:val="20"/>
                <w:color w:val="auto"/>
              </w:rPr>
            </w:pPr>
            <w:r>
              <w:rPr>
                <w:rFonts w:ascii="Arial" w:cs="Arial" w:eastAsia="Arial" w:hAnsi="Arial"/>
                <w:sz w:val="18"/>
                <w:szCs w:val="18"/>
                <w:color w:val="auto"/>
              </w:rPr>
              <w:t>Oaktree Loan Acquisition Fund, L.P.</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17,160,000.00</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14,708,700.00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Oaktree LSL Fund Delaware Holdings EURRC, L.P.</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3,425,000.00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2,936,100.00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40" w:type="dxa"/>
            <w:vAlign w:val="bottom"/>
            <w:gridSpan w:val="3"/>
          </w:tcPr>
          <w:p>
            <w:pPr>
              <w:spacing w:after="0" w:line="270" w:lineRule="exact"/>
              <w:rPr>
                <w:sz w:val="20"/>
                <w:szCs w:val="20"/>
                <w:color w:val="auto"/>
              </w:rPr>
            </w:pPr>
            <w:r>
              <w:rPr>
                <w:rFonts w:ascii="Arial" w:cs="Arial" w:eastAsia="Arial" w:hAnsi="Arial"/>
                <w:sz w:val="18"/>
                <w:szCs w:val="18"/>
                <w:b w:val="1"/>
                <w:bCs w:val="1"/>
                <w:color w:val="auto"/>
              </w:rPr>
              <w:t>Tranche B Commitment</w:t>
            </w:r>
            <w:r>
              <w:rPr>
                <w:rFonts w:ascii="Arial" w:cs="Arial" w:eastAsia="Arial" w:hAnsi="Arial"/>
                <w:sz w:val="29"/>
                <w:szCs w:val="29"/>
                <w:b w:val="1"/>
                <w:bCs w:val="1"/>
                <w:color w:val="auto"/>
                <w:vertAlign w:val="superscript"/>
              </w:rPr>
              <w:t>1</w:t>
            </w:r>
          </w:p>
        </w:tc>
        <w:tc>
          <w:tcPr>
            <w:tcW w:w="19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35,000,000</w:t>
            </w:r>
          </w:p>
        </w:tc>
        <w:tc>
          <w:tcPr>
            <w:tcW w:w="460" w:type="dxa"/>
            <w:vAlign w:val="bottom"/>
            <w:gridSpan w:val="2"/>
          </w:tcPr>
          <w:p>
            <w:pPr>
              <w:ind w:left="340"/>
              <w:spacing w:after="0"/>
              <w:rPr>
                <w:sz w:val="20"/>
                <w:szCs w:val="20"/>
                <w:color w:val="auto"/>
              </w:rPr>
            </w:pPr>
            <w:r>
              <w:rPr>
                <w:rFonts w:ascii="Arial" w:cs="Arial" w:eastAsia="Arial" w:hAnsi="Arial"/>
                <w:sz w:val="18"/>
                <w:szCs w:val="18"/>
                <w:b w:val="1"/>
                <w:bCs w:val="1"/>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30,000,000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76" w:lineRule="exact"/>
        <w:rPr>
          <w:sz w:val="20"/>
          <w:szCs w:val="20"/>
          <w:color w:val="auto"/>
        </w:rPr>
      </w:pPr>
    </w:p>
    <w:p>
      <w:pPr>
        <w:ind w:firstLine="8"/>
        <w:spacing w:after="0" w:line="202" w:lineRule="auto"/>
        <w:tabs>
          <w:tab w:leader="none" w:pos="117" w:val="left"/>
        </w:tabs>
        <w:numPr>
          <w:ilvl w:val="0"/>
          <w:numId w:val="68"/>
        </w:numPr>
        <w:rPr>
          <w:rFonts w:ascii="Arial" w:cs="Arial" w:eastAsia="Arial" w:hAnsi="Arial"/>
          <w:sz w:val="29"/>
          <w:szCs w:val="29"/>
          <w:color w:val="auto"/>
          <w:vertAlign w:val="superscript"/>
        </w:rPr>
      </w:pPr>
      <w:r>
        <w:rPr>
          <w:rFonts w:ascii="Arial" w:cs="Arial" w:eastAsia="Arial" w:hAnsi="Arial"/>
          <w:sz w:val="17"/>
          <w:szCs w:val="17"/>
          <w:color w:val="auto"/>
        </w:rPr>
        <w:t>The Tranche B Commitment shall automatically, and without any further action of any Person, be reduced to $30,000,000 if the Tranche B Funding Date does not occur on or prior to March 27, 2024.</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color w:val="auto"/>
        </w:rPr>
        <w:t>The following defined terms apply to the Incremental Tranche A Term Loans:</w:t>
      </w:r>
    </w:p>
    <w:p>
      <w:pPr>
        <w:spacing w:after="0" w:line="22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Incremental Tranche A Availability Period</w:t>
      </w:r>
      <w:r>
        <w:rPr>
          <w:rFonts w:ascii="Arial" w:cs="Arial" w:eastAsia="Arial" w:hAnsi="Arial"/>
          <w:sz w:val="18"/>
          <w:szCs w:val="18"/>
          <w:color w:val="auto"/>
        </w:rPr>
        <w:t>” means the period starting on the First Amendment Effective Date and ending on the applicable Commitment Termination Date.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Incremental Tranche A Funding Condition</w:t>
      </w:r>
      <w:r>
        <w:rPr>
          <w:rFonts w:ascii="Arial" w:cs="Arial" w:eastAsia="Arial" w:hAnsi="Arial"/>
          <w:sz w:val="16"/>
          <w:szCs w:val="16"/>
          <w:color w:val="auto"/>
        </w:rPr>
        <w:t xml:space="preserve">” means (a) the Eyevance Acquisition shall have been, or substantially concurrently with, or within one (1) Business Day of, the borrowing of the Incremental Tranche A Term Loans shall be, consummated on the terms and conditions set forth in the Eyevance Acquisition Agreements as in effect on the First Amendment Effective Date, or as amended, restated, amended and restated, supplemented or otherwise modified in any manner not materially adverse to the interests of the Administrative Agent or the Lenders in their respective capacities as such, unless consented to in writing by the Administrative Agent and the Lenders; provided, that any increase in the consideration paid, whether in the form of Upfront Payment (as defined in the Eyevance APA), Lumpsum Payment (as defined in the Eyevance License Agreement), Deferred Acquisition Consideration or otherwise shall be deemed materially adverse to the Administrative Agent and the Lenders, in their respective capacities as such;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Eyevance Acquisition is not consummated as set forth above within one (1) Business Day of the borrowing of the Incremental Tranche A Term Loans, the Borrower shall forthwith return to the Lenders all Incremental Tranche A Term Loans in full in immediately available funds and (b) the Eyevance Specified Acquisition Agreement Representations shall be true and correct in all material respects, (unless such representations are already qualified by reference to materiality, material adverse effect or similar language, in which case such representations and warranties shall be true and correct in all respects) on and as of the Incremental Tranche A Funding Date, except to the extent such representations and warranties specifically relate to an earlier date, in which case such representations and warranties shall have been true and correct in all material respects on and as of such earlier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defined terms apply to the Tranche B Term Loans: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Tranche B Availability Period</w:t>
      </w:r>
      <w:r>
        <w:rPr>
          <w:rFonts w:ascii="Arial" w:cs="Arial" w:eastAsia="Arial" w:hAnsi="Arial"/>
          <w:sz w:val="16"/>
          <w:szCs w:val="16"/>
          <w:color w:val="auto"/>
        </w:rPr>
        <w:t>” means the period starting on the Closing Date and ending on the applicable Commitment Termination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Tranche B Funding Condition</w:t>
      </w:r>
      <w:r>
        <w:rPr>
          <w:rFonts w:ascii="Arial" w:cs="Arial" w:eastAsia="Arial" w:hAnsi="Arial"/>
          <w:sz w:val="17"/>
          <w:szCs w:val="17"/>
          <w:color w:val="auto"/>
        </w:rPr>
        <w:t>” means that the Administrative Agent shall have received satisfactory evidence that (i) TRIESENCE has become commercially available in the United States, (ii) the Novartis Milestone Payment has become due and payable in accordance with the terms of the Novartis Purchase Agreement and (iii) the proceeds of the Tranche B Term Loan shall be used to pay a portion of the Novartis Milestone Payment substantially concurrently with the borrowing on the Tranche B Term Loan on the Tranche B Funding Date.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certify that:</w:t>
      </w:r>
    </w:p>
    <w:p>
      <w:pPr>
        <w:spacing w:after="0" w:line="225"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Harrow Health,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9, 2023</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R. Boll, certify that:</w:t>
      </w:r>
    </w:p>
    <w:p>
      <w:pPr>
        <w:spacing w:after="0" w:line="225"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Harrow Health,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7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9, 2023</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Section 906 of the Sarbanes-Oxley Act of 2002, each of the undersigned hereby certifies in his capacity as the specified officer of Harrow Health, Inc. (the “Company”), that, to the best of his knowledge, the Quarterly Report of the Company on Form 10-Q for the fiscal quarter ended June 30, 2023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1)"/>
      <w:numFmt w:val="lowerRoman"/>
      <w:start w:val="2"/>
    </w:lvl>
  </w:abstractNum>
  <w:abstractNum w:abstractNumId="6">
    <w:nsid w:val="2463B9EA"/>
    <w:multiLevelType w:val="hybridMultilevel"/>
    <w:lvl w:ilvl="0">
      <w:lvlJc w:val="left"/>
      <w:lvlText w:val="%1."/>
      <w:numFmt w:val="decimal"/>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lvl w:ilvl="1">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1"/>
      <w:numFmt w:val="decimal"/>
      <w:start w:val="104"/>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6">
    <w:nsid w:val="1D4ED43B"/>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7">
    <w:nsid w:val="725A06FB"/>
    <w:multiLevelType w:val="hybridMultilevel"/>
    <w:lvl w:ilvl="0">
      <w:lvlJc w:val="left"/>
      <w:lvlText w:val="%1"/>
      <w:numFmt w:val="decimal"/>
      <w:start w:val="1"/>
    </w:lvl>
    <w:lvl w:ilvl="1">
      <w:lvlJc w:val="left"/>
      <w:lvlText w:val="(%2)"/>
      <w:numFmt w:val="lowerLetter"/>
      <w:start w:val="3"/>
    </w:lvl>
  </w:abstractNum>
  <w:abstractNum w:abstractNumId="18">
    <w:nsid w:val="2CD89A32"/>
    <w:multiLevelType w:val="hybridMultilevel"/>
    <w:lvl w:ilvl="0">
      <w:lvlJc w:val="left"/>
      <w:lvlText w:val="%1."/>
      <w:numFmt w:val="decimal"/>
      <w:start w:val="5"/>
    </w:lvl>
    <w:lvl w:ilvl="1">
      <w:lvlJc w:val="left"/>
      <w:lvlText w:val="(%2)"/>
      <w:numFmt w:val="lowerLetter"/>
      <w:start w:val="1"/>
    </w:lvl>
  </w:abstractNum>
  <w:abstractNum w:abstractNumId="19">
    <w:nsid w:val="57E4CCAF"/>
    <w:multiLevelType w:val="hybridMultilevel"/>
    <w:lvl w:ilvl="0">
      <w:lvlJc w:val="left"/>
      <w:lvlText w:val="%1."/>
      <w:numFmt w:val="decimal"/>
      <w:start w:val="7"/>
    </w:lvl>
  </w:abstractNum>
  <w:abstractNum w:abstractNumId="20">
    <w:nsid w:val="7A6D8D3C"/>
    <w:multiLevelType w:val="hybridMultilevel"/>
    <w:lvl w:ilvl="0">
      <w:lvlJc w:val="left"/>
      <w:lvlText w:val="(%1)"/>
      <w:numFmt w:val="lowerLetter"/>
      <w:start w:val="1"/>
    </w:lvl>
  </w:abstractNum>
  <w:abstractNum w:abstractNumId="21">
    <w:nsid w:val="4B588F54"/>
    <w:multiLevelType w:val="hybridMultilevel"/>
    <w:lvl w:ilvl="0">
      <w:lvlJc w:val="left"/>
      <w:lvlText w:val="(%1)"/>
      <w:numFmt w:val="lowerLetter"/>
      <w:start w:val="2"/>
    </w:lvl>
  </w:abstractNum>
  <w:abstractNum w:abstractNumId="22">
    <w:nsid w:val="542289EC"/>
    <w:multiLevelType w:val="hybridMultilevel"/>
    <w:lvl w:ilvl="0">
      <w:lvlJc w:val="left"/>
      <w:lvlText w:val="(%1)"/>
      <w:numFmt w:val="lowerLetter"/>
      <w:start w:val="3"/>
    </w:lvl>
  </w:abstractNum>
  <w:abstractNum w:abstractNumId="23">
    <w:nsid w:val="6DE91B18"/>
    <w:multiLevelType w:val="hybridMultilevel"/>
    <w:lvl w:ilvl="0">
      <w:lvlJc w:val="left"/>
      <w:lvlText w:val="(%1)"/>
      <w:numFmt w:val="lowerRoman"/>
      <w:start w:val="8"/>
    </w:lvl>
  </w:abstractNum>
  <w:abstractNum w:abstractNumId="24">
    <w:nsid w:val="38437FDB"/>
    <w:multiLevelType w:val="hybridMultilevel"/>
    <w:lvl w:ilvl="0">
      <w:lvlJc w:val="left"/>
      <w:lvlText w:val="(%1)"/>
      <w:numFmt w:val="lowerLetter"/>
      <w:start w:val="6"/>
    </w:lvl>
  </w:abstractNum>
  <w:abstractNum w:abstractNumId="25">
    <w:nsid w:val="7644A45C"/>
    <w:multiLevelType w:val="hybridMultilevel"/>
    <w:lvl w:ilvl="0">
      <w:lvlJc w:val="left"/>
      <w:lvlText w:val="(%1)"/>
      <w:numFmt w:val="lowerLetter"/>
      <w:start w:val="1"/>
    </w:lvl>
  </w:abstractNum>
  <w:abstractNum w:abstractNumId="26">
    <w:nsid w:val="32FFF902"/>
    <w:multiLevelType w:val="hybridMultilevel"/>
    <w:lvl w:ilvl="0">
      <w:lvlJc w:val="left"/>
      <w:lvlText w:val="(%1)"/>
      <w:numFmt w:val="lowerLetter"/>
      <w:start w:val="8"/>
    </w:lvl>
  </w:abstractNum>
  <w:abstractNum w:abstractNumId="27">
    <w:nsid w:val="684A481A"/>
    <w:multiLevelType w:val="hybridMultilevel"/>
    <w:lvl w:ilvl="0">
      <w:lvlJc w:val="left"/>
      <w:lvlText w:val="(%1)"/>
      <w:numFmt w:val="lowerRoman"/>
      <w:start w:val="7"/>
    </w:lvl>
  </w:abstractNum>
  <w:abstractNum w:abstractNumId="28">
    <w:nsid w:val="579478FE"/>
    <w:multiLevelType w:val="hybridMultilevel"/>
    <w:lvl w:ilvl="0">
      <w:lvlJc w:val="left"/>
      <w:lvlText w:val="(%1)"/>
      <w:numFmt w:val="lowerLetter"/>
      <w:start w:val="1"/>
    </w:lvl>
  </w:abstractNum>
  <w:abstractNum w:abstractNumId="29">
    <w:nsid w:val="749ABB43"/>
    <w:multiLevelType w:val="hybridMultilevel"/>
    <w:lvl w:ilvl="0">
      <w:lvlJc w:val="left"/>
      <w:lvlText w:val="(%1)"/>
      <w:numFmt w:val="lowerLetter"/>
      <w:start w:val="8"/>
    </w:lvl>
  </w:abstractNum>
  <w:abstractNum w:abstractNumId="30">
    <w:nsid w:val="3DC240FB"/>
    <w:multiLevelType w:val="hybridMultilevel"/>
    <w:lvl w:ilvl="0">
      <w:lvlJc w:val="left"/>
      <w:lvlText w:val="(%1)"/>
      <w:numFmt w:val="lowerRoman"/>
      <w:start w:val="1"/>
    </w:lvl>
  </w:abstractNum>
  <w:abstractNum w:abstractNumId="31">
    <w:nsid w:val="1BA026FA"/>
    <w:multiLevelType w:val="hybridMultilevel"/>
    <w:lvl w:ilvl="0">
      <w:lvlJc w:val="left"/>
      <w:lvlText w:val="(%1)"/>
      <w:numFmt w:val="lowerRoman"/>
      <w:start w:val="1"/>
    </w:lvl>
  </w:abstractNum>
  <w:abstractNum w:abstractNumId="32">
    <w:nsid w:val="79A1DEAA"/>
    <w:multiLevelType w:val="hybridMultilevel"/>
    <w:lvl w:ilvl="0">
      <w:lvlJc w:val="left"/>
      <w:lvlText w:val="(%1)"/>
      <w:numFmt w:val="lowerRoman"/>
      <w:start w:val="2"/>
    </w:lvl>
  </w:abstractNum>
  <w:abstractNum w:abstractNumId="33">
    <w:nsid w:val="75C6C33A"/>
    <w:multiLevelType w:val="hybridMultilevel"/>
    <w:lvl w:ilvl="0">
      <w:lvlJc w:val="left"/>
      <w:lvlText w:val="(%1)"/>
      <w:numFmt w:val="lowerLetter"/>
      <w:start w:val="2"/>
    </w:lvl>
  </w:abstractNum>
  <w:abstractNum w:abstractNumId="34">
    <w:nsid w:val="12E685FB"/>
    <w:multiLevelType w:val="hybridMultilevel"/>
    <w:lvl w:ilvl="0">
      <w:lvlJc w:val="left"/>
      <w:lvlText w:val="(%1)"/>
      <w:numFmt w:val="upperLetter"/>
      <w:start w:val="1"/>
    </w:lvl>
  </w:abstractNum>
  <w:abstractNum w:abstractNumId="35">
    <w:nsid w:val="70C6A529"/>
    <w:multiLevelType w:val="hybridMultilevel"/>
    <w:lvl w:ilvl="0">
      <w:lvlJc w:val="left"/>
      <w:lvlText w:val="(%1)"/>
      <w:numFmt w:val="upperLetter"/>
      <w:start w:val="3"/>
    </w:lvl>
  </w:abstractNum>
  <w:abstractNum w:abstractNumId="36">
    <w:nsid w:val="520EEDD1"/>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37">
    <w:nsid w:val="374A3FE6"/>
    <w:multiLevelType w:val="hybridMultilevel"/>
    <w:lvl w:ilvl="0">
      <w:lvlJc w:val="left"/>
      <w:lvlText w:val="(%1)"/>
      <w:numFmt w:val="lowerRoman"/>
      <w:start w:val="10"/>
    </w:lvl>
    <w:lvl w:ilvl="1">
      <w:lvlJc w:val="left"/>
      <w:lvlText w:val="%2"/>
      <w:numFmt w:val="lowerRoman"/>
      <w:start w:val="1"/>
    </w:lvl>
    <w:lvl w:ilvl="2">
      <w:lvlJc w:val="left"/>
      <w:lvlText w:val="%3"/>
      <w:numFmt w:val="upperLetter"/>
      <w:start w:val="1"/>
    </w:lvl>
    <w:lvl w:ilvl="3">
      <w:lvlJc w:val="left"/>
      <w:lvlText w:val="(%4)"/>
      <w:numFmt w:val="decimal"/>
      <w:start w:val="2"/>
    </w:lvl>
  </w:abstractNum>
  <w:abstractNum w:abstractNumId="38">
    <w:nsid w:val="4F4EF005"/>
    <w:multiLevelType w:val="hybridMultilevel"/>
    <w:lvl w:ilvl="0">
      <w:lvlJc w:val="left"/>
      <w:lvlText w:val="%1"/>
      <w:numFmt w:val="upperLetter"/>
      <w:start w:val="1"/>
    </w:lvl>
    <w:lvl w:ilvl="1">
      <w:lvlJc w:val="left"/>
      <w:lvlText w:val="(%2)"/>
      <w:numFmt w:val="decimal"/>
      <w:start w:val="4"/>
    </w:lvl>
  </w:abstractNum>
  <w:abstractNum w:abstractNumId="39">
    <w:nsid w:val="23F9C13C"/>
    <w:multiLevelType w:val="hybridMultilevel"/>
    <w:lvl w:ilvl="0">
      <w:lvlJc w:val="left"/>
      <w:lvlText w:val="(%1)"/>
      <w:numFmt w:val="upperLetter"/>
      <w:start w:val="3"/>
    </w:lvl>
    <w:lvl w:ilvl="1">
      <w:lvlJc w:val="left"/>
      <w:lvlText w:val="%2"/>
      <w:numFmt w:val="decimal"/>
      <w:start w:val="1"/>
    </w:lvl>
  </w:abstractNum>
  <w:abstractNum w:abstractNumId="40">
    <w:nsid w:val="649BB77C"/>
    <w:multiLevelType w:val="hybridMultilevel"/>
    <w:lvl w:ilvl="0">
      <w:lvlJc w:val="left"/>
      <w:lvlText w:val="(%1)"/>
      <w:numFmt w:val="lowerRoman"/>
      <w:start w:val="1"/>
    </w:lvl>
  </w:abstractNum>
  <w:abstractNum w:abstractNumId="41">
    <w:nsid w:val="275AC794"/>
    <w:multiLevelType w:val="hybridMultilevel"/>
    <w:lvl w:ilvl="0">
      <w:lvlJc w:val="left"/>
      <w:lvlText w:val="(%1)"/>
      <w:numFmt w:val="lowerLetter"/>
      <w:start w:val="2"/>
    </w:lvl>
  </w:abstractNum>
  <w:abstractNum w:abstractNumId="42">
    <w:nsid w:val="39386575"/>
    <w:multiLevelType w:val="hybridMultilevel"/>
    <w:lvl w:ilvl="0">
      <w:lvlJc w:val="left"/>
      <w:lvlText w:val="(%1)"/>
      <w:numFmt w:val="lowerLetter"/>
      <w:start w:val="25"/>
    </w:lvl>
  </w:abstractNum>
  <w:abstractNum w:abstractNumId="43">
    <w:nsid w:val="1CF10FD8"/>
    <w:multiLevelType w:val="hybridMultilevel"/>
    <w:lvl w:ilvl="0">
      <w:lvlJc w:val="left"/>
      <w:lvlText w:val="(%1)"/>
      <w:numFmt w:val="decimal"/>
      <w:start w:val="45"/>
    </w:lvl>
  </w:abstractNum>
  <w:abstractNum w:abstractNumId="44">
    <w:nsid w:val="180115BE"/>
    <w:multiLevelType w:val="hybridMultilevel"/>
    <w:lvl w:ilvl="0">
      <w:lvlJc w:val="left"/>
      <w:lvlText w:val="(%1)"/>
      <w:numFmt w:val="lowerLetter"/>
      <w:start w:val="2"/>
    </w:lvl>
  </w:abstractNum>
  <w:abstractNum w:abstractNumId="45">
    <w:nsid w:val="235BA861"/>
    <w:multiLevelType w:val="hybridMultilevel"/>
    <w:lvl w:ilvl="0">
      <w:lvlJc w:val="left"/>
      <w:lvlText w:val="(%1)"/>
      <w:numFmt w:val="lowerLetter"/>
      <w:start w:val="1"/>
    </w:lvl>
  </w:abstractNum>
  <w:abstractNum w:abstractNumId="46">
    <w:nsid w:val="47398C89"/>
    <w:multiLevelType w:val="hybridMultilevel"/>
    <w:lvl w:ilvl="0">
      <w:lvlJc w:val="left"/>
      <w:lvlText w:val="%1"/>
      <w:numFmt w:val="lowerLetter"/>
      <w:start w:val="1"/>
    </w:lvl>
    <w:lvl w:ilvl="1">
      <w:lvlJc w:val="left"/>
      <w:lvlText w:val="(%2)"/>
      <w:numFmt w:val="lowerLetter"/>
      <w:start w:val="4"/>
    </w:lvl>
  </w:abstractNum>
  <w:abstractNum w:abstractNumId="47">
    <w:nsid w:val="354FE9F9"/>
    <w:multiLevelType w:val="hybridMultilevel"/>
    <w:lvl w:ilvl="0">
      <w:lvlJc w:val="left"/>
      <w:lvlText w:val="(%1)"/>
      <w:numFmt w:val="lowerLetter"/>
      <w:start w:val="9"/>
    </w:lvl>
    <w:lvl w:ilvl="1">
      <w:lvlJc w:val="left"/>
      <w:lvlText w:val="(%2)"/>
      <w:numFmt w:val="lowerLetter"/>
      <w:start w:val="7"/>
    </w:lvl>
  </w:abstractNum>
  <w:abstractNum w:abstractNumId="48">
    <w:nsid w:val="15B5AF5C"/>
    <w:multiLevelType w:val="hybridMultilevel"/>
    <w:lvl w:ilvl="0">
      <w:lvlJc w:val="left"/>
      <w:lvlText w:val="(%1)"/>
      <w:numFmt w:val="lowerLetter"/>
      <w:start w:val="9"/>
    </w:lvl>
  </w:abstractNum>
  <w:abstractNum w:abstractNumId="49">
    <w:nsid w:val="741226BB"/>
    <w:multiLevelType w:val="hybridMultilevel"/>
    <w:lvl w:ilvl="0">
      <w:lvlJc w:val="left"/>
      <w:lvlText w:val="(%1)"/>
      <w:numFmt w:val="lowerLetter"/>
      <w:start w:val="23"/>
    </w:lvl>
  </w:abstractNum>
  <w:abstractNum w:abstractNumId="50">
    <w:nsid w:val="D34B6A8"/>
    <w:multiLevelType w:val="hybridMultilevel"/>
    <w:lvl w:ilvl="0">
      <w:lvlJc w:val="left"/>
      <w:lvlText w:val="(%1)"/>
      <w:numFmt w:val="upperLetter"/>
      <w:start w:val="35"/>
    </w:lvl>
  </w:abstractNum>
  <w:abstractNum w:abstractNumId="51">
    <w:nsid w:val="10233C99"/>
    <w:multiLevelType w:val="hybridMultilevel"/>
    <w:lvl w:ilvl="0">
      <w:lvlJc w:val="left"/>
      <w:lvlText w:val="(%1)"/>
      <w:numFmt w:val="lowerRoman"/>
      <w:start w:val="1"/>
    </w:lvl>
  </w:abstractNum>
  <w:abstractNum w:abstractNumId="52">
    <w:nsid w:val="3F6AB60F"/>
    <w:multiLevelType w:val="hybridMultilevel"/>
    <w:lvl w:ilvl="0">
      <w:lvlJc w:val="left"/>
      <w:lvlText w:val="(%1)"/>
      <w:numFmt w:val="lowerRoman"/>
      <w:start w:val="9"/>
    </w:lvl>
  </w:abstractNum>
  <w:abstractNum w:abstractNumId="53">
    <w:nsid w:val="61574095"/>
    <w:multiLevelType w:val="hybridMultilevel"/>
    <w:lvl w:ilvl="0">
      <w:lvlJc w:val="left"/>
      <w:lvlText w:val="(%1)"/>
      <w:numFmt w:val="lowerLetter"/>
      <w:start w:val="1"/>
    </w:lvl>
  </w:abstractNum>
  <w:abstractNum w:abstractNumId="54">
    <w:nsid w:val="7E0C57B1"/>
    <w:multiLevelType w:val="hybridMultilevel"/>
    <w:lvl w:ilvl="0">
      <w:lvlJc w:val="left"/>
      <w:lvlText w:val="(%1)"/>
      <w:numFmt w:val="upperLetter"/>
      <w:start w:val="2"/>
    </w:lvl>
  </w:abstractNum>
  <w:abstractNum w:abstractNumId="55">
    <w:nsid w:val="77AE35EB"/>
    <w:multiLevelType w:val="hybridMultilevel"/>
    <w:lvl w:ilvl="0">
      <w:lvlJc w:val="left"/>
      <w:lvlText w:val="(%1)"/>
      <w:numFmt w:val="lowerRoman"/>
      <w:start w:val="5"/>
    </w:lvl>
  </w:abstractNum>
  <w:abstractNum w:abstractNumId="56">
    <w:nsid w:val="579BE4F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57">
    <w:nsid w:val="310C50B3"/>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3"/>
    </w:lvl>
  </w:abstractNum>
  <w:abstractNum w:abstractNumId="58">
    <w:nsid w:val="5FF87E05"/>
    <w:multiLevelType w:val="hybridMultilevel"/>
    <w:lvl w:ilvl="0">
      <w:lvlJc w:val="left"/>
      <w:lvlText w:val="%1"/>
      <w:numFmt w:val="lowerLetter"/>
      <w:start w:val="1"/>
    </w:lvl>
    <w:lvl w:ilvl="1">
      <w:lvlJc w:val="left"/>
      <w:lvlText w:val="(%2)"/>
      <w:numFmt w:val="lowerLetter"/>
      <w:start w:val="22"/>
    </w:lvl>
  </w:abstractNum>
  <w:abstractNum w:abstractNumId="59">
    <w:nsid w:val="2F305DEF"/>
    <w:multiLevelType w:val="hybridMultilevel"/>
    <w:lvl w:ilvl="0">
      <w:lvlJc w:val="left"/>
      <w:lvlText w:val="(%1)"/>
      <w:numFmt w:val="lowerLetter"/>
      <w:start w:val="2"/>
    </w:lvl>
    <w:lvl w:ilvl="1">
      <w:lvlJc w:val="left"/>
      <w:lvlText w:val="%2"/>
      <w:numFmt w:val="lowerLetter"/>
      <w:start w:val="1"/>
    </w:lvl>
  </w:abstractNum>
  <w:abstractNum w:abstractNumId="60">
    <w:nsid w:val="25A70BF7"/>
    <w:multiLevelType w:val="hybridMultilevel"/>
    <w:lvl w:ilvl="0">
      <w:lvlJc w:val="left"/>
      <w:lvlText w:val="(%1)"/>
      <w:numFmt w:val="lowerLetter"/>
      <w:start w:val="1"/>
    </w:lvl>
  </w:abstractNum>
  <w:abstractNum w:abstractNumId="61">
    <w:nsid w:val="1DBABF00"/>
    <w:multiLevelType w:val="hybridMultilevel"/>
    <w:lvl w:ilvl="0">
      <w:lvlJc w:val="left"/>
      <w:lvlText w:val="(%1)"/>
      <w:numFmt w:val="lowerLetter"/>
      <w:start w:val="4"/>
    </w:lvl>
  </w:abstractNum>
  <w:abstractNum w:abstractNumId="62">
    <w:nsid w:val="4AD084E9"/>
    <w:multiLevelType w:val="hybridMultilevel"/>
    <w:lvl w:ilvl="0">
      <w:lvlJc w:val="left"/>
      <w:lvlText w:val="(%1)"/>
      <w:numFmt w:val="lowerRoman"/>
      <w:start w:val="10"/>
    </w:lvl>
  </w:abstractNum>
  <w:abstractNum w:abstractNumId="63">
    <w:nsid w:val="1F48EAA1"/>
    <w:multiLevelType w:val="hybridMultilevel"/>
    <w:lvl w:ilvl="0">
      <w:lvlJc w:val="left"/>
      <w:lvlText w:val="(%1)"/>
      <w:numFmt w:val="decimal"/>
      <w:start w:val="5"/>
    </w:lvl>
  </w:abstractNum>
  <w:abstractNum w:abstractNumId="64">
    <w:nsid w:val="1381823A"/>
    <w:multiLevelType w:val="hybridMultilevel"/>
    <w:lvl w:ilvl="0">
      <w:lvlJc w:val="left"/>
      <w:lvlText w:val="(%1)"/>
      <w:numFmt w:val="lowerRoman"/>
      <w:start w:val="1"/>
    </w:lvl>
  </w:abstractNum>
  <w:abstractNum w:abstractNumId="65">
    <w:nsid w:val="5DB70AE5"/>
    <w:multiLevelType w:val="hybridMultilevel"/>
    <w:lvl w:ilvl="0">
      <w:lvlJc w:val="left"/>
      <w:lvlText w:val="(%1)"/>
      <w:numFmt w:val="lowerRoman"/>
      <w:start w:val="5"/>
    </w:lvl>
  </w:abstractNum>
  <w:abstractNum w:abstractNumId="66">
    <w:nsid w:val="100F8FCA"/>
    <w:multiLevelType w:val="hybridMultilevel"/>
    <w:lvl w:ilvl="0">
      <w:lvlJc w:val="left"/>
      <w:lvlText w:val="(%1)"/>
      <w:numFmt w:val="lowerRoman"/>
      <w:start w:val="1"/>
    </w:lvl>
  </w:abstractNum>
  <w:abstractNum w:abstractNumId="67">
    <w:nsid w:val="6590700B"/>
    <w:multiLevelType w:val="hybridMultilevel"/>
    <w:lvl w:ilvl="0">
      <w:lvlJc w:val="left"/>
      <w:lvlText w:val="1"/>
      <w:numFmt w:val="bullet"/>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2023-08-09T15:42:13Z</dcterms:created>
  <dcterms:modified xsi:type="dcterms:W3CDTF">2023-08-09T15:42:13Z</dcterms:modified>
</cp:coreProperties>
</file>