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311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November 13,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0_edei--EntityRegistrantName_c2023"/>
      <w:bookmarkEnd w:id="4"/>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10"/>
        <w:gridCol w:w="60"/>
        <w:gridCol w:w="1145"/>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31113"/>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45-0567010</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102 Woodmont Blvd., </w:t>
            </w:r>
            <w:bookmarkStart w:id="9" w:name="xdx_90B_edei--EntityAddressAddressLine2_"/>
            <w:bookmarkEnd w:id="9"/>
            <w:r>
              <w:rPr>
                <w:rFonts w:ascii="Times New Roman;Times;Serif" w:hAnsi="Times New Roman;Times;Serif"/>
                <w:b/>
                <w:i w:val="false"/>
                <w:caps w:val="false"/>
                <w:smallCaps w:val="false"/>
                <w:sz w:val="20"/>
              </w:rPr>
              <w:t>Suite 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Nashville, </w:t>
            </w:r>
            <w:bookmarkStart w:id="11" w:name="xdx_906_edei--EntityAddressStateOrProvin"/>
            <w:bookmarkEnd w:id="11"/>
            <w:r>
              <w:rPr>
                <w:rFonts w:ascii="Times New Roman;Times;Serif" w:hAnsi="Times New Roman;Times;Serif"/>
                <w:b/>
                <w:i w:val="false"/>
                <w:caps w:val="false"/>
                <w:smallCaps w:val="false"/>
                <w:sz w:val="20"/>
              </w:rPr>
              <w:t>Tennessee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31113__20"/>
      <w:bookmarkEnd w:id="13"/>
      <w:r>
        <w:rPr>
          <w:rFonts w:ascii="Times New Roman;Times;Serif" w:hAnsi="Times New Roman;Times;Serif"/>
          <w:b/>
          <w:i w:val="false"/>
          <w:caps w:val="false"/>
          <w:smallCaps w:val="false"/>
          <w:sz w:val="20"/>
        </w:rPr>
        <w:t xml:space="preserve">(615) </w:t>
      </w:r>
      <w:bookmarkStart w:id="14" w:name="xdx_90A_edei--LocalPhoneNumber_c20231113"/>
      <w:bookmarkEnd w:id="14"/>
      <w:r>
        <w:rPr>
          <w:rFonts w:ascii="Times New Roman;Times;Serif" w:hAnsi="Times New Roman;Times;Serif"/>
          <w:b/>
          <w:i w:val="false"/>
          <w:caps w:val="false"/>
          <w:smallCaps w:val="false"/>
          <w:sz w:val="20"/>
        </w:rPr>
        <w:t>733-4730</w:t>
      </w:r>
    </w:p>
    <w:p>
      <w:pPr>
        <w:pStyle w:val="TextBody"/>
        <w:bidi w:val="0"/>
        <w:spacing w:before="0" w:after="0"/>
        <w:jc w:val="center"/>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1_edei--EntityInformationFormerLeg"/>
            <w:bookmarkEnd w:id="15"/>
            <w:r>
              <w:rPr>
                <w:rFonts w:ascii="Times New Roman;Times;Serif" w:hAnsi="Times New Roman;Times;Serif"/>
                <w:b/>
                <w:i w:val="false"/>
                <w:caps w:val="false"/>
                <w:smallCaps w:val="false"/>
                <w:sz w:val="20"/>
              </w:rPr>
              <w:t>Not Applicable</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B_edei--Security12bTitle_c20231113"/>
            <w:bookmarkEnd w:id="16"/>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E_edei--TradingSymbol_c20231113__2"/>
            <w:bookmarkEnd w:id="17"/>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ExchangeName_c2023"/>
            <w:bookmarkEnd w:id="18"/>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31113"/>
            <w:bookmarkEnd w:id="19"/>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31113__2"/>
            <w:bookmarkEnd w:id="20"/>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31113"/>
            <w:bookmarkEnd w:id="22"/>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TradingSymbol_c20231113__2"/>
            <w:bookmarkEnd w:id="23"/>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5" w:name="xdx_907_edei--WrittenCommunications_c202"/>
            <w:bookmarkEnd w:id="2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0_edei--SolicitingMaterial_c202311"/>
            <w:bookmarkEnd w:id="2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5_edei--PreCommencementTenderOffer"/>
            <w:bookmarkEnd w:id="2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8" w:name="xdx_901_edei--PreCommencementIssuerTende"/>
            <w:bookmarkEnd w:id="2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9" w:name="xdx_901_edei--EntityEmergingGrowthCompan"/>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2023, Harrow, Inc. (the “Company”) issued a press release and a letter to stockholders announcing its financial results for the period ended September 30, 2023 and an update on recent corporate events. The press release and letter to stockholders are being furnished as Exhibits 99.1 and 99.2, respectively, to this Current Report on Form 8-K.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Harrow, Inc. on November 13, 2023</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Letter to Stockholders by Harrow, Inc. dated November 13, 2023</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2225"/>
        <w:gridCol w:w="545"/>
        <w:gridCol w:w="1895"/>
      </w:tblGrid>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2023</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caps w:val="false"/>
          <w:smallCaps w:val="false"/>
        </w:rPr>
      </w:pPr>
      <w:bookmarkStart w:id="30" w:name="ex99-1.htm"/>
      <w:bookmarkStart w:id="31" w:name="ksex991"/>
      <w:bookmarkEnd w:id="30"/>
      <w:bookmarkEnd w:id="31"/>
      <w:r>
        <w:rPr>
          <w:caps w:val="false"/>
          <w:smallCaps w:val="false"/>
        </w:rPr>
        <w:t> </w:t>
      </w:r>
      <w:r>
        <w:br w:type="page"/>
      </w:r>
    </w:p>
    <w:p>
      <w:pPr>
        <w:pStyle w:val="TextBody"/>
        <w:shd w:fill="FFFFFF" w:val="clear"/>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13716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23900"/>
                    </a:xfrm>
                    <a:prstGeom prst="rect">
                      <a:avLst/>
                    </a:prstGeom>
                  </pic:spPr>
                </pic:pic>
              </a:graphicData>
            </a:graphic>
          </wp:inline>
        </w:drawing>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Third Quarter 2023 Financial Results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 2023 and Recent Selected Highlights:</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$34.3 million, an increase of 50% over $22.8 million in the prior-year quarter and an increase of 2% over $33.5 million in the sequential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of $(4.4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$9.2 million, an increase of 270% over $2.5 million in the prior-year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margin was flat at 71%, year-over-year.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improved to 78% over the prior year’s 72%.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$65.6 million as of September 30,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Completes Transfer of NDAs and Launches FLAREX®, NATACYN®, TOBRADEX® ST, VERKAZIA®, and ZERVIATE® in the U.S.</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November 13, 2023 – Harrow (Nasdaq: HROW), a leading U.S. eyecare pharmaceutical company, announced results for the third quarter and nine months ended September 30, 2023. The Company also posted its third quarter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corporate presentation</w:t>
      </w:r>
      <w:r>
        <w:rPr>
          <w:rFonts w:ascii="Times New Roman;Times;Serif" w:hAnsi="Times New Roman;Times;Serif"/>
          <w:b w:val="false"/>
          <w:i w:val="false"/>
          <w:caps w:val="false"/>
          <w:smallCaps w:val="false"/>
          <w:sz w:val="20"/>
        </w:rPr>
        <w:t xml:space="preserve"> 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all Harrow stockholders to review these documents, which provide additional details concerning the historical quarterly period as well as the future expectations for the business.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Commenting on Harrow’s third quarter results, Mark L. Baum, CEO of Harrow, said, “During the third quarter, we produced record revenues, a 50% increase over prior-year revenues. However, operationally, the third quarter was a mixed bag, with some areas performing exceptionally well, like our launch of IHEEZO, and some areas underperforming, such as our Fab Five products and our compounding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50% year-over-year increase in revenues was primarily a result of increases in branded pharmaceutical products (BPPS), buoyed by performance from IHEEZO® that exceeded our internal expectations. Strategic amendments to the IHEEZO launch led to a substantial ramp in unit demand in September, a trend that continued into the fourth quarter. We are hearing from eyecare professionals that they are very happy with IHEEZO’s clinical benefits, and we are seeing sizable orders and re-orders from high-volume users as well as many new accounts. While it’s still early in the launch and we have a lot of additional work to do, we are bullish about what we see for IHEEZO in 2024 and beyond.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third quarter, we strategically focused our commercial team’s efforts on IHEEZO, delaying implementation of marketing and sales detailing efforts for four of the “Fab Five” products we had acquired earlier in the year and for which the New Drug Applications (NDAs) had recently transferred. We have now implemented those strategies and initial prescription data is encouraging. We estimate that we are approximately three months behind our revenue forecasts for these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compounding business underperformed during the period as we made investments in compliance and operations. We are confident that the solutions already implemented or planned for our compounding business will prove effective and restore the business to its historical growth trajectory during the first quarter of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Because we are a few months behind our internal targets – for the aggregate business – we are adjusting our previously issued 2023 financial guidance to revenues of $129 million to $136 million and Adjusted EBITDA of $36 million to $41 million. In addition, we are outlining our expectations for 2024, which include revenues of more than $180 million, excluding contributions from TRIESENCE. In summary, 2023, to date, has been a transformational year – and we believe that, because of the strategic actions that we have taken in 2023, we are positioned well for another record-breaking year in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Third Quarter 2023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 2023 figures of merit:</w:t>
      </w:r>
    </w:p>
    <w:p>
      <w:pPr>
        <w:pStyle w:val="TextBody"/>
        <w:shd w:fill="FFFFFF" w:val="clear"/>
        <w:bidi w:val="0"/>
        <w:spacing w:before="0" w:after="0"/>
        <w:jc w:val="both"/>
        <w:rPr>
          <w:caps w:val="false"/>
          <w:smallCaps w:val="false"/>
        </w:rPr>
      </w:pPr>
      <w:r>
        <w:rPr>
          <w:caps w:val="false"/>
          <w:smallCaps w:val="false"/>
        </w:rPr>
        <w:t> </w:t>
      </w:r>
    </w:p>
    <w:tbl>
      <w:tblPr>
        <w:tblW w:w="9836" w:type="dxa"/>
        <w:jc w:val="left"/>
        <w:tblInd w:w="0" w:type="dxa"/>
        <w:tblLayout w:type="fixed"/>
        <w:tblCellMar>
          <w:top w:w="0" w:type="dxa"/>
          <w:left w:w="0" w:type="dxa"/>
          <w:bottom w:w="0" w:type="dxa"/>
          <w:right w:w="0" w:type="dxa"/>
        </w:tblCellMar>
      </w:tblPr>
      <w:tblGrid>
        <w:gridCol w:w="3350"/>
        <w:gridCol w:w="60"/>
        <w:gridCol w:w="153"/>
        <w:gridCol w:w="1205"/>
        <w:gridCol w:w="235"/>
        <w:gridCol w:w="65"/>
        <w:gridCol w:w="153"/>
        <w:gridCol w:w="1205"/>
        <w:gridCol w:w="215"/>
        <w:gridCol w:w="60"/>
        <w:gridCol w:w="140"/>
        <w:gridCol w:w="1175"/>
        <w:gridCol w:w="215"/>
        <w:gridCol w:w="60"/>
        <w:gridCol w:w="140"/>
        <w:gridCol w:w="1175"/>
        <w:gridCol w:w="23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05" w:type="dxa"/>
            <w:gridSpan w:val="6"/>
            <w:tcBorders>
              <w:bottom w:val="single" w:sz="12" w:space="0" w:color="000000"/>
            </w:tcBorders>
            <w:tcMar>
              <w:bottom w:w="28" w:type="dxa"/>
            </w:tcMar>
            <w:vAlign w:val="center"/>
          </w:tcPr>
          <w:p>
            <w:pPr>
              <w:pStyle w:val="TableContents"/>
              <w:bidi w:val="0"/>
              <w:jc w:val="center"/>
              <w:rPr>
                <w:b/>
              </w:rPr>
            </w:pPr>
            <w:r>
              <w:rPr>
                <w:b/>
              </w:rPr>
              <w:t>For the Nine Months Ended</w:t>
            </w:r>
          </w:p>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34,265,000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22,823,000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93,838,000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68,266,000</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71</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w:t>
            </w:r>
          </w:p>
        </w:tc>
        <w:tc>
          <w:tcPr>
            <w:tcW w:w="230" w:type="dxa"/>
            <w:tcBorders/>
            <w:shd w:fill="FFFFFF" w:val="clear"/>
            <w:vAlign w:val="center"/>
          </w:tcPr>
          <w:p>
            <w:pPr>
              <w:pStyle w:val="TableContents"/>
              <w:bidi w:val="0"/>
              <w:spacing w:before="0" w:after="283"/>
              <w:jc w:val="left"/>
              <w:rPr/>
            </w:pPr>
            <w:r>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w:t>
            </w:r>
          </w:p>
        </w:tc>
        <w:tc>
          <w:tcPr>
            <w:tcW w:w="23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(4,391,000</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(6,464,000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(15,263,000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(15,141,000</w:t>
            </w:r>
          </w:p>
        </w:tc>
        <w:tc>
          <w:tcPr>
            <w:tcW w:w="230" w:type="dxa"/>
            <w:tcBorders/>
            <w:shd w:fill="FFFFFF" w:val="clear"/>
            <w:vAlign w:val="center"/>
          </w:tcPr>
          <w:p>
            <w:pPr>
              <w:pStyle w:val="TableContents"/>
              <w:bidi w:val="0"/>
              <w:spacing w:before="0" w:after="283"/>
              <w:jc w:val="left"/>
              <w:rPr/>
            </w:pPr>
            <w:r>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(2,960,000</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(1,531,000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(4,519,000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(564,000</w:t>
            </w:r>
          </w:p>
        </w:tc>
        <w:tc>
          <w:tcPr>
            <w:tcW w:w="23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9,209,000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2,483,000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25,556,000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11,928,000</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(0.13</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(0.24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(0.55</w:t>
            </w:r>
          </w:p>
        </w:tc>
        <w:tc>
          <w:tcPr>
            <w:tcW w:w="23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(0.09</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in the financial tables section.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 conference call and live webcast today at 4:45 p.m. Eastern Time to discuss the third quarter 2023 results and provide a business update. To participate in the call, see details below:</w:t>
      </w:r>
    </w:p>
    <w:p>
      <w:pPr>
        <w:pStyle w:val="TextBody"/>
        <w:shd w:fill="FFFFFF" w:val="clear"/>
        <w:bidi w:val="0"/>
        <w:spacing w:before="0" w:after="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4385"/>
        <w:gridCol w:w="2585"/>
      </w:tblGrid>
      <w:tr>
        <w:trPr/>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Call Details:</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Monday, November 13, 2023</w:t>
            </w:r>
          </w:p>
        </w:tc>
      </w:tr>
      <w:tr>
        <w:trPr/>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 p.m. Eastern time</w:t>
            </w:r>
          </w:p>
        </w:tc>
      </w:tr>
      <w:tr>
        <w:trPr/>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Dial-in:</w:t>
            </w:r>
          </w:p>
        </w:tc>
        <w:tc>
          <w:tcPr>
            <w:tcW w:w="25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1-833-953-2434 (U.S.)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1-412-317-5763 (International)</w:t>
            </w:r>
          </w:p>
        </w:tc>
      </w:tr>
      <w:tr>
        <w:trPr/>
        <w:tc>
          <w:tcPr>
            <w:tcW w:w="43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Dial-in (Passcode 7225453):</w:t>
            </w:r>
          </w:p>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(telephonic replay through November 20, 2023)</w:t>
            </w:r>
          </w:p>
        </w:tc>
        <w:tc>
          <w:tcPr>
            <w:tcW w:w="25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1-877-344-7529 (U.S.)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1-412-317-0088 (International)</w:t>
            </w:r>
          </w:p>
        </w:tc>
      </w:tr>
      <w:tr>
        <w:trPr/>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caps w:val="false"/>
                <w:smallCaps w:val="false"/>
                <w:sz w:val="20"/>
              </w:rPr>
              <w:t>(online replay through November 13, 2024)</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harrow.com</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Third Quarter 2023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shd w:fill="FFFFFF" w:val="clear"/>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Third Quarter 2023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left"/>
        <w:rPr>
          <w:caps w:val="false"/>
          <w:smallCaps w:val="false"/>
        </w:rPr>
      </w:pPr>
      <w:r>
        <w:rPr>
          <w:caps w:val="false"/>
          <w:smallCaps w:val="false"/>
        </w:rPr>
        <w:t> </w:t>
      </w:r>
    </w:p>
    <w:tbl>
      <w:tblPr>
        <w:tblW w:w="9373" w:type="dxa"/>
        <w:jc w:val="left"/>
        <w:tblInd w:w="0" w:type="dxa"/>
        <w:tblLayout w:type="fixed"/>
        <w:tblCellMar>
          <w:top w:w="0" w:type="dxa"/>
          <w:left w:w="0" w:type="dxa"/>
          <w:bottom w:w="0" w:type="dxa"/>
          <w:right w:w="0" w:type="dxa"/>
        </w:tblCellMar>
      </w:tblPr>
      <w:tblGrid>
        <w:gridCol w:w="6230"/>
        <w:gridCol w:w="60"/>
        <w:gridCol w:w="151"/>
        <w:gridCol w:w="1323"/>
        <w:gridCol w:w="60"/>
        <w:gridCol w:w="60"/>
        <w:gridCol w:w="145"/>
        <w:gridCol w:w="1269"/>
        <w:gridCol w:w="7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center"/>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i/>
              </w:rPr>
            </w:pPr>
            <w:r>
              <w:rPr>
                <w:i/>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7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323" w:type="dxa"/>
            <w:tcBorders/>
            <w:shd w:fill="FFFFFF" w:val="clear"/>
            <w:vAlign w:val="center"/>
          </w:tcPr>
          <w:p>
            <w:pPr>
              <w:pStyle w:val="TableContents"/>
              <w:bidi w:val="0"/>
              <w:spacing w:before="0" w:after="283"/>
              <w:jc w:val="right"/>
              <w:rPr/>
            </w:pPr>
            <w:r>
              <w:rPr/>
              <w:t>65,610,000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96,270,000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44,668,000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21,990,000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b/>
              </w:rPr>
            </w:pPr>
            <w:r>
              <w:rPr>
                <w:b/>
              </w:rPr>
              <w:t>110,278,000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118,260,000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175,787,000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39,118,000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286,065,000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157,378,000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1323" w:type="dxa"/>
            <w:tcBorders/>
            <w:shd w:fill="CCEEFF" w:val="clear"/>
            <w:vAlign w:val="center"/>
          </w:tcPr>
          <w:p>
            <w:pPr>
              <w:pStyle w:val="TableContents"/>
              <w:bidi w:val="0"/>
              <w:spacing w:before="0" w:after="283"/>
              <w:jc w:val="right"/>
              <w:rPr>
                <w:b/>
              </w:rPr>
            </w:pPr>
            <w:r>
              <w:rPr>
                <w:b/>
              </w:rPr>
              <w:t>19,029,000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69" w:type="dxa"/>
            <w:tcBorders/>
            <w:shd w:fill="CCEEFF" w:val="clear"/>
            <w:vAlign w:val="center"/>
          </w:tcPr>
          <w:p>
            <w:pPr>
              <w:pStyle w:val="TableContents"/>
              <w:bidi w:val="0"/>
              <w:spacing w:before="0" w:after="283"/>
              <w:jc w:val="right"/>
              <w:rPr>
                <w:b/>
              </w:rPr>
            </w:pPr>
            <w:r>
              <w:rPr>
                <w:b/>
              </w:rPr>
              <w:t>18,632,000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Loans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182,186,000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104,174,000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9,448,000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7,332,000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b/>
              </w:rPr>
            </w:pPr>
            <w:r>
              <w:rPr>
                <w:b/>
              </w:rPr>
              <w:t>210,663,000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130,138,000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75,402,000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27,240,000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286,065,000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157,378,000</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4"/>
        <w:gridCol w:w="60"/>
        <w:gridCol w:w="153"/>
        <w:gridCol w:w="1208"/>
        <w:gridCol w:w="103"/>
        <w:gridCol w:w="65"/>
        <w:gridCol w:w="153"/>
        <w:gridCol w:w="1208"/>
        <w:gridCol w:w="95"/>
        <w:gridCol w:w="60"/>
        <w:gridCol w:w="143"/>
        <w:gridCol w:w="1203"/>
        <w:gridCol w:w="97"/>
        <w:gridCol w:w="61"/>
        <w:gridCol w:w="143"/>
        <w:gridCol w:w="1203"/>
        <w:gridCol w:w="116"/>
      </w:tblGrid>
      <w:tr>
        <w:trPr/>
        <w:tc>
          <w:tcPr>
            <w:tcW w:w="4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50" w:type="dxa"/>
            <w:gridSpan w:val="6"/>
            <w:tcBorders/>
            <w:vAlign w:val="center"/>
          </w:tcPr>
          <w:p>
            <w:pPr>
              <w:pStyle w:val="TableContents"/>
              <w:bidi w:val="0"/>
              <w:spacing w:before="0" w:after="283"/>
              <w:jc w:val="center"/>
              <w:rPr>
                <w:b/>
              </w:rPr>
            </w:pPr>
            <w:r>
              <w:rPr>
                <w:b/>
              </w:rPr>
              <w:t>For the Nine Months Ended</w:t>
            </w:r>
          </w:p>
        </w:tc>
        <w:tc>
          <w:tcPr>
            <w:tcW w:w="116"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6"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13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34,265,000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22,823,000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93,838,000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68,266,000</w:t>
            </w:r>
          </w:p>
        </w:tc>
        <w:tc>
          <w:tcPr>
            <w:tcW w:w="116"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pPr>
            <w:r>
              <w:rPr/>
              <w:t>10,067,000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pPr>
            <w:r>
              <w:rPr/>
              <w:t>6,721,000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28,338,000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19,218,000</w:t>
            </w:r>
          </w:p>
        </w:tc>
        <w:tc>
          <w:tcPr>
            <w:tcW w:w="116"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24,198,000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16,102,000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65,500,000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49,048,000</w:t>
            </w:r>
          </w:p>
        </w:tc>
        <w:tc>
          <w:tcPr>
            <w:tcW w:w="116"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21,033,000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15,421,000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56,878,000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43,004,000</w:t>
            </w:r>
          </w:p>
        </w:tc>
        <w:tc>
          <w:tcPr>
            <w:tcW w:w="116"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1,421,000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775,000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3,316,000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2,347,000</w:t>
            </w:r>
          </w:p>
        </w:tc>
        <w:tc>
          <w:tcPr>
            <w:tcW w:w="116"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22,454,000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16,196,000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60,194,000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45,351,000</w:t>
            </w:r>
          </w:p>
        </w:tc>
        <w:tc>
          <w:tcPr>
            <w:tcW w:w="116"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1,744,000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(94,000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5,306,000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3,697,000</w:t>
            </w:r>
          </w:p>
        </w:tc>
        <w:tc>
          <w:tcPr>
            <w:tcW w:w="116"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4,596,000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6,335,000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19,333,000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18,763,000</w:t>
            </w:r>
          </w:p>
        </w:tc>
        <w:tc>
          <w:tcPr>
            <w:tcW w:w="116"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1,539,000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1,236,000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75,000</w:t>
            </w:r>
          </w:p>
        </w:tc>
        <w:tc>
          <w:tcPr>
            <w:tcW w:w="116"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(4,391,000</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(6,464,000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(15,263,000</w:t>
            </w:r>
          </w:p>
        </w:tc>
        <w:tc>
          <w:tcPr>
            <w:tcW w:w="97"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(15,141,000</w:t>
            </w:r>
          </w:p>
        </w:tc>
        <w:tc>
          <w:tcPr>
            <w:tcW w:w="116" w:type="dxa"/>
            <w:tcBorders/>
            <w:shd w:fill="FFFFFF" w:val="clear"/>
            <w:vAlign w:val="center"/>
          </w:tcPr>
          <w:p>
            <w:pPr>
              <w:pStyle w:val="TableContents"/>
              <w:bidi w:val="0"/>
              <w:spacing w:before="0" w:after="283"/>
              <w:jc w:val="left"/>
              <w:rPr>
                <w:b/>
              </w:rPr>
            </w:pPr>
            <w:r>
              <w:rPr>
                <w:b/>
              </w:rPr>
              <w:t>)</w:t>
            </w:r>
          </w:p>
        </w:tc>
      </w:tr>
      <w:tr>
        <w:trPr/>
        <w:tc>
          <w:tcPr>
            <w:tcW w:w="4134"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(0.13</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(0.48</w:t>
            </w:r>
          </w:p>
        </w:tc>
        <w:tc>
          <w:tcPr>
            <w:tcW w:w="97"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(0.55</w:t>
            </w:r>
          </w:p>
        </w:tc>
        <w:tc>
          <w:tcPr>
            <w:tcW w:w="116" w:type="dxa"/>
            <w:tcBorders/>
            <w:shd w:fill="CCEEFF" w:val="clear"/>
            <w:vAlign w:val="center"/>
          </w:tcPr>
          <w:p>
            <w:pPr>
              <w:pStyle w:val="TableContents"/>
              <w:bidi w:val="0"/>
              <w:spacing w:before="0" w:after="283"/>
              <w:jc w:val="left"/>
              <w:rPr>
                <w:b/>
              </w:rPr>
            </w:pPr>
            <w:r>
              <w:rPr>
                <w:b/>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left"/>
        <w:rPr>
          <w:caps w:val="false"/>
          <w:smallCaps w:val="false"/>
        </w:rPr>
      </w:pPr>
      <w:r>
        <w:rPr>
          <w:caps w:val="false"/>
          <w:smallCaps w:val="false"/>
        </w:rPr>
        <w:t> </w:t>
      </w:r>
    </w:p>
    <w:tbl>
      <w:tblPr>
        <w:tblW w:w="8067" w:type="dxa"/>
        <w:jc w:val="left"/>
        <w:tblInd w:w="0" w:type="dxa"/>
        <w:tblLayout w:type="fixed"/>
        <w:tblCellMar>
          <w:top w:w="0" w:type="dxa"/>
          <w:left w:w="0" w:type="dxa"/>
          <w:bottom w:w="0" w:type="dxa"/>
          <w:right w:w="0" w:type="dxa"/>
        </w:tblCellMar>
      </w:tblPr>
      <w:tblGrid>
        <w:gridCol w:w="5015"/>
        <w:gridCol w:w="60"/>
        <w:gridCol w:w="142"/>
        <w:gridCol w:w="1320"/>
        <w:gridCol w:w="96"/>
        <w:gridCol w:w="61"/>
        <w:gridCol w:w="142"/>
        <w:gridCol w:w="1121"/>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b/>
              </w:rPr>
            </w:pPr>
            <w:r>
              <w:rPr>
                <w:b/>
              </w:rPr>
              <w:t>For the Nine Months Ended</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320" w:type="dxa"/>
            <w:tcBorders/>
            <w:shd w:fill="FFFFFF" w:val="clear"/>
            <w:vAlign w:val="center"/>
          </w:tcPr>
          <w:p>
            <w:pPr>
              <w:pStyle w:val="TableContents"/>
              <w:bidi w:val="0"/>
              <w:spacing w:before="0" w:after="283"/>
              <w:jc w:val="right"/>
              <w:rPr/>
            </w:pPr>
            <w:r>
              <w:rPr/>
              <w:t>(4,856,000</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1" w:type="dxa"/>
            <w:tcBorders/>
            <w:shd w:fill="FFFFFF" w:val="clear"/>
            <w:vAlign w:val="center"/>
          </w:tcPr>
          <w:p>
            <w:pPr>
              <w:pStyle w:val="TableContents"/>
              <w:bidi w:val="0"/>
              <w:spacing w:before="0" w:after="283"/>
              <w:jc w:val="right"/>
              <w:rPr/>
            </w:pPr>
            <w:r>
              <w:rPr/>
              <w:t>5,417,000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(152,350,000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(1,738,000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12" w:space="0" w:color="000000"/>
            </w:tcBorders>
            <w:shd w:fill="FFFFFF" w:val="clear"/>
            <w:tcMar>
              <w:bottom w:w="28" w:type="dxa"/>
            </w:tcMar>
            <w:vAlign w:val="center"/>
          </w:tcPr>
          <w:p>
            <w:pPr>
              <w:pStyle w:val="TableContents"/>
              <w:bidi w:val="0"/>
              <w:spacing w:before="0" w:after="283"/>
              <w:jc w:val="right"/>
              <w:rPr/>
            </w:pPr>
            <w:r>
              <w:rPr/>
              <w:t>126,546,000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(887,000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(30,660,000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2,792,000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42,167,000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65,610,000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44,959,000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Third Quarter 2023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(income)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following is a reconciliation of Adjusted EBITDA, a non-GAAP measure, to the most comparable GAAP measure, net loss, for the three and nine months ended September 30, 2023, and for the same periods in 2022: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jc w:val="center"/>
        <w:rPr>
          <w:caps w:val="false"/>
          <w:smallCaps w:val="false"/>
        </w:rPr>
      </w:pPr>
      <w:r>
        <w:rPr>
          <w:caps w:val="false"/>
          <w:smallCaps w:val="false"/>
        </w:rPr>
        <w:t> </w:t>
      </w:r>
    </w:p>
    <w:tbl>
      <w:tblPr>
        <w:tblW w:w="10101" w:type="dxa"/>
        <w:jc w:val="left"/>
        <w:tblInd w:w="0" w:type="dxa"/>
        <w:tblLayout w:type="fixed"/>
        <w:tblCellMar>
          <w:top w:w="0" w:type="dxa"/>
          <w:left w:w="0" w:type="dxa"/>
          <w:bottom w:w="0" w:type="dxa"/>
          <w:right w:w="0" w:type="dxa"/>
        </w:tblCellMar>
      </w:tblPr>
      <w:tblGrid>
        <w:gridCol w:w="3875"/>
        <w:gridCol w:w="60"/>
        <w:gridCol w:w="166"/>
        <w:gridCol w:w="1251"/>
        <w:gridCol w:w="112"/>
        <w:gridCol w:w="71"/>
        <w:gridCol w:w="166"/>
        <w:gridCol w:w="1251"/>
        <w:gridCol w:w="95"/>
        <w:gridCol w:w="60"/>
        <w:gridCol w:w="145"/>
        <w:gridCol w:w="1217"/>
        <w:gridCol w:w="98"/>
        <w:gridCol w:w="62"/>
        <w:gridCol w:w="145"/>
        <w:gridCol w:w="1217"/>
        <w:gridCol w:w="110"/>
      </w:tblGrid>
      <w:tr>
        <w:trPr/>
        <w:tc>
          <w:tcPr>
            <w:tcW w:w="3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7"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4" w:type="dxa"/>
            <w:gridSpan w:val="6"/>
            <w:tcBorders/>
            <w:vAlign w:val="center"/>
          </w:tcPr>
          <w:p>
            <w:pPr>
              <w:pStyle w:val="TableContents"/>
              <w:bidi w:val="0"/>
              <w:spacing w:before="0" w:after="283"/>
              <w:jc w:val="center"/>
              <w:rPr>
                <w:b/>
              </w:rPr>
            </w:pPr>
            <w:r>
              <w:rPr>
                <w:b/>
              </w:rPr>
              <w:t>For the Nine Months Ended</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251" w:type="dxa"/>
            <w:tcBorders/>
            <w:shd w:fill="CCEEFF" w:val="clear"/>
            <w:vAlign w:val="center"/>
          </w:tcPr>
          <w:p>
            <w:pPr>
              <w:pStyle w:val="TableContents"/>
              <w:bidi w:val="0"/>
              <w:spacing w:before="0" w:after="283"/>
              <w:jc w:val="right"/>
              <w:rPr/>
            </w:pPr>
            <w:r>
              <w:rPr/>
              <w:t>(4,391,000</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251" w:type="dxa"/>
            <w:tcBorders/>
            <w:shd w:fill="CCEEFF" w:val="clear"/>
            <w:vAlign w:val="center"/>
          </w:tcPr>
          <w:p>
            <w:pPr>
              <w:pStyle w:val="TableContents"/>
              <w:bidi w:val="0"/>
              <w:spacing w:before="0" w:after="283"/>
              <w:jc w:val="right"/>
              <w:rPr/>
            </w:pPr>
            <w:r>
              <w:rPr/>
              <w:t>(6,464,000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(15,263,000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(15,141,000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4,476,000</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1,932,000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11,521,000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5,941,000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5,749,000</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16,200,000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5,386,000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1,539,000</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1,236,000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75,000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405,000</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247,000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1,095,000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1,090,000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2,584,000</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398,000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7,634,000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1,200,000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(income) loss,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(1,348,000</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4,535,000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(2,676,000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13,377,000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12" w:space="0" w:color="000000"/>
            </w:tcBorders>
            <w:shd w:fill="FFFFFF" w:val="clear"/>
            <w:tcMar>
              <w:bottom w:w="28" w:type="dxa"/>
            </w:tcMar>
            <w:vAlign w:val="center"/>
          </w:tcPr>
          <w:p>
            <w:pPr>
              <w:pStyle w:val="TableContents"/>
              <w:bidi w:val="0"/>
              <w:spacing w:before="0" w:after="283"/>
              <w:jc w:val="right"/>
              <w:rPr/>
            </w:pPr>
            <w:r>
              <w:rPr/>
              <w:t>195,000</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5,809,000 </w:t>
            </w:r>
            <w:r>
              <w:rPr>
                <w:rFonts w:ascii="Times New Roman;Times;Serif" w:hAnsi="Times New Roman;Times;Serif"/>
                <w:position w:val="7"/>
                <w:sz w:val="16"/>
                <w:sz w:val="20"/>
              </w:rPr>
              <w:t>(1)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9,209,000</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25,556,000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11,928,000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30"/>
        <w:gridCol w:w="4850"/>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$5,465,000 for the loss on extinguishment of debt.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Third Quarter 2023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income, core operating income, core basic and diluted loss per share, and core operating margin,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and nine months ended September 30, 2023, and for the same periods in 2022: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60"/>
        <w:gridCol w:w="60"/>
        <w:gridCol w:w="140"/>
        <w:gridCol w:w="1100"/>
        <w:gridCol w:w="215"/>
        <w:gridCol w:w="60"/>
        <w:gridCol w:w="171"/>
        <w:gridCol w:w="1199"/>
        <w:gridCol w:w="60"/>
        <w:gridCol w:w="60"/>
        <w:gridCol w:w="140"/>
        <w:gridCol w:w="1055"/>
        <w:gridCol w:w="95"/>
        <w:gridCol w:w="60"/>
        <w:gridCol w:w="140"/>
        <w:gridCol w:w="800"/>
        <w:gridCol w:w="60"/>
        <w:gridCol w:w="60"/>
        <w:gridCol w:w="140"/>
        <w:gridCol w:w="1100"/>
        <w:gridCol w:w="230"/>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September 30, 2023</w:t>
            </w:r>
          </w:p>
        </w:tc>
      </w:tr>
      <w:tr>
        <w:trPr/>
        <w:tc>
          <w:tcPr>
            <w:tcW w:w="3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Amortization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center"/>
              <w:rPr/>
            </w:pPr>
            <w:r>
              <w:rPr/>
              <w:t> </w:t>
            </w:r>
          </w:p>
        </w:tc>
      </w:tr>
      <w:tr>
        <w:trPr/>
        <w:tc>
          <w:tcPr>
            <w:tcW w:w="3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of Certain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30" w:type="dxa"/>
            <w:tcBorders/>
            <w:tcMar>
              <w:bottom w:w="0" w:type="dxa"/>
            </w:tcMar>
            <w:vAlign w:val="center"/>
          </w:tcPr>
          <w:p>
            <w:pPr>
              <w:pStyle w:val="TableContents"/>
              <w:bidi w:val="0"/>
              <w:spacing w:before="0" w:after="283"/>
              <w:jc w:val="center"/>
              <w:rPr/>
            </w:pPr>
            <w:r>
              <w:rPr/>
              <w:t> </w:t>
            </w:r>
          </w:p>
        </w:tc>
      </w:tr>
      <w:tr>
        <w:trPr/>
        <w:tc>
          <w:tcPr>
            <w:tcW w:w="3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b/>
              </w:rPr>
            </w:pPr>
            <w:r>
              <w:rPr>
                <w:b/>
              </w:rPr>
              <w:t>GAAP</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Intangible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tcMar>
              <w:bottom w:w="0" w:type="dxa"/>
            </w:tcMar>
            <w:vAlign w:val="center"/>
          </w:tcPr>
          <w:p>
            <w:pPr>
              <w:pStyle w:val="TableContents"/>
              <w:bidi w:val="0"/>
              <w:spacing w:before="0" w:after="283"/>
              <w:jc w:val="center"/>
              <w:rPr>
                <w:b/>
              </w:rPr>
            </w:pPr>
            <w:r>
              <w:rPr>
                <w:b/>
              </w:rPr>
              <w:t>Investment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tcMar>
              <w:bottom w:w="0" w:type="dxa"/>
            </w:tcMar>
            <w:vAlign w:val="center"/>
          </w:tcPr>
          <w:p>
            <w:pPr>
              <w:pStyle w:val="TableContents"/>
              <w:bidi w:val="0"/>
              <w:spacing w:before="0" w:after="283"/>
              <w:jc w:val="center"/>
              <w:rPr>
                <w:b/>
              </w:rPr>
            </w:pPr>
            <w:r>
              <w:rPr>
                <w:b/>
              </w:rPr>
              <w:t>Other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b/>
              </w:rPr>
            </w:pPr>
            <w:r>
              <w:rPr>
                <w:b/>
              </w:rPr>
              <w:t>Results</w:t>
            </w:r>
          </w:p>
        </w:tc>
        <w:tc>
          <w:tcPr>
            <w:tcW w:w="230" w:type="dxa"/>
            <w:tcBorders/>
            <w:tcMar>
              <w:bottom w:w="0" w:type="dxa"/>
            </w:tcMar>
            <w:vAlign w:val="center"/>
          </w:tcPr>
          <w:p>
            <w:pPr>
              <w:pStyle w:val="TableContents"/>
              <w:bidi w:val="0"/>
              <w:spacing w:before="0" w:after="283"/>
              <w:jc w:val="center"/>
              <w:rPr/>
            </w:pPr>
            <w:r>
              <w:rPr/>
              <w:t> </w:t>
            </w:r>
          </w:p>
        </w:tc>
      </w:tr>
      <w:tr>
        <w:trPr/>
        <w:tc>
          <w:tcPr>
            <w:tcW w:w="3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bottom w:val="single" w:sz="12" w:space="0" w:color="000000"/>
            </w:tcBorders>
            <w:vAlign w:val="center"/>
          </w:tcPr>
          <w:p>
            <w:pPr>
              <w:pStyle w:val="TableContents"/>
              <w:bidi w:val="0"/>
              <w:spacing w:before="0" w:after="283"/>
              <w:jc w:val="center"/>
              <w:rPr>
                <w:b/>
              </w:rPr>
            </w:pPr>
            <w:r>
              <w:rPr>
                <w:b/>
              </w:rPr>
              <w:t>Gains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Core</w:t>
            </w:r>
          </w:p>
        </w:tc>
        <w:tc>
          <w:tcPr>
            <w:tcW w:w="230" w:type="dxa"/>
            <w:tcBorders/>
            <w:tcMar>
              <w:bottom w:w="0" w:type="dxa"/>
            </w:tcMar>
            <w:vAlign w:val="center"/>
          </w:tcPr>
          <w:p>
            <w:pPr>
              <w:pStyle w:val="TableContents"/>
              <w:bidi w:val="0"/>
              <w:spacing w:before="0" w:after="283"/>
              <w:jc w:val="left"/>
              <w:rPr/>
            </w:pPr>
            <w:r>
              <w:rPr/>
              <w:t> </w:t>
            </w:r>
          </w:p>
        </w:tc>
      </w:tr>
      <w:tr>
        <w:trPr/>
        <w:tc>
          <w:tcPr>
            <w:tcW w:w="3260"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24,198,000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199" w:type="dxa"/>
            <w:tcBorders/>
            <w:shd w:fill="CCEEFF" w:val="clear"/>
            <w:tcMar>
              <w:bottom w:w="0" w:type="dxa"/>
            </w:tcMar>
            <w:vAlign w:val="center"/>
          </w:tcPr>
          <w:p>
            <w:pPr>
              <w:pStyle w:val="TableContents"/>
              <w:bidi w:val="0"/>
              <w:spacing w:before="0" w:after="283"/>
              <w:jc w:val="right"/>
              <w:rPr/>
            </w:pPr>
            <w:r>
              <w:rPr/>
              <w:t>2,480,000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26,678,000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260"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260"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1,744,000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2,584,000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4,328,000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260"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(2,852,000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2,584,000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(1,421,000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260"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(1,539,000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(1,539,000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260"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(4,391,000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2,584,000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(2,960,000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260"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34,255,197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34,255,197</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05"/>
        <w:gridCol w:w="60"/>
        <w:gridCol w:w="140"/>
        <w:gridCol w:w="1175"/>
        <w:gridCol w:w="215"/>
        <w:gridCol w:w="60"/>
        <w:gridCol w:w="171"/>
        <w:gridCol w:w="1199"/>
        <w:gridCol w:w="60"/>
        <w:gridCol w:w="60"/>
        <w:gridCol w:w="140"/>
        <w:gridCol w:w="1055"/>
        <w:gridCol w:w="95"/>
        <w:gridCol w:w="60"/>
        <w:gridCol w:w="140"/>
        <w:gridCol w:w="980"/>
        <w:gridCol w:w="60"/>
        <w:gridCol w:w="60"/>
        <w:gridCol w:w="140"/>
        <w:gridCol w:w="1100"/>
        <w:gridCol w:w="230"/>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Nine Months Ended September 30, 2023</w:t>
            </w:r>
          </w:p>
        </w:tc>
      </w:tr>
      <w:tr>
        <w:trPr/>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Amortization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center"/>
              <w:rPr/>
            </w:pPr>
            <w:r>
              <w:rPr/>
              <w:t> </w:t>
            </w:r>
          </w:p>
        </w:tc>
      </w:tr>
      <w:tr>
        <w:trPr/>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of Certain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center"/>
              <w:rPr/>
            </w:pPr>
            <w:r>
              <w:rPr/>
              <w:t> </w:t>
            </w:r>
          </w:p>
        </w:tc>
      </w:tr>
      <w:tr>
        <w:trPr/>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tcMar>
              <w:bottom w:w="0" w:type="dxa"/>
            </w:tcMar>
            <w:vAlign w:val="center"/>
          </w:tcPr>
          <w:p>
            <w:pPr>
              <w:pStyle w:val="TableContents"/>
              <w:bidi w:val="0"/>
              <w:spacing w:before="0" w:after="283"/>
              <w:jc w:val="center"/>
              <w:rPr>
                <w:b/>
              </w:rPr>
            </w:pPr>
            <w:r>
              <w:rPr>
                <w:b/>
              </w:rPr>
              <w:t>GAAP</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Intangible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tcMar>
              <w:bottom w:w="0" w:type="dxa"/>
            </w:tcMar>
            <w:vAlign w:val="center"/>
          </w:tcPr>
          <w:p>
            <w:pPr>
              <w:pStyle w:val="TableContents"/>
              <w:bidi w:val="0"/>
              <w:spacing w:before="0" w:after="283"/>
              <w:jc w:val="center"/>
              <w:rPr>
                <w:b/>
              </w:rPr>
            </w:pPr>
            <w:r>
              <w:rPr>
                <w:b/>
              </w:rPr>
              <w:t>Investment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tcMar>
              <w:bottom w:w="0" w:type="dxa"/>
            </w:tcMar>
            <w:vAlign w:val="center"/>
          </w:tcPr>
          <w:p>
            <w:pPr>
              <w:pStyle w:val="TableContents"/>
              <w:bidi w:val="0"/>
              <w:spacing w:before="0" w:after="283"/>
              <w:jc w:val="center"/>
              <w:rPr>
                <w:b/>
              </w:rPr>
            </w:pPr>
            <w:r>
              <w:rPr>
                <w:b/>
              </w:rPr>
              <w:t>Other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b/>
              </w:rPr>
            </w:pPr>
            <w:r>
              <w:rPr>
                <w:b/>
              </w:rPr>
              <w:t>Core</w:t>
            </w:r>
          </w:p>
        </w:tc>
        <w:tc>
          <w:tcPr>
            <w:tcW w:w="230" w:type="dxa"/>
            <w:tcBorders/>
            <w:tcMar>
              <w:bottom w:w="0" w:type="dxa"/>
            </w:tcMar>
            <w:vAlign w:val="center"/>
          </w:tcPr>
          <w:p>
            <w:pPr>
              <w:pStyle w:val="TableContents"/>
              <w:bidi w:val="0"/>
              <w:spacing w:before="0" w:after="283"/>
              <w:jc w:val="center"/>
              <w:rPr/>
            </w:pPr>
            <w:r>
              <w:rPr/>
              <w:t> </w:t>
            </w:r>
          </w:p>
        </w:tc>
      </w:tr>
      <w:tr>
        <w:trPr/>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5" w:type="dxa"/>
            <w:gridSpan w:val="2"/>
            <w:tcBorders>
              <w:bottom w:val="single" w:sz="12" w:space="0" w:color="000000"/>
            </w:tcBorders>
            <w:vAlign w:val="center"/>
          </w:tcPr>
          <w:p>
            <w:pPr>
              <w:pStyle w:val="TableContents"/>
              <w:bidi w:val="0"/>
              <w:spacing w:before="0" w:after="283"/>
              <w:jc w:val="center"/>
              <w:rPr>
                <w:b/>
              </w:rPr>
            </w:pPr>
            <w:r>
              <w:rPr>
                <w:b/>
              </w:rPr>
              <w:t>Gains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Items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3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65,500,000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199" w:type="dxa"/>
            <w:tcBorders/>
            <w:shd w:fill="CCEEFF" w:val="clear"/>
            <w:tcMar>
              <w:bottom w:w="0" w:type="dxa"/>
            </w:tcMar>
            <w:vAlign w:val="center"/>
          </w:tcPr>
          <w:p>
            <w:pPr>
              <w:pStyle w:val="TableContents"/>
              <w:bidi w:val="0"/>
              <w:spacing w:before="0" w:after="283"/>
              <w:jc w:val="right"/>
              <w:rPr/>
            </w:pPr>
            <w:r>
              <w:rPr/>
              <w:t>7,174,000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72,674,000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005"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5,306,000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7,634,000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12,940,000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(14,027,000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7,634,000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(2,676,000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5,786,000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(3,283,000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005"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(1,236,000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(1,236,000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05"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(15,263,000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7,634,000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(2,676,000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5,786,000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(4,519,000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05"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31,689,947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31,689,947</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Third Quarter 2023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5"/>
        <w:gridCol w:w="60"/>
        <w:gridCol w:w="140"/>
        <w:gridCol w:w="1100"/>
        <w:gridCol w:w="215"/>
        <w:gridCol w:w="60"/>
        <w:gridCol w:w="204"/>
        <w:gridCol w:w="1166"/>
        <w:gridCol w:w="60"/>
        <w:gridCol w:w="60"/>
        <w:gridCol w:w="143"/>
        <w:gridCol w:w="1002"/>
        <w:gridCol w:w="60"/>
        <w:gridCol w:w="60"/>
        <w:gridCol w:w="140"/>
        <w:gridCol w:w="1100"/>
        <w:gridCol w:w="230"/>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Three Months Ended September 30, 2022</w:t>
            </w:r>
          </w:p>
        </w:tc>
      </w:tr>
      <w:tr>
        <w:trPr/>
        <w:tc>
          <w:tcPr>
            <w:tcW w:w="44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Amortization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center"/>
              <w:rPr/>
            </w:pPr>
            <w:r>
              <w:rPr/>
              <w:t> </w:t>
            </w:r>
          </w:p>
        </w:tc>
      </w:tr>
      <w:tr>
        <w:trPr/>
        <w:tc>
          <w:tcPr>
            <w:tcW w:w="44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of Certain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center"/>
              <w:rPr/>
            </w:pPr>
            <w:r>
              <w:rPr/>
              <w:t> </w:t>
            </w:r>
          </w:p>
        </w:tc>
      </w:tr>
      <w:tr>
        <w:trPr/>
        <w:tc>
          <w:tcPr>
            <w:tcW w:w="44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b/>
              </w:rPr>
            </w:pPr>
            <w:r>
              <w:rPr>
                <w:b/>
              </w:rPr>
              <w:t>GAAP</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tcMar>
              <w:bottom w:w="0" w:type="dxa"/>
            </w:tcMar>
            <w:vAlign w:val="center"/>
          </w:tcPr>
          <w:p>
            <w:pPr>
              <w:pStyle w:val="TableContents"/>
              <w:bidi w:val="0"/>
              <w:spacing w:before="0" w:after="283"/>
              <w:jc w:val="center"/>
              <w:rPr>
                <w:b/>
              </w:rPr>
            </w:pPr>
            <w:r>
              <w:rPr>
                <w:b/>
              </w:rPr>
              <w:t>Intangible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tcMar>
              <w:bottom w:w="0" w:type="dxa"/>
            </w:tcMar>
            <w:vAlign w:val="center"/>
          </w:tcPr>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tcMar>
              <w:bottom w:w="0" w:type="dxa"/>
            </w:tcMar>
            <w:vAlign w:val="center"/>
          </w:tcPr>
          <w:p>
            <w:pPr>
              <w:pStyle w:val="TableContents"/>
              <w:bidi w:val="0"/>
              <w:spacing w:before="0" w:after="283"/>
              <w:jc w:val="center"/>
              <w:rPr>
                <w:b/>
              </w:rPr>
            </w:pPr>
            <w:r>
              <w:rPr>
                <w:b/>
              </w:rPr>
              <w:t>Core</w:t>
            </w:r>
          </w:p>
        </w:tc>
        <w:tc>
          <w:tcPr>
            <w:tcW w:w="230" w:type="dxa"/>
            <w:tcBorders/>
            <w:tcMar>
              <w:bottom w:w="0" w:type="dxa"/>
            </w:tcMar>
            <w:vAlign w:val="center"/>
          </w:tcPr>
          <w:p>
            <w:pPr>
              <w:pStyle w:val="TableContents"/>
              <w:bidi w:val="0"/>
              <w:spacing w:before="0" w:after="283"/>
              <w:jc w:val="center"/>
              <w:rPr/>
            </w:pPr>
            <w:r>
              <w:rPr/>
              <w:t> </w:t>
            </w:r>
          </w:p>
        </w:tc>
      </w:tr>
      <w:tr>
        <w:trPr/>
        <w:tc>
          <w:tcPr>
            <w:tcW w:w="44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Losses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30" w:type="dxa"/>
            <w:tcBorders/>
            <w:tcMar>
              <w:bottom w:w="0" w:type="dxa"/>
            </w:tcMar>
            <w:vAlign w:val="center"/>
          </w:tcPr>
          <w:p>
            <w:pPr>
              <w:pStyle w:val="TableContents"/>
              <w:bidi w:val="0"/>
              <w:spacing w:before="0" w:after="283"/>
              <w:jc w:val="left"/>
              <w:rPr/>
            </w:pPr>
            <w:r>
              <w:rPr/>
              <w:t> </w:t>
            </w:r>
          </w:p>
        </w:tc>
      </w:tr>
      <w:tr>
        <w:trPr/>
        <w:tc>
          <w:tcPr>
            <w:tcW w:w="440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16,102,000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66" w:type="dxa"/>
            <w:tcBorders/>
            <w:shd w:fill="CCEEFF" w:val="clear"/>
            <w:tcMar>
              <w:bottom w:w="0" w:type="dxa"/>
            </w:tcMar>
            <w:vAlign w:val="center"/>
          </w:tcPr>
          <w:p>
            <w:pPr>
              <w:pStyle w:val="TableContents"/>
              <w:bidi w:val="0"/>
              <w:spacing w:before="0" w:after="283"/>
              <w:jc w:val="right"/>
              <w:rPr/>
            </w:pPr>
            <w:r>
              <w:rPr/>
              <w:t>341,000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16,443,000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05"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05"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(94,000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398,000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304,000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05"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(6,429,000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4,535,000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(1,496,000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05"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405"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(6,464,000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4,535,000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(1,531,000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405"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27,349,642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27,349,642</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35"/>
        <w:gridCol w:w="60"/>
        <w:gridCol w:w="140"/>
        <w:gridCol w:w="1175"/>
        <w:gridCol w:w="215"/>
        <w:gridCol w:w="60"/>
        <w:gridCol w:w="171"/>
        <w:gridCol w:w="1199"/>
        <w:gridCol w:w="60"/>
        <w:gridCol w:w="60"/>
        <w:gridCol w:w="140"/>
        <w:gridCol w:w="1100"/>
        <w:gridCol w:w="60"/>
        <w:gridCol w:w="60"/>
        <w:gridCol w:w="140"/>
        <w:gridCol w:w="1100"/>
        <w:gridCol w:w="230"/>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Nine Months Ended September 30, 2022</w:t>
            </w:r>
          </w:p>
        </w:tc>
      </w:tr>
      <w:tr>
        <w:trPr/>
        <w:tc>
          <w:tcPr>
            <w:tcW w:w="42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center"/>
              <w:rPr>
                <w:b/>
              </w:rPr>
            </w:pPr>
            <w:r>
              <w:rPr>
                <w:b/>
              </w:rPr>
              <w:t>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2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center"/>
              <w:rPr>
                <w:b/>
              </w:rPr>
            </w:pPr>
            <w:r>
              <w:rPr>
                <w:b/>
              </w:rPr>
              <w:t>of Certain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2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tcMar>
              <w:bottom w:w="0" w:type="dxa"/>
            </w:tcMar>
            <w:vAlign w:val="center"/>
          </w:tcPr>
          <w:p>
            <w:pPr>
              <w:pStyle w:val="TableContents"/>
              <w:bidi w:val="0"/>
              <w:spacing w:before="0" w:after="283"/>
              <w:jc w:val="center"/>
              <w:rPr>
                <w:b/>
              </w:rPr>
            </w:pPr>
            <w:r>
              <w:rPr>
                <w:b/>
              </w:rPr>
              <w:t>GAAP</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center"/>
              <w:rPr>
                <w:b/>
              </w:rPr>
            </w:pPr>
            <w:r>
              <w:rPr>
                <w:b/>
              </w:rPr>
              <w:t>Intangible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center"/>
              <w:rPr>
                <w:b/>
              </w:rPr>
            </w:pPr>
            <w:r>
              <w:rPr>
                <w:b/>
              </w:rPr>
              <w:t>Core</w:t>
            </w:r>
          </w:p>
        </w:tc>
        <w:tc>
          <w:tcPr>
            <w:tcW w:w="230" w:type="dxa"/>
            <w:tcBorders/>
            <w:tcMar>
              <w:bottom w:w="0" w:type="dxa"/>
            </w:tcMar>
            <w:vAlign w:val="center"/>
          </w:tcPr>
          <w:p>
            <w:pPr>
              <w:pStyle w:val="TableContents"/>
              <w:bidi w:val="0"/>
              <w:spacing w:before="0" w:after="283"/>
              <w:jc w:val="left"/>
              <w:rPr/>
            </w:pPr>
            <w:r>
              <w:rPr/>
              <w:t> </w:t>
            </w:r>
          </w:p>
        </w:tc>
      </w:tr>
      <w:tr>
        <w:trPr/>
        <w:tc>
          <w:tcPr>
            <w:tcW w:w="42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Results</w:t>
            </w:r>
          </w:p>
        </w:tc>
        <w:tc>
          <w:tcPr>
            <w:tcW w:w="230" w:type="dxa"/>
            <w:tcBorders/>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49,048,000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199" w:type="dxa"/>
            <w:tcBorders/>
            <w:shd w:fill="CCEEFF" w:val="clear"/>
            <w:tcMar>
              <w:bottom w:w="0" w:type="dxa"/>
            </w:tcMar>
            <w:vAlign w:val="center"/>
          </w:tcPr>
          <w:p>
            <w:pPr>
              <w:pStyle w:val="TableContents"/>
              <w:bidi w:val="0"/>
              <w:spacing w:before="0" w:after="283"/>
              <w:jc w:val="right"/>
              <w:rPr/>
            </w:pPr>
            <w:r>
              <w:rPr/>
              <w:t>1,023,000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50,071,000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35"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3,697,000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1,200,000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4,897,000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(15,066,000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1,200,000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13,377,000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(489,000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35"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(75,000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35"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(15,141,000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1,200,000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13,377,000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(564,000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35"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27,293,756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27,293,756</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Condensed Consolidated Financial Statements included in the Company’s Quarterly Report on Form 10-Q for the quarter ended September 30, 2023.</w:t>
            </w:r>
          </w:p>
        </w:tc>
      </w:tr>
    </w:tbl>
    <w:p>
      <w:pPr>
        <w:pStyle w:val="TextBody"/>
        <w:bidi w:val="0"/>
        <w:spacing w:before="0" w:after="0"/>
        <w:ind w:left="27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2" w:name="ex99-2.htm"/>
      <w:bookmarkStart w:id="33" w:name="ksex992"/>
      <w:bookmarkEnd w:id="32"/>
      <w:bookmarkEnd w:id="3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723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pleased to report that Harrow produced record revenues during the third quarter of 2023 of $34.3 million, a 50% increase over quarterly revenues for the prior-year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Buoyed by demand for IHEEZO®, which is tracking ahead of internal forecasts since its May launch, revenues from Harrow’s branded products were $14.5 million during the third quarter and $33.9 million for the nine months ended September 30, 2023. Revenues from the “Fab Five” products we acquired earlier this year and our compounded products were lower than expected. I will discuss these subjects and others in greater detail in this Letter to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unit demand for IHEEZO began to increase markedly, a result of several successful launch strategy amendments since its launch. Specifically, IHEEZO unit volumes and revenues ramped significantly during September (see graph below), and encouragingly, IHEEZO’s commercial momentum has continued in the fourth quarter.</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4772025" cy="2276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72025" cy="22764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Unit Demand reflects the number of units purchased by surgery centers, clinic/group practices, and physicians from Harrow’s distributors. It is not representative of net sales or revenues on a GAAP basis.</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Third Quarter 2023 Financial 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to Selected GAAP Operating Results before reviewing non-GAAP results.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to Selected Core Results (non-GAAP measures).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$34.3 million for the third quarter of 2023 represent a 50% increase over the prior-year's third-quarter revenues of $22.8 million and a 2% increase over the sequential second quarter of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to $9.2 million for the third quarter of 2023 compared with Adjusted EBITDA of $2.5 million during the same period last year, primarily due to increased revenues of our branded products, especially IHEEZO. Core net loss was $(3.0 million) for the third quarter of 2023 compared with core net loss of $(1.5 million) for the third quarter of 2022.</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$65.6 million in cash and cash equivalents at the end of the third quarter.</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Shortly after the close of the third quarter, Harrow </w:t>
      </w:r>
      <w:r>
        <w:rPr>
          <w:rFonts w:ascii="Times New Roman;Times;Serif" w:hAnsi="Times New Roman;Times;Serif"/>
          <w:b w:val="false"/>
          <w:i w:val="false"/>
          <w:caps w:val="false"/>
          <w:smallCaps w:val="false"/>
          <w:sz w:val="20"/>
          <w:u w:val="single"/>
        </w:rPr>
        <w:t>completed</w:t>
      </w:r>
      <w:r>
        <w:rPr>
          <w:rFonts w:ascii="Times New Roman;Times;Serif" w:hAnsi="Times New Roman;Times;Serif"/>
          <w:b w:val="false"/>
          <w:i w:val="false"/>
          <w:caps w:val="false"/>
          <w:smallCaps w:val="false"/>
          <w:sz w:val="20"/>
        </w:rPr>
        <w:t xml:space="preserve"> the transfer of new drug applications (NDAs) for FLAREX®, NATACYN®, TOBRADEX® ST, VERKAZIA®, and ZERVIATE®, products that we </w:t>
      </w:r>
      <w:r>
        <w:rPr>
          <w:rFonts w:ascii="Times New Roman;Times;Serif" w:hAnsi="Times New Roman;Times;Serif"/>
          <w:b w:val="false"/>
          <w:i w:val="false"/>
          <w:caps w:val="false"/>
          <w:smallCaps w:val="false"/>
          <w:sz w:val="20"/>
          <w:u w:val="single"/>
        </w:rPr>
        <w:t>purchased</w:t>
      </w:r>
      <w:r>
        <w:rPr>
          <w:rFonts w:ascii="Times New Roman;Times;Serif" w:hAnsi="Times New Roman;Times;Serif"/>
          <w:b w:val="false"/>
          <w:i w:val="false"/>
          <w:caps w:val="false"/>
          <w:smallCaps w:val="false"/>
          <w:sz w:val="20"/>
        </w:rPr>
        <w:t xml:space="preserve"> in July of 2023. Before the transfer of these NDAs, Harrow had been receiving profit transfers on these products; however, as each of these NDAs was transferred and launched under the Harrow name, we began implementing commercial strategies to increase brand awareness and sales for these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improved 600 basis points to 78% in the third quarter of 2023 compared with core gross margin of 72% in the third quarter of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for the third quarter of 2023 increased to $21.0 million compared with $15.4 million during the same period last year. The year-over-year increase is due in large part to an increase in stock-based compensation along with transition costs from the Santen and VEVYE product acquisitions and further expansion of our general operating and sales infrastructure to support our branded product acquisitions and launches in 2023 and beyond. We are adding new sales and commercial positions to support our sales growth and expect that trend to continue in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were $1.4 million in the third quarter of 2023, compared with $775,000 during the same period last year. Throughout the remainder of 2023 and next year, R&amp;D costs should continue to increase as we further build out our medical and clinical affairs teams and finalize tech transfer manufacturing processes for our recent product acquisitions.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income was $1.7 million for the third quarter of 2023, compared with a GAAP operating loss of $(94,000) during the same period last year.</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diluted net loss per share for the third quarter of 2023 was $(0.09) compared with $(0.06) during the same period last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all non-GAAP financial measures in this letter begins on page 9.</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and nine months ended September 30, 2023, and for the same periods in 2022 are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2"/>
        <w:gridCol w:w="60"/>
        <w:gridCol w:w="190"/>
        <w:gridCol w:w="1504"/>
        <w:gridCol w:w="129"/>
        <w:gridCol w:w="81"/>
        <w:gridCol w:w="190"/>
        <w:gridCol w:w="1504"/>
        <w:gridCol w:w="95"/>
        <w:gridCol w:w="60"/>
        <w:gridCol w:w="142"/>
        <w:gridCol w:w="1196"/>
        <w:gridCol w:w="96"/>
        <w:gridCol w:w="61"/>
        <w:gridCol w:w="142"/>
        <w:gridCol w:w="1196"/>
        <w:gridCol w:w="117"/>
      </w:tblGrid>
      <w:tr>
        <w:trPr/>
        <w:tc>
          <w:tcPr>
            <w:tcW w:w="34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117" w:type="dxa"/>
            <w:tcBorders/>
            <w:vAlign w:val="center"/>
          </w:tcPr>
          <w:p>
            <w:pPr>
              <w:pStyle w:val="TableContents"/>
              <w:bidi w:val="0"/>
              <w:spacing w:before="0" w:after="283"/>
              <w:jc w:val="left"/>
              <w:rPr/>
            </w:pPr>
            <w:r>
              <w:rPr/>
              <w:t> </w:t>
            </w:r>
          </w:p>
        </w:tc>
      </w:tr>
      <w:tr>
        <w:trPr/>
        <w:tc>
          <w:tcPr>
            <w:tcW w:w="34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7" w:type="dxa"/>
            <w:tcBorders/>
            <w:vAlign w:val="center"/>
          </w:tcPr>
          <w:p>
            <w:pPr>
              <w:pStyle w:val="TableContents"/>
              <w:bidi w:val="0"/>
              <w:spacing w:before="0" w:after="283"/>
              <w:jc w:val="left"/>
              <w:rPr/>
            </w:pPr>
            <w:r>
              <w:rPr/>
              <w:t> </w:t>
            </w:r>
          </w:p>
        </w:tc>
      </w:tr>
      <w:tr>
        <w:trPr/>
        <w:tc>
          <w:tcPr>
            <w:tcW w:w="3442"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34,265,000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22,823,000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93,838,000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68,266,000</w:t>
            </w:r>
          </w:p>
        </w:tc>
        <w:tc>
          <w:tcPr>
            <w:tcW w:w="117" w:type="dxa"/>
            <w:tcBorders/>
            <w:shd w:fill="CCEEFF" w:val="clear"/>
            <w:vAlign w:val="center"/>
          </w:tcPr>
          <w:p>
            <w:pPr>
              <w:pStyle w:val="TableContents"/>
              <w:bidi w:val="0"/>
              <w:spacing w:before="0" w:after="283"/>
              <w:jc w:val="left"/>
              <w:rPr/>
            </w:pPr>
            <w:r>
              <w:rPr/>
              <w:t> </w:t>
            </w:r>
          </w:p>
        </w:tc>
      </w:tr>
      <w:tr>
        <w:trPr/>
        <w:tc>
          <w:tcPr>
            <w:tcW w:w="3442"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FFFFFF" w:val="clear"/>
            <w:tcMar>
              <w:bottom w:w="28" w:type="dxa"/>
            </w:tcMar>
            <w:vAlign w:val="center"/>
          </w:tcPr>
          <w:p>
            <w:pPr>
              <w:pStyle w:val="TableContents"/>
              <w:bidi w:val="0"/>
              <w:spacing w:before="0" w:after="283"/>
              <w:jc w:val="right"/>
              <w:rPr/>
            </w:pPr>
            <w:r>
              <w:rPr/>
              <w:t>10,067,000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FFFFFF" w:val="clear"/>
            <w:tcMar>
              <w:bottom w:w="28" w:type="dxa"/>
            </w:tcMar>
            <w:vAlign w:val="center"/>
          </w:tcPr>
          <w:p>
            <w:pPr>
              <w:pStyle w:val="TableContents"/>
              <w:bidi w:val="0"/>
              <w:spacing w:before="0" w:after="283"/>
              <w:jc w:val="right"/>
              <w:rPr/>
            </w:pPr>
            <w:r>
              <w:rPr/>
              <w:t>6,721,000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28,338,000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19,218,000</w:t>
            </w:r>
          </w:p>
        </w:tc>
        <w:tc>
          <w:tcPr>
            <w:tcW w:w="117" w:type="dxa"/>
            <w:tcBorders/>
            <w:shd w:fill="FFFFFF" w:val="clear"/>
            <w:vAlign w:val="center"/>
          </w:tcPr>
          <w:p>
            <w:pPr>
              <w:pStyle w:val="TableContents"/>
              <w:bidi w:val="0"/>
              <w:spacing w:before="0" w:after="283"/>
              <w:jc w:val="left"/>
              <w:rPr/>
            </w:pPr>
            <w:r>
              <w:rPr/>
              <w:t> </w:t>
            </w:r>
          </w:p>
        </w:tc>
      </w:tr>
      <w:tr>
        <w:trPr/>
        <w:tc>
          <w:tcPr>
            <w:tcW w:w="3442"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b/>
              </w:rPr>
            </w:pPr>
            <w:r>
              <w:rPr>
                <w:b/>
              </w:rPr>
              <w:t>24,198,000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b/>
              </w:rPr>
            </w:pPr>
            <w:r>
              <w:rPr>
                <w:b/>
              </w:rPr>
              <w:t>16,102,000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b/>
              </w:rPr>
            </w:pPr>
            <w:r>
              <w:rPr>
                <w:b/>
              </w:rPr>
              <w:t>65,500,000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b/>
              </w:rPr>
            </w:pPr>
            <w:r>
              <w:rPr>
                <w:b/>
              </w:rPr>
              <w:t>49,048,000</w:t>
            </w:r>
          </w:p>
        </w:tc>
        <w:tc>
          <w:tcPr>
            <w:tcW w:w="117" w:type="dxa"/>
            <w:tcBorders/>
            <w:shd w:fill="CCEEFF" w:val="clear"/>
            <w:vAlign w:val="center"/>
          </w:tcPr>
          <w:p>
            <w:pPr>
              <w:pStyle w:val="TableContents"/>
              <w:bidi w:val="0"/>
              <w:spacing w:before="0" w:after="283"/>
              <w:jc w:val="left"/>
              <w:rPr/>
            </w:pPr>
            <w:r>
              <w:rPr/>
              <w:t> </w:t>
            </w:r>
          </w:p>
        </w:tc>
      </w:tr>
      <w:tr>
        <w:trPr/>
        <w:tc>
          <w:tcPr>
            <w:tcW w:w="3442"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504" w:type="dxa"/>
            <w:tcBorders/>
            <w:shd w:fill="FFFFFF" w:val="clear"/>
            <w:vAlign w:val="center"/>
          </w:tcPr>
          <w:p>
            <w:pPr>
              <w:pStyle w:val="TableContents"/>
              <w:bidi w:val="0"/>
              <w:spacing w:before="0" w:after="283"/>
              <w:jc w:val="right"/>
              <w:rPr/>
            </w:pPr>
            <w:r>
              <w:rPr/>
              <w:t>21,033,000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504" w:type="dxa"/>
            <w:tcBorders/>
            <w:shd w:fill="FFFFFF" w:val="clear"/>
            <w:vAlign w:val="center"/>
          </w:tcPr>
          <w:p>
            <w:pPr>
              <w:pStyle w:val="TableContents"/>
              <w:bidi w:val="0"/>
              <w:spacing w:before="0" w:after="283"/>
              <w:jc w:val="right"/>
              <w:rPr/>
            </w:pPr>
            <w:r>
              <w:rPr/>
              <w:t>15,421,000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56,878,000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43,004,000</w:t>
            </w:r>
          </w:p>
        </w:tc>
        <w:tc>
          <w:tcPr>
            <w:tcW w:w="117" w:type="dxa"/>
            <w:tcBorders/>
            <w:shd w:fill="FFFFFF" w:val="clear"/>
            <w:vAlign w:val="center"/>
          </w:tcPr>
          <w:p>
            <w:pPr>
              <w:pStyle w:val="TableContents"/>
              <w:bidi w:val="0"/>
              <w:spacing w:before="0" w:after="283"/>
              <w:jc w:val="left"/>
              <w:rPr/>
            </w:pPr>
            <w:r>
              <w:rPr/>
              <w:t> </w:t>
            </w:r>
          </w:p>
        </w:tc>
      </w:tr>
      <w:tr>
        <w:trPr/>
        <w:tc>
          <w:tcPr>
            <w:tcW w:w="3442"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CCEEFF" w:val="clear"/>
            <w:tcMar>
              <w:bottom w:w="28" w:type="dxa"/>
            </w:tcMar>
            <w:vAlign w:val="center"/>
          </w:tcPr>
          <w:p>
            <w:pPr>
              <w:pStyle w:val="TableContents"/>
              <w:bidi w:val="0"/>
              <w:spacing w:before="0" w:after="283"/>
              <w:jc w:val="right"/>
              <w:rPr/>
            </w:pPr>
            <w:r>
              <w:rPr/>
              <w:t>1,421,000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CCEEFF" w:val="clear"/>
            <w:tcMar>
              <w:bottom w:w="28" w:type="dxa"/>
            </w:tcMar>
            <w:vAlign w:val="center"/>
          </w:tcPr>
          <w:p>
            <w:pPr>
              <w:pStyle w:val="TableContents"/>
              <w:bidi w:val="0"/>
              <w:spacing w:before="0" w:after="283"/>
              <w:jc w:val="right"/>
              <w:rPr/>
            </w:pPr>
            <w:r>
              <w:rPr/>
              <w:t>775,000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3,316,000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2,347,000</w:t>
            </w:r>
          </w:p>
        </w:tc>
        <w:tc>
          <w:tcPr>
            <w:tcW w:w="117" w:type="dxa"/>
            <w:tcBorders/>
            <w:shd w:fill="CCEEFF" w:val="clear"/>
            <w:vAlign w:val="center"/>
          </w:tcPr>
          <w:p>
            <w:pPr>
              <w:pStyle w:val="TableContents"/>
              <w:bidi w:val="0"/>
              <w:spacing w:before="0" w:after="283"/>
              <w:jc w:val="left"/>
              <w:rPr/>
            </w:pPr>
            <w:r>
              <w:rPr/>
              <w:t> </w:t>
            </w:r>
          </w:p>
        </w:tc>
      </w:tr>
      <w:tr>
        <w:trPr/>
        <w:tc>
          <w:tcPr>
            <w:tcW w:w="344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22,454,000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16,196,000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60,194,000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45,351,000</w:t>
            </w:r>
          </w:p>
        </w:tc>
        <w:tc>
          <w:tcPr>
            <w:tcW w:w="117" w:type="dxa"/>
            <w:tcBorders/>
            <w:shd w:fill="FFFFFF" w:val="clear"/>
            <w:vAlign w:val="center"/>
          </w:tcPr>
          <w:p>
            <w:pPr>
              <w:pStyle w:val="TableContents"/>
              <w:bidi w:val="0"/>
              <w:spacing w:before="0" w:after="283"/>
              <w:jc w:val="left"/>
              <w:rPr/>
            </w:pPr>
            <w:r>
              <w:rPr/>
              <w:t> </w:t>
            </w:r>
          </w:p>
        </w:tc>
      </w:tr>
      <w:tr>
        <w:trPr/>
        <w:tc>
          <w:tcPr>
            <w:tcW w:w="3442"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b/>
              </w:rPr>
            </w:pPr>
            <w:r>
              <w:rPr>
                <w:b/>
              </w:rPr>
              <w:t>1,744,000</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b/>
              </w:rPr>
            </w:pPr>
            <w:r>
              <w:rPr>
                <w:b/>
              </w:rPr>
              <w:t>(94,000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b/>
              </w:rPr>
            </w:pPr>
            <w:r>
              <w:rPr>
                <w:b/>
              </w:rPr>
              <w:t>5,306,000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b/>
              </w:rPr>
            </w:pPr>
            <w:r>
              <w:rPr>
                <w:b/>
              </w:rPr>
              <w:t>3,697,000</w:t>
            </w:r>
          </w:p>
        </w:tc>
        <w:tc>
          <w:tcPr>
            <w:tcW w:w="117" w:type="dxa"/>
            <w:tcBorders/>
            <w:shd w:fill="CCEEFF" w:val="clear"/>
            <w:vAlign w:val="center"/>
          </w:tcPr>
          <w:p>
            <w:pPr>
              <w:pStyle w:val="TableContents"/>
              <w:bidi w:val="0"/>
              <w:spacing w:before="0" w:after="283"/>
              <w:jc w:val="left"/>
              <w:rPr/>
            </w:pPr>
            <w:r>
              <w:rPr/>
              <w:t> </w:t>
            </w:r>
          </w:p>
        </w:tc>
      </w:tr>
      <w:tr>
        <w:trPr/>
        <w:tc>
          <w:tcPr>
            <w:tcW w:w="3442"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504" w:type="dxa"/>
            <w:tcBorders/>
            <w:shd w:fill="FFFFFF" w:val="clear"/>
            <w:vAlign w:val="center"/>
          </w:tcPr>
          <w:p>
            <w:pPr>
              <w:pStyle w:val="TableContents"/>
              <w:bidi w:val="0"/>
              <w:spacing w:before="0" w:after="283"/>
              <w:jc w:val="right"/>
              <w:rPr/>
            </w:pPr>
            <w:r>
              <w:rPr/>
              <w:t>4,596,000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504" w:type="dxa"/>
            <w:tcBorders/>
            <w:shd w:fill="FFFFFF" w:val="clear"/>
            <w:vAlign w:val="center"/>
          </w:tcPr>
          <w:p>
            <w:pPr>
              <w:pStyle w:val="TableContents"/>
              <w:bidi w:val="0"/>
              <w:spacing w:before="0" w:after="283"/>
              <w:jc w:val="right"/>
              <w:rPr/>
            </w:pPr>
            <w:r>
              <w:rPr/>
              <w:t>6,335,000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19,333,000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18,763,000</w:t>
            </w:r>
          </w:p>
        </w:tc>
        <w:tc>
          <w:tcPr>
            <w:tcW w:w="117" w:type="dxa"/>
            <w:tcBorders/>
            <w:shd w:fill="FFFFFF" w:val="clear"/>
            <w:vAlign w:val="center"/>
          </w:tcPr>
          <w:p>
            <w:pPr>
              <w:pStyle w:val="TableContents"/>
              <w:bidi w:val="0"/>
              <w:spacing w:before="0" w:after="283"/>
              <w:jc w:val="left"/>
              <w:rPr/>
            </w:pPr>
            <w:r>
              <w:rPr/>
              <w:t> </w:t>
            </w:r>
          </w:p>
        </w:tc>
      </w:tr>
      <w:tr>
        <w:trPr/>
        <w:tc>
          <w:tcPr>
            <w:tcW w:w="3442"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CCEEFF" w:val="clear"/>
            <w:tcMar>
              <w:bottom w:w="28" w:type="dxa"/>
            </w:tcMar>
            <w:vAlign w:val="center"/>
          </w:tcPr>
          <w:p>
            <w:pPr>
              <w:pStyle w:val="TableContents"/>
              <w:bidi w:val="0"/>
              <w:spacing w:before="0" w:after="283"/>
              <w:jc w:val="right"/>
              <w:rPr/>
            </w:pPr>
            <w:r>
              <w:rPr/>
              <w:t>(1,539,000</w:t>
            </w:r>
          </w:p>
        </w:tc>
        <w:tc>
          <w:tcPr>
            <w:tcW w:w="12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CCEEFF" w:val="clear"/>
            <w:tcMar>
              <w:bottom w:w="28" w:type="dxa"/>
            </w:tcM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(1,236,000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(75,000</w:t>
            </w:r>
          </w:p>
        </w:tc>
        <w:tc>
          <w:tcPr>
            <w:tcW w:w="117" w:type="dxa"/>
            <w:tcBorders/>
            <w:shd w:fill="CCEEFF" w:val="clear"/>
            <w:vAlign w:val="center"/>
          </w:tcPr>
          <w:p>
            <w:pPr>
              <w:pStyle w:val="TableContents"/>
              <w:bidi w:val="0"/>
              <w:spacing w:before="0" w:after="283"/>
              <w:jc w:val="left"/>
              <w:rPr/>
            </w:pPr>
            <w:r>
              <w:rPr/>
              <w:t>)</w:t>
            </w:r>
          </w:p>
        </w:tc>
      </w:tr>
      <w:tr>
        <w:trPr/>
        <w:tc>
          <w:tcPr>
            <w:tcW w:w="3442"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(4,391,000</w:t>
            </w:r>
          </w:p>
        </w:tc>
        <w:tc>
          <w:tcPr>
            <w:tcW w:w="129" w:type="dxa"/>
            <w:tcBorders/>
            <w:shd w:fill="FFFFFF" w:val="clear"/>
            <w:vAlign w:val="center"/>
          </w:tcPr>
          <w:p>
            <w:pPr>
              <w:pStyle w:val="TableContents"/>
              <w:bidi w:val="0"/>
              <w:spacing w:before="0" w:after="283"/>
              <w:jc w:val="left"/>
              <w:rPr>
                <w:b/>
              </w:rPr>
            </w:pPr>
            <w:r>
              <w:rPr>
                <w:b/>
              </w:rPr>
              <w:t>)</w:t>
            </w:r>
          </w:p>
        </w:tc>
        <w:tc>
          <w:tcPr>
            <w:tcW w:w="81"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(6,464,000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(15,263,000</w:t>
            </w:r>
          </w:p>
        </w:tc>
        <w:tc>
          <w:tcPr>
            <w:tcW w:w="96"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(15,141,000</w:t>
            </w:r>
          </w:p>
        </w:tc>
        <w:tc>
          <w:tcPr>
            <w:tcW w:w="117" w:type="dxa"/>
            <w:tcBorders/>
            <w:shd w:fill="FFFFFF" w:val="clear"/>
            <w:vAlign w:val="center"/>
          </w:tcPr>
          <w:p>
            <w:pPr>
              <w:pStyle w:val="TableContents"/>
              <w:bidi w:val="0"/>
              <w:spacing w:before="0" w:after="283"/>
              <w:jc w:val="left"/>
              <w:rPr>
                <w:b/>
              </w:rPr>
            </w:pPr>
            <w:r>
              <w:rPr>
                <w:b/>
              </w:rPr>
              <w:t>)</w:t>
            </w:r>
          </w:p>
        </w:tc>
      </w:tr>
      <w:tr>
        <w:trPr/>
        <w:tc>
          <w:tcPr>
            <w:tcW w:w="3442"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(0.13</w:t>
            </w:r>
          </w:p>
        </w:tc>
        <w:tc>
          <w:tcPr>
            <w:tcW w:w="129" w:type="dxa"/>
            <w:tcBorders/>
            <w:shd w:fill="CCEEFF" w:val="clear"/>
            <w:vAlign w:val="center"/>
          </w:tcPr>
          <w:p>
            <w:pPr>
              <w:pStyle w:val="TableContents"/>
              <w:bidi w:val="0"/>
              <w:spacing w:before="0" w:after="283"/>
              <w:jc w:val="left"/>
              <w:rPr>
                <w:b/>
              </w:rPr>
            </w:pPr>
            <w:r>
              <w:rPr>
                <w:b/>
              </w:rPr>
              <w:t>)</w:t>
            </w:r>
          </w:p>
        </w:tc>
        <w:tc>
          <w:tcPr>
            <w:tcW w:w="81"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(0.48</w:t>
            </w:r>
          </w:p>
        </w:tc>
        <w:tc>
          <w:tcPr>
            <w:tcW w:w="96"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(0.55</w:t>
            </w:r>
          </w:p>
        </w:tc>
        <w:tc>
          <w:tcPr>
            <w:tcW w:w="117" w:type="dxa"/>
            <w:tcBorders/>
            <w:shd w:fill="CCEE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(Non-GAAP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and nine months ended September 30, 2023, and for the same periods in 2022 are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2"/>
        <w:gridCol w:w="60"/>
        <w:gridCol w:w="205"/>
        <w:gridCol w:w="1618"/>
        <w:gridCol w:w="315"/>
        <w:gridCol w:w="87"/>
        <w:gridCol w:w="205"/>
        <w:gridCol w:w="1618"/>
        <w:gridCol w:w="215"/>
        <w:gridCol w:w="60"/>
        <w:gridCol w:w="140"/>
        <w:gridCol w:w="1175"/>
        <w:gridCol w:w="215"/>
        <w:gridCol w:w="60"/>
        <w:gridCol w:w="140"/>
        <w:gridCol w:w="1175"/>
        <w:gridCol w:w="235"/>
      </w:tblGrid>
      <w:tr>
        <w:trPr/>
        <w:tc>
          <w:tcPr>
            <w:tcW w:w="2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235" w:type="dxa"/>
            <w:tcBorders/>
            <w:vAlign w:val="center"/>
          </w:tcPr>
          <w:p>
            <w:pPr>
              <w:pStyle w:val="TableContents"/>
              <w:bidi w:val="0"/>
              <w:spacing w:before="0" w:after="283"/>
              <w:jc w:val="left"/>
              <w:rPr/>
            </w:pPr>
            <w:r>
              <w:rPr/>
              <w:t> </w:t>
            </w:r>
          </w:p>
        </w:tc>
      </w:tr>
      <w:tr>
        <w:trPr/>
        <w:tc>
          <w:tcPr>
            <w:tcW w:w="2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1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5" w:type="dxa"/>
            <w:tcBorders/>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618" w:type="dxa"/>
            <w:tcBorders/>
            <w:shd w:fill="CCEEFF" w:val="clear"/>
            <w:vAlign w:val="center"/>
          </w:tcPr>
          <w:p>
            <w:pPr>
              <w:pStyle w:val="TableContents"/>
              <w:bidi w:val="0"/>
              <w:spacing w:before="0" w:after="283"/>
              <w:jc w:val="right"/>
              <w:rPr/>
            </w:pPr>
            <w:r>
              <w:rPr/>
              <w:t>34,265,000</w:t>
            </w:r>
          </w:p>
        </w:tc>
        <w:tc>
          <w:tcPr>
            <w:tcW w:w="31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618" w:type="dxa"/>
            <w:tcBorders/>
            <w:shd w:fill="CCEEFF" w:val="clear"/>
            <w:vAlign w:val="center"/>
          </w:tcPr>
          <w:p>
            <w:pPr>
              <w:pStyle w:val="TableContents"/>
              <w:bidi w:val="0"/>
              <w:spacing w:before="0" w:after="283"/>
              <w:jc w:val="right"/>
              <w:rPr/>
            </w:pPr>
            <w:r>
              <w:rPr/>
              <w:t>22,823,000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93,838,000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68,266,000</w:t>
            </w:r>
          </w:p>
        </w:tc>
        <w:tc>
          <w:tcPr>
            <w:tcW w:w="235"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71</w:t>
            </w:r>
          </w:p>
        </w:tc>
        <w:tc>
          <w:tcPr>
            <w:tcW w:w="315"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w:t>
            </w:r>
          </w:p>
        </w:tc>
        <w:tc>
          <w:tcPr>
            <w:tcW w:w="235" w:type="dxa"/>
            <w:tcBorders/>
            <w:shd w:fill="FFFFFF" w:val="clear"/>
            <w:vAlign w:val="center"/>
          </w:tcPr>
          <w:p>
            <w:pPr>
              <w:pStyle w:val="TableContents"/>
              <w:bidi w:val="0"/>
              <w:spacing w:before="0" w:after="283"/>
              <w:jc w:val="left"/>
              <w:rPr/>
            </w:pPr>
            <w:r>
              <w:rPr/>
              <w:t>%</w:t>
            </w:r>
          </w:p>
        </w:tc>
      </w:tr>
      <w:tr>
        <w:trPr/>
        <w:tc>
          <w:tcPr>
            <w:tcW w:w="2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78</w:t>
            </w:r>
          </w:p>
        </w:tc>
        <w:tc>
          <w:tcPr>
            <w:tcW w:w="315"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w:t>
            </w:r>
          </w:p>
        </w:tc>
        <w:tc>
          <w:tcPr>
            <w:tcW w:w="235" w:type="dxa"/>
            <w:tcBorders/>
            <w:shd w:fill="CCEEFF" w:val="clear"/>
            <w:vAlign w:val="center"/>
          </w:tcPr>
          <w:p>
            <w:pPr>
              <w:pStyle w:val="TableContents"/>
              <w:bidi w:val="0"/>
              <w:spacing w:before="0" w:after="283"/>
              <w:jc w:val="left"/>
              <w:rPr/>
            </w:pPr>
            <w:r>
              <w:rPr/>
              <w:t>%</w:t>
            </w:r>
          </w:p>
        </w:tc>
      </w:tr>
      <w:tr>
        <w:trPr/>
        <w:tc>
          <w:tcPr>
            <w:tcW w:w="268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(4,391,000</w:t>
            </w:r>
          </w:p>
        </w:tc>
        <w:tc>
          <w:tcPr>
            <w:tcW w:w="315"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(6,464,000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(15,263,000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(15,141,000</w:t>
            </w:r>
          </w:p>
        </w:tc>
        <w:tc>
          <w:tcPr>
            <w:tcW w:w="235" w:type="dxa"/>
            <w:tcBorders/>
            <w:shd w:fill="FFFFFF" w:val="clear"/>
            <w:vAlign w:val="center"/>
          </w:tcPr>
          <w:p>
            <w:pPr>
              <w:pStyle w:val="TableContents"/>
              <w:bidi w:val="0"/>
              <w:spacing w:before="0" w:after="283"/>
              <w:jc w:val="left"/>
              <w:rPr/>
            </w:pPr>
            <w:r>
              <w:rPr/>
              <w:t>)</w:t>
            </w:r>
          </w:p>
        </w:tc>
      </w:tr>
      <w:tr>
        <w:trPr/>
        <w:tc>
          <w:tcPr>
            <w:tcW w:w="2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(2,960,000</w:t>
            </w:r>
          </w:p>
        </w:tc>
        <w:tc>
          <w:tcPr>
            <w:tcW w:w="315"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(1,531,000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(4,519,000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(564,000</w:t>
            </w:r>
          </w:p>
        </w:tc>
        <w:tc>
          <w:tcPr>
            <w:tcW w:w="235" w:type="dxa"/>
            <w:tcBorders/>
            <w:shd w:fill="CCEEFF" w:val="clear"/>
            <w:vAlign w:val="center"/>
          </w:tcPr>
          <w:p>
            <w:pPr>
              <w:pStyle w:val="TableContents"/>
              <w:bidi w:val="0"/>
              <w:spacing w:before="0" w:after="283"/>
              <w:jc w:val="left"/>
              <w:rPr/>
            </w:pPr>
            <w:r>
              <w:rPr/>
              <w:t>)</w:t>
            </w:r>
          </w:p>
        </w:tc>
      </w:tr>
      <w:tr>
        <w:trPr/>
        <w:tc>
          <w:tcPr>
            <w:tcW w:w="26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9,209,000</w:t>
            </w:r>
          </w:p>
        </w:tc>
        <w:tc>
          <w:tcPr>
            <w:tcW w:w="31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2,483,000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25,556,000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11,928,000</w:t>
            </w:r>
          </w:p>
        </w:tc>
        <w:tc>
          <w:tcPr>
            <w:tcW w:w="235"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(0.13</w:t>
            </w:r>
          </w:p>
        </w:tc>
        <w:tc>
          <w:tcPr>
            <w:tcW w:w="315"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(0.24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(0.55</w:t>
            </w:r>
          </w:p>
        </w:tc>
        <w:tc>
          <w:tcPr>
            <w:tcW w:w="235" w:type="dxa"/>
            <w:tcBorders/>
            <w:shd w:fill="CCEEFF" w:val="clear"/>
            <w:vAlign w:val="center"/>
          </w:tcPr>
          <w:p>
            <w:pPr>
              <w:pStyle w:val="TableContents"/>
              <w:bidi w:val="0"/>
              <w:spacing w:before="0" w:after="283"/>
              <w:jc w:val="left"/>
              <w:rPr/>
            </w:pPr>
            <w:r>
              <w:rPr/>
              <w:t>)</w:t>
            </w:r>
          </w:p>
        </w:tc>
      </w:tr>
      <w:tr>
        <w:trPr/>
        <w:tc>
          <w:tcPr>
            <w:tcW w:w="26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(0.09</w:t>
            </w:r>
          </w:p>
        </w:tc>
        <w:tc>
          <w:tcPr>
            <w:tcW w:w="315"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(0.06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(0.02</w:t>
            </w:r>
          </w:p>
        </w:tc>
        <w:tc>
          <w:tcPr>
            <w:tcW w:w="235"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tc>
      </w:tr>
    </w:tbl>
    <w:p>
      <w:pPr>
        <w:pStyle w:val="TextBody"/>
        <w:bidi w:val="0"/>
        <w:ind w:left="274"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IHEEZO Commentary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continued to execute our launch plan for IHEEZO since its debut in May 2023. We focused on raising IHEEZO awareness among our targeted audience (i.e., long-standing Harrow customers), collecting and incorporating user feedback, optimizing our market access strategies, pursuing high-revenue potential IHEEZO prescribers, and capitalizing on the success indicators we observed in the first stages of the launch, including those related to reimbursement.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nimble commercial approach enabled us to amend our plans, making strategic tweaks in the middle of the quarter that yielded immediate positive results and contributed to a notable increase in IHEEZO unit demand and revenues for September – surpassing our internal targets for 2023. We are now seeing sizable orders and re-orders from high-volume users, along with many new accounts, both large and small, which we expect will start to utilize IHEEZO in the fourth quarter and beyond.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investing in clinical research to demonstrate IHEEZO’s unique capabilities. An example is a recent in-vivo (in human) study that we sponsored to compare the effect of IHEEZO on the bacterial action of povidone-iodine (PVI) with the effect of a low-viscosity tetracaine ophthalmic solution on PVI. To our knowledge, this was the most robust, prospective study evaluating the effects of PVI with anesthetics in an in-vivo setting to date. We executed this study because every ophthalmic surgical intervention requires an antiseptic application (e.g., PVI) to prevent potentially blinding conditions such as endophthalmitis, and previous studies have shown that high viscosity gel vehicles act as a “barrier” to the bactericidal properties of PVI and may increase the risk of endophthalmitis following ophthalmic procedures. The problem is that other commonly used non-gel anesthetics, such as tetracaine, have poor ocular surface residence time on the eye, causing an unpredictable onset and duration of anesthetic effect, and contain preservatives known to cause endothelial cell damage. IHEEZO offers numerous benefits, including reliable anesthetic onset and duration, but to improve IHEEZO adoption, we needed to alleviate any clinical concerns regarding the potential barrier effect of IHEEZO.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 happy to report that data from this barrier-effect study, which we expect to be published in the coming months, clearly demonstrated similar barrier risks between IHEEZO and </w:t>
      </w:r>
      <w:r>
        <w:rPr>
          <w:rFonts w:ascii="Times New Roman;Times;Serif" w:hAnsi="Times New Roman;Times;Serif"/>
          <w:b w:val="false"/>
          <w:i/>
          <w:caps w:val="false"/>
          <w:smallCaps w:val="false"/>
          <w:sz w:val="20"/>
        </w:rPr>
        <w:t>solution-based</w:t>
      </w:r>
      <w:r>
        <w:rPr>
          <w:rFonts w:ascii="Times New Roman;Times;Serif" w:hAnsi="Times New Roman;Times;Serif"/>
          <w:b w:val="false"/>
          <w:i w:val="false"/>
          <w:caps w:val="false"/>
          <w:smallCaps w:val="false"/>
          <w:sz w:val="20"/>
        </w:rPr>
        <w:t xml:space="preserve"> topical anesthetics – meaning that IHEEZO provides the benefits of a gel without the known risks. Therefore, IHEEZO low-viscosity gel, </w:t>
      </w:r>
      <w:r>
        <w:rPr>
          <w:rFonts w:ascii="Times New Roman;Times;Serif" w:hAnsi="Times New Roman;Times;Serif"/>
          <w:b w:val="false"/>
          <w:i/>
          <w:caps w:val="false"/>
          <w:smallCaps w:val="false"/>
          <w:sz w:val="20"/>
        </w:rPr>
        <w:t>used as a monotherapy</w:t>
      </w:r>
      <w:r>
        <w:rPr>
          <w:rFonts w:ascii="Times New Roman;Times;Serif" w:hAnsi="Times New Roman;Times;Serif"/>
          <w:b w:val="false"/>
          <w:i w:val="false"/>
          <w:caps w:val="false"/>
          <w:smallCaps w:val="false"/>
          <w:sz w:val="20"/>
        </w:rPr>
        <w:t xml:space="preserve">, uniquely provides patient comfort, predictable onset, and duration of anesthesia, with a single dose, and the option to re-dose as needed, without the need for </w:t>
      </w:r>
      <w:r>
        <w:rPr>
          <w:rFonts w:ascii="Times New Roman;Times;Serif" w:hAnsi="Times New Roman;Times;Serif"/>
          <w:b w:val="false"/>
          <w:i w:val="false"/>
          <w:caps w:val="false"/>
          <w:smallCaps w:val="false"/>
          <w:sz w:val="20"/>
          <w:u w:val="single"/>
        </w:rPr>
        <w:t>any</w:t>
      </w:r>
      <w:r>
        <w:rPr>
          <w:rFonts w:ascii="Times New Roman;Times;Serif" w:hAnsi="Times New Roman;Times;Serif"/>
          <w:b w:val="false"/>
          <w:i w:val="false"/>
          <w:caps w:val="false"/>
          <w:smallCaps w:val="false"/>
          <w:sz w:val="20"/>
        </w:rPr>
        <w:t xml:space="preserve"> supplemental intervention, including the need for opioids. This study was a fantastic outcome for IHEEZO given ophthalmologists’ concerns about “barrier-issues” with gel-based anesthetics. We look forward to the public availability of this study and its accompanying data supporting our belief that IHEEZO’s clinical benefits are truly unique from anything currently available.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are also working to ensure continued access to the Medicare market for the ambulatory surgery center (ASC) and hospital and outpatient department (HOPD) market segments and the in-office use of IHEEZO. In this regard, we are designing and intend to execute during the first half of 2024, clinical studies to build data sets that could be presented to the Centers for Medicare &amp; Medicaid Services (CMS) to eventually extend our temporary pass-through period for IHEEZO in ASCs and HOPDs. We have also requested to meet with CMS to clarify a billing policy that has historically not allowed for the separate billing of anesthesia services in a physician’s office. Our request to CMS is to clarify that J-Code 2403, IHEEZO’s permanent J-Code, may be billed for the anesthesia itself (i.e., IHEEZO under J-2403), not the provision of anesthesia services, in a physician’s office setting. We will continue to update our stockholders as we make progress on these efforts.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Fab Five Commentary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readers of these Letters to Stockholders are aware, earlier this year, Harrow acquired the U.S. commercial rights to five products – MAXIDEX®, ILEVRO®, NEVANAC®, VIGAMOX®, and TRIESENCE (the first four of these products are commercially available – </w:t>
      </w:r>
      <w:r>
        <w:rPr>
          <w:rFonts w:ascii="Times New Roman;Times;Serif" w:hAnsi="Times New Roman;Times;Serif"/>
          <w:b w:val="false"/>
          <w:i/>
          <w:caps w:val="false"/>
          <w:smallCaps w:val="false"/>
          <w:sz w:val="20"/>
        </w:rPr>
        <w:t>see TRIESENCE Commentary below</w:t>
      </w:r>
      <w:r>
        <w:rPr>
          <w:rFonts w:ascii="Times New Roman;Times;Serif" w:hAnsi="Times New Roman;Times;Serif"/>
          <w:b w:val="false"/>
          <w:i w:val="false"/>
          <w:caps w:val="false"/>
          <w:smallCaps w:val="false"/>
          <w:sz w:val="20"/>
        </w:rPr>
        <w:t>). Harrow’s strategy with these products, which had not been supported by marketing or sales detailing for many years, was first to stem the downward decline in unit demand and second, to begin to grow sales, in particular, from our nepafenac franchise, represented by ILEVRO and NEVANAC. As a part of the acquisition, the NDAs for these products were to be transferred to Harrow during a transition period after the closing, at which time they would be fully integrated into Harrow’s commercial platform and begin executing our strategy. While NDAs for MAXIDEX, ILEVRO, and NEVANAC were transferred in May 2023 and VIGAMOX in late July 2023, we made the strategic decision to focus our commercial team’s efforts on IHEEZO, delaying implementation of marketing and sales detailing efforts for these products. Therefore, we are about three months behind our revenue forecast for these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positive side, once we began implementing our awareness campaign, demand for ILEVRO and NEVANAC began to build, as evidenced by recent positive prescription data. Preliminarily, it appears that our belief that reminding prescribers of the availability of products they know and trust, which have strong reimbursement support from third-party payers (see an example below of a reimbursement tool for ILEVRO highlighting the significant coverage levels in Texas), is what was needed to regain interest in these fantastic products. We remain excited about this acquisition, and while we are a bit behind with our plans, we believe that the economic and strategic potential from the Fab Five remains intact.</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381750" cy="414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381750" cy="4143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Compounded Pharmaceuticals Commentary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compounding business has recently underperformed as we’ve invested in improving efficiencies and compliance related to manufacturing, quality systems, the makeup of our sales team, our analytical testing capabilities, and our customer care infrastructure. Additionally, some authoritative agencies have added complexities to state-specific compounding regulatory constructs. While these investments have been modest from a cash investment perspective, they have affected (i) our productivity, (ii) our ability to meet the growing demand for our products, and (iii) our ability to provide customer experiences at the levels our customers deserve. I am highly confident this is a temporary situation, and these enhancements and compliance investments are necessary to preserve and expand our market leadership position over the longer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stockholders who have followed our company for many years know we have occasionally encountered growing pains like this in our compounding business. Frankly, it’s just the nature of the compounding business when you operate at the scale we do. We have had to invest in efficiency and compliance in the past, and importantly, we have a 100% success record of overcoming these challenges and returning to growth. Investing in the required systems, processes, and protocols to reliably serve a national market requires adherence to a standard and a level of complexity that few competitors can achieve. Although we have never been perfect, our commitment to compliance with the strictest of regulations has been a “superpower” for us as we’ve built our compounding business. Based on what has been successfully implemented and other solutions planned in the coming weeks, I am confident that our compounding business will resume our historical growth – likely in the first quarter of 2024.</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VEVYE Commentary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Harrow's largest future annual market opportunity is VEVYE, the recently FDA-approved patented semi-fluorinated alkane plus 0.1% cyclosporine product – which we are launching in a few weeks. VEVYE, a “water-free” topical prescription medication, is FDA-approved to treat both the signs and symptoms of dry eye disease (DED). We believe eyecare professionals (ECPs) have long awaited a product like VEVYE – a DED product that can deliver effective, fast, and sustained clinical results for patients </w:t>
      </w:r>
      <w:r>
        <w:rPr>
          <w:rFonts w:ascii="Times New Roman;Times;Serif" w:hAnsi="Times New Roman;Times;Serif"/>
          <w:b w:val="false"/>
          <w:i/>
          <w:caps w:val="false"/>
          <w:smallCaps w:val="false"/>
          <w:sz w:val="20"/>
        </w:rPr>
        <w:t>without</w:t>
      </w:r>
      <w:r>
        <w:rPr>
          <w:rFonts w:ascii="Times New Roman;Times;Serif" w:hAnsi="Times New Roman;Times;Serif"/>
          <w:b w:val="false"/>
          <w:i w:val="false"/>
          <w:caps w:val="false"/>
          <w:smallCaps w:val="false"/>
          <w:sz w:val="20"/>
        </w:rPr>
        <w:t xml:space="preserve"> the negative adverse event profiles associated with current DED pharmaceutical product choices.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preparing for the upcoming launch of VEVYE, it has become evident that most ophthalmologists and optometrists believe strongly in the clinical power of cyclosporine – as a therapeutic agent. This should not be surprising given the </w:t>
      </w:r>
      <w:r>
        <w:rPr>
          <w:rFonts w:ascii="Times New Roman;Times;Serif" w:hAnsi="Times New Roman;Times;Serif"/>
          <w:b w:val="false"/>
          <w:i/>
          <w:caps w:val="false"/>
          <w:smallCaps w:val="false"/>
          <w:sz w:val="20"/>
        </w:rPr>
        <w:t>tens of millions</w:t>
      </w:r>
      <w:r>
        <w:rPr>
          <w:rFonts w:ascii="Times New Roman;Times;Serif" w:hAnsi="Times New Roman;Times;Serif"/>
          <w:b w:val="false"/>
          <w:i w:val="false"/>
          <w:caps w:val="false"/>
          <w:smallCaps w:val="false"/>
          <w:sz w:val="20"/>
        </w:rPr>
        <w:t xml:space="preserve"> of U.S. patients prescribed cyclosporine during the past 20 years. However, VEVYE is very different from the currently available cyclosporine-based products, not only because of the comfort and many benefits of its patented delivery vehicle – only the second “water-free” product in the U.S. market – but also because it offers the highest available concentration of cyclosporine. </w:t>
      </w:r>
      <w:r>
        <w:rPr>
          <w:rFonts w:ascii="Times New Roman;Times;Serif" w:hAnsi="Times New Roman;Times;Serif"/>
          <w:b w:val="false"/>
          <w:i/>
          <w:caps w:val="false"/>
          <w:smallCaps w:val="false"/>
          <w:sz w:val="20"/>
        </w:rPr>
        <w:t>This puts VEVYE in a class of its own</w:t>
      </w:r>
      <w:r>
        <w:rPr>
          <w:rFonts w:ascii="Times New Roman;Times;Serif" w:hAnsi="Times New Roman;Times;Serif"/>
          <w:b w:val="false"/>
          <w:i w:val="false"/>
          <w:caps w:val="false"/>
          <w:smallCaps w:val="false"/>
          <w:sz w:val="20"/>
        </w:rPr>
        <w:t>. I can’t wait to get VEVYE in the hands of Harrow’s existing prescribers and those we believe will become prescribers of Harrow products during the VEVYE launch.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final comment on VEVYE: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recently returned from my first visit to the American Academy of Optometry (AAOpt) annual meeting, which was held in New Orleans. There, we had a medical advisory board (MAB) meeting that included the “who’s who” in U.S. optometry. (As an FYI, data shows that optometrists are responsible for writing about 50% of the U.S. prescriptions for dry eye medications.) I didn’t know what to expect from such an esteemed group as they listened to the scientific presentation of the VEVYE data and discussed potential “holes” in VEVYE’s value proposition and clinical benefits.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what I heard at AAOpt and the recent American Academy of Ophthalmology (AAO) meeting in San Francisco, I have a strong conviction that VEVYE is a winner! This slide from the VEVYE scientific materials, which describes consistent improvement in both signs and symptoms for DED patients – </w:t>
      </w:r>
      <w:r>
        <w:rPr>
          <w:rFonts w:ascii="Times New Roman;Times;Serif" w:hAnsi="Times New Roman;Times;Serif"/>
          <w:b w:val="false"/>
          <w:i/>
          <w:caps w:val="false"/>
          <w:smallCaps w:val="false"/>
          <w:sz w:val="20"/>
        </w:rPr>
        <w:t xml:space="preserve">over an entire year, </w:t>
      </w:r>
      <w:r>
        <w:rPr>
          <w:rFonts w:ascii="Times New Roman;Times;Serif" w:hAnsi="Times New Roman;Times;Serif"/>
          <w:b w:val="false"/>
          <w:i w:val="false"/>
          <w:caps w:val="false"/>
          <w:smallCaps w:val="false"/>
          <w:sz w:val="20"/>
        </w:rPr>
        <w:t>says it all:</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29225"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29225" cy="3019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was presented by David Wirta, MD, in a paper entitled “</w:t>
            </w:r>
            <w:r>
              <w:rPr>
                <w:rFonts w:ascii="Times New Roman;Times;Serif" w:hAnsi="Times New Roman;Times;Serif"/>
                <w:b w:val="false"/>
                <w:i/>
                <w:caps w:val="false"/>
                <w:smallCaps w:val="false"/>
                <w:sz w:val="20"/>
              </w:rPr>
              <w:t>Long-Term Safety and Efficacy of a Water-Free Cyclosporine Ophthalmic Solution for the Treatment of Dry-Eye Disease: Essence-2-OLE Study,”</w:t>
            </w:r>
            <w:r>
              <w:rPr>
                <w:rFonts w:ascii="Times New Roman;Times;Serif" w:hAnsi="Times New Roman;Times;Serif"/>
                <w:b w:val="false"/>
                <w:i w:val="false"/>
                <w:caps w:val="false"/>
                <w:smallCaps w:val="false"/>
                <w:sz w:val="20"/>
              </w:rPr>
              <w:t xml:space="preserve"> during the American Society of Cataract and Refractive Surgery (ASCRS) annual meeting in San Diego in May 2023.</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AAOpt advisory board meeting, one Key Opinion Leader (KOL) observing this slide reflected, “I’d show my colleagues this slide and be done – it’s the best data I’ve ever seen in my career.”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begin to record our first VEVYE revenues by the end of 2023 and deploy additional resources in January at the 2024 Royal Hawaiian Eye Meeting as we more fully launch VEVYE in the U.S. market.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TRIESENCE Commentary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“diamond” of the Fab Five transaction was TRIESENCE, a high utility J-Coded buy-and-bill triamcinolone acetonide suspension that has been on the FDA’s drug shortage list for most of the past five years. For Harrow, bringing TRIESENCE back to the U.S. market is a strategic imperative – </w:t>
      </w:r>
      <w:r>
        <w:rPr>
          <w:rFonts w:ascii="Times New Roman;Times;Serif" w:hAnsi="Times New Roman;Times;Serif"/>
          <w:b w:val="false"/>
          <w:i/>
          <w:caps w:val="false"/>
          <w:smallCaps w:val="false"/>
          <w:sz w:val="20"/>
        </w:rPr>
        <w:t>and we will succeed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last quarter’s Letter to Stockholders, we reported that demo batches of TRIESENCE were completed, and we were awaiting results from the first of three process performance qualification (PPQ) batches. While we were not naïve about the fact that TRIESENCE is a tricky product to manufacture, contributing to its out-of-stock status for most of the last five years, we are nevertheless disappointed to report that our first PPQ batch did not meet all specifications.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investigation into the potential cause of the out-of-specification TRIESENCE PPQ batch, we remain committed to getting TRIESENCE back in stock and available to physicians during 2024. Once TRIESENCE is available to sell to our wholesaler partners, Harrow could begin to record TRIESENCE revenues. We continue to work diligently with our contracted manufacturing partner to resolve manufacturing challenges, achieve inventory build, and be able to supply TRIESENCE to U.S. ECPs, who we are highly confident are eager to purchase TRIESENCE once it is again available.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positive note, as we focus on finalizing manufacturing inventory for TRIESENCE, we also continue to make good progress in getting the NDA for TRIESENCE transferred to Harrow, which will allow us to reasonably adjust the price of TRIESENCE for the first time in 12 years. This price increase will be vital in ensuring that we can manufacture and build an inventory of TRIESENCE, thus keeping it in stock and available for the 600,000 internally estimated annual use cases for TRIESENCE. As of today, we expect that the NDA transfer will be completed before a TRIESENCE re-launch and that the agreed upon acquisition purchase price will continue to be due when inventory is made commercially available for sale.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Investments and Royalties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has non-controlling equity positions in three companies founded as Harrow subsidiaries before being deconsolidated into independent and separately managed companies: (1) </w:t>
      </w:r>
      <w:r>
        <w:rPr>
          <w:rFonts w:ascii="Times New Roman;Times;Serif" w:hAnsi="Times New Roman;Times;Serif"/>
          <w:b w:val="false"/>
          <w:i w:val="false"/>
          <w:caps w:val="false"/>
          <w:smallCaps w:val="false"/>
          <w:sz w:val="20"/>
          <w:u w:val="single"/>
        </w:rPr>
        <w:t>Melt Pharmaceuticals</w:t>
      </w:r>
      <w:r>
        <w:rPr>
          <w:rFonts w:ascii="Times New Roman;Times;Serif" w:hAnsi="Times New Roman;Times;Serif"/>
          <w:b w:val="false"/>
          <w:i w:val="false"/>
          <w:caps w:val="false"/>
          <w:smallCaps w:val="false"/>
          <w:sz w:val="20"/>
        </w:rPr>
        <w:t xml:space="preserve">, (2) </w:t>
      </w:r>
      <w:r>
        <w:rPr>
          <w:rFonts w:ascii="Times New Roman;Times;Serif" w:hAnsi="Times New Roman;Times;Serif"/>
          <w:b w:val="false"/>
          <w:i w:val="false"/>
          <w:caps w:val="false"/>
          <w:smallCaps w:val="false"/>
          <w:sz w:val="20"/>
          <w:u w:val="single"/>
        </w:rPr>
        <w:t>Eton Pharmaceuticals</w:t>
      </w:r>
      <w:r>
        <w:rPr>
          <w:rFonts w:ascii="Times New Roman;Times;Serif" w:hAnsi="Times New Roman;Times;Serif"/>
          <w:b w:val="false"/>
          <w:i w:val="false"/>
          <w:caps w:val="false"/>
          <w:smallCaps w:val="false"/>
          <w:sz w:val="20"/>
        </w:rPr>
        <w:t xml:space="preserve">, and (3) </w:t>
      </w:r>
      <w:r>
        <w:rPr>
          <w:rFonts w:ascii="Times New Roman;Times;Serif" w:hAnsi="Times New Roman;Times;Serif"/>
          <w:b w:val="false"/>
          <w:i w:val="false"/>
          <w:caps w:val="false"/>
          <w:smallCaps w:val="false"/>
          <w:sz w:val="20"/>
          <w:u w:val="single"/>
        </w:rPr>
        <w:t>Surface Ophthalmics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by Harrow in 2018, Melt Pharmaceuticals is developing a non-IV and non-opioid sedation platform for ophthalmic surgical procedures such as cataract surgery and the more than 100 million annual medical procedures requiring sedation. The Melt team has been raising the balance of the capital required to complete its Phase 3 program for its lead drug candidate, MELT-300. I am pleased to report that as of today, Melt has raised nearly $20 million in new capital at a $70 million pre-money valuation, a significant increase from the Series A valuation. Melt is in the final stages of closing on the last bit of capital of its Series B financing to complete the MELT-300 program through the NDA stage.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 owns 36% of Melt’s equity interests, (ii) holds a $13.5 million principal amount secured note receivable, and (iii) is entitled to a 5% royalty interest in MELT-300.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continue to be excited about being a shareholder of both Eton Pharmaceuticals and Surface Ophthalmics, and we look forward to continuing to follow their growth in the future.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2023 Guidance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aggregate progress of our business is about 60 days behind, we are adjusting our 2023 revenue guidance from a range of $135 million to $143 million to a range of $129 million to $136 million. If we continue to be successful in the execution of a few open 2023 objectives, including IHEEZO sales growing outside the bounds we anticipated at this stage of the launch, and the timing of future milestones unfolds in our favor, we could land toward the higher end of the range. Regardless, our business remains solidly in a growth mode for the balance of our five-year planning cycle, which includes 2024 and continues through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adjusting our previously issued 2023 Adjusted EBITDA guidance from a range of $44 million to $50 million to a range of $36 million to $41 million, primarily because of lower revenue estimates coupled with increased costs associated with recent acquisitions, needed investments in preparation for the launch of VEVYE®, and one-time integration costs of the recently acquired Santen products.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Preliminary 2024 Financial Guidance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stockholders know that Andrew and I have been hesitant to make public financial guidance statements for many years. However, we appreciate that our stockholders deserve some reasonable level of visibility into what we are seeing and expecting, as a financial base case, in prospective periods. Therefore, below are a few items that reflect our current view on the coming annual period:</w:t>
      </w:r>
    </w:p>
    <w:p>
      <w:pPr>
        <w:pStyle w:val="TextBody"/>
        <w:bidi w:val="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185"/>
        <w:gridCol w:w="84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Excluding any contribution from TRIESENCE</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111111"/>
                <w:sz w:val="20"/>
              </w:rPr>
              <w:t xml:space="preserve">, we expect our 2024 revenues to be over $180 million.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The magnitude of revenue growth beyond $180 million will depend on many factors, including when we restore TRIESENCE inventory, accelerate IHEEZO sales, and generate new revenues from VEVYE.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Beginning in the first quarter of 2024, we expect (i) moderate revenue growth from our recently acquired FDA-approved products (the Fab Five and those we acquired from Santen) and (ii) the recovery of our compounding business to historical growth levels.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cost structure perspective, we expect our operating costs to increase incrementally as we scale our business to grow revenues and invest in the VEVYE launch.</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We expect to continue investing in our commercial infrastructure while maintaining our leverage ratio (debt/Adjusted EBITDA) below five times. </w:t>
            </w:r>
          </w:p>
        </w:tc>
      </w:tr>
    </w:tbl>
    <w:tbl>
      <w:tblPr>
        <w:tblW w:w="7510" w:type="dxa"/>
        <w:jc w:val="left"/>
        <w:tblInd w:w="0" w:type="dxa"/>
        <w:tblLayout w:type="fixed"/>
        <w:tblCellMar>
          <w:top w:w="0" w:type="dxa"/>
          <w:left w:w="0" w:type="dxa"/>
          <w:bottom w:w="0" w:type="dxa"/>
          <w:right w:w="0" w:type="dxa"/>
        </w:tblCellMar>
      </w:tblPr>
      <w:tblGrid>
        <w:gridCol w:w="185"/>
        <w:gridCol w:w="73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close 2024 with a strong balance sheet, with cash increasing during the year.</w:t>
            </w:r>
          </w:p>
        </w:tc>
      </w:tr>
    </w:tbl>
    <w:tbl>
      <w:tblPr>
        <w:tblW w:w="5890" w:type="dxa"/>
        <w:jc w:val="left"/>
        <w:tblInd w:w="0" w:type="dxa"/>
        <w:tblLayout w:type="fixed"/>
        <w:tblCellMar>
          <w:top w:w="0" w:type="dxa"/>
          <w:left w:w="0" w:type="dxa"/>
          <w:bottom w:w="0" w:type="dxa"/>
          <w:right w:w="0" w:type="dxa"/>
        </w:tblCellMar>
      </w:tblPr>
      <w:tblGrid>
        <w:gridCol w:w="185"/>
        <w:gridCol w:w="570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confident in meeting our obligations to Harrow’s creditors.</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we expect to focus on operations, specifically on leveraging Harrow’s branded portfolio, which is one of the most comprehensive in the U.S. market.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Closing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the CEO of Harrow allows me plenty of credit when things go well, as things have for most of the past decade. On the other hand, when things disappoint, I must be willing to take the upbraiding. While I am proud of the work we accomplished in the third quarter – including achieving record revenues that represent a 50% year-over-year increase – I wish we had made the strategic amendments to the IHEEZO plan earlier in the period, that we could have started our Fab Five commercial efforts sooner, and that we didn’t experience the recent temporary disruptions to our compounding business. This is not just wishful thinking; it reflects how we could have extracted better performance from our business during this last quarter and, in turn, drive more potential for the year.</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40" w:after="4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my self-criticism, I feel inspired by slide #5 of our corporate presentation. This slide illustrates our remarkable financial journey, with revenues of $49 million in 2020, $72 million in 2021, and $89 million in 2022. As we set our sights on achieving, and hopefully surpassing, our revenue projections for 2023, targeting a minimum of $129 million, and for 2024, aiming for a minimum of $180 million, we are on track to nearly </w:t>
      </w:r>
      <w:r>
        <w:rPr>
          <w:rFonts w:ascii="Times New Roman;Times;Serif" w:hAnsi="Times New Roman;Times;Serif"/>
          <w:b w:val="false"/>
          <w:i/>
          <w:caps w:val="false"/>
          <w:smallCaps w:val="false"/>
          <w:sz w:val="20"/>
        </w:rPr>
        <w:t>quadruple our revenue in just four years</w:t>
      </w:r>
      <w:r>
        <w:rPr>
          <w:rFonts w:ascii="Times New Roman;Times;Serif" w:hAnsi="Times New Roman;Times;Serif"/>
          <w:b w:val="false"/>
          <w:i w:val="false"/>
          <w:caps w:val="false"/>
          <w:smallCaps w:val="false"/>
          <w:sz w:val="20"/>
        </w:rPr>
        <w:t>. We also have plenty of cash and should have an even larger pile of cash at the end of next year. Every member of the Harrow Family and each Harrow stockholder should be proud of our extraordinary growth.</w:t>
      </w:r>
    </w:p>
    <w:p>
      <w:pPr>
        <w:pStyle w:val="TextBody"/>
        <w:bidi w:val="0"/>
        <w:jc w:val="both"/>
        <w:rPr>
          <w:caps w:val="false"/>
          <w:smallCaps w:val="false"/>
        </w:rPr>
      </w:pPr>
      <w:r>
        <w:rPr>
          <w:caps w:val="false"/>
          <w:smallCaps w:val="false"/>
        </w:rPr>
        <w:t> </w:t>
      </w:r>
    </w:p>
    <w:p>
      <w:pPr>
        <w:pStyle w:val="TextBody"/>
        <w:bidi w:val="0"/>
        <w:spacing w:before="40" w:after="4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appreciate your trust and patience as we meet the moment and opportunity. </w:t>
      </w:r>
      <w:r>
        <w:rPr>
          <w:rFonts w:ascii="Times New Roman;Times;Serif" w:hAnsi="Times New Roman;Times;Serif"/>
          <w:b w:val="false"/>
          <w:i/>
          <w:caps w:val="false"/>
          <w:smallCaps w:val="false"/>
          <w:sz w:val="20"/>
        </w:rPr>
        <w:t>I look forward to updating you again in my next Letter to Stockholders in March of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Harrow’s current </w:t>
      </w:r>
      <w:r>
        <w:rPr>
          <w:rFonts w:ascii="Times New Roman;Times;Serif" w:hAnsi="Times New Roman;Times;Serif"/>
          <w:b w:val="false"/>
          <w:i/>
          <w:caps w:val="false"/>
          <w:smallCaps w:val="false"/>
          <w:sz w:val="20"/>
        </w:rPr>
        <w:t>Corporate Presentation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bidi w:val="0"/>
        <w:jc w:val="both"/>
        <w:rPr>
          <w:caps w:val="false"/>
          <w:smallCaps w:val="false"/>
        </w:rPr>
      </w:pPr>
      <w:r>
        <w:rPr>
          <w:caps w:val="false"/>
          <w:smallCaps w:val="false"/>
        </w:rPr>
        <w:t> </w:t>
      </w:r>
    </w:p>
    <w:tbl>
      <w:tblPr>
        <w:tblW w:w="3970" w:type="dxa"/>
        <w:jc w:val="left"/>
        <w:tblInd w:w="0" w:type="dxa"/>
        <w:tblLayout w:type="fixed"/>
        <w:tblCellMar>
          <w:top w:w="0" w:type="dxa"/>
          <w:left w:w="0" w:type="dxa"/>
          <w:bottom w:w="28" w:type="dxa"/>
          <w:right w:w="0" w:type="dxa"/>
        </w:tblCellMar>
      </w:tblPr>
      <w:tblGrid>
        <w:gridCol w:w="575"/>
        <w:gridCol w:w="60"/>
        <w:gridCol w:w="725"/>
        <w:gridCol w:w="60"/>
        <w:gridCol w:w="60"/>
        <w:gridCol w:w="725"/>
        <w:gridCol w:w="60"/>
        <w:gridCol w:w="60"/>
        <w:gridCol w:w="725"/>
        <w:gridCol w:w="60"/>
        <w:gridCol w:w="60"/>
        <w:gridCol w:w="725"/>
        <w:gridCol w:w="75"/>
      </w:tblGrid>
      <w:tr>
        <w:trPr/>
        <w:tc>
          <w:tcPr>
            <w:tcW w:w="575" w:type="dxa"/>
            <w:tcBorders>
              <w:bottom w:val="single" w:sz="12" w:space="0" w:color="000000"/>
            </w:tcBorders>
            <w:vAlign w:val="center"/>
          </w:tcPr>
          <w:p>
            <w:pPr>
              <w:pStyle w:val="TableContents"/>
              <w:bidi w:val="0"/>
              <w:spacing w:before="0" w:after="283"/>
              <w:jc w:val="center"/>
              <w:rPr/>
            </w:pPr>
            <w:r>
              <w:rPr/>
              <w:t>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pPr>
            <w:r>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pPr>
            <w:r>
              <w:rPr/>
              <w:t>2021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pPr>
            <w:r>
              <w:rPr/>
              <w:t>2020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pPr>
            <w:r>
              <w:rPr/>
              <w:t>2019</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4Q 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4Q 2021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4Q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4Q 2019</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5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3Q 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3Q 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3Q 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3Q 2019</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575" w:type="dxa"/>
            <w:tcBorders/>
            <w:shd w:fill="CCEEFF" w:val="clear"/>
            <w:tcMar>
              <w:bottom w:w="0" w:type="dxa"/>
            </w:tcMar>
            <w:vAlign w:val="center"/>
          </w:tcPr>
          <w:p>
            <w:pPr>
              <w:pStyle w:val="TableContents"/>
              <w:bidi w:val="0"/>
              <w:spacing w:before="0" w:after="283"/>
              <w:jc w:val="center"/>
              <w:rPr/>
            </w:pPr>
            <w:r>
              <w:rPr/>
              <w:t>2Q23</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2Q 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2Q 2021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2Q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pPr>
            <w:r>
              <w:rPr/>
              <w:t> </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575" w:type="dxa"/>
            <w:tcBorders/>
            <w:shd w:fill="FFFFFF" w:val="clear"/>
            <w:tcMar>
              <w:bottom w:w="0" w:type="dxa"/>
            </w:tcMar>
            <w:vAlign w:val="center"/>
          </w:tcPr>
          <w:p>
            <w:pPr>
              <w:pStyle w:val="TableContents"/>
              <w:bidi w:val="0"/>
              <w:spacing w:before="0" w:after="283"/>
              <w:jc w:val="center"/>
              <w:rPr/>
            </w:pPr>
            <w:r>
              <w:rPr/>
              <w:t>1Q23</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1Q 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1Q 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1Q 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Quarterly Reports on Form 10-Q, and other filings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loss, and core diluted net loss per share. A reconciliation of non-GAAP measures with the most directly comparable GAAP measures is included in this letter.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(income)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and nine months ended September 30, 2023, and for the same periods in 2022:</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1"/>
        <w:gridCol w:w="60"/>
        <w:gridCol w:w="215"/>
        <w:gridCol w:w="1627"/>
        <w:gridCol w:w="146"/>
        <w:gridCol w:w="91"/>
        <w:gridCol w:w="215"/>
        <w:gridCol w:w="1627"/>
        <w:gridCol w:w="95"/>
        <w:gridCol w:w="60"/>
        <w:gridCol w:w="143"/>
        <w:gridCol w:w="1204"/>
        <w:gridCol w:w="97"/>
        <w:gridCol w:w="61"/>
        <w:gridCol w:w="143"/>
        <w:gridCol w:w="1204"/>
        <w:gridCol w:w="116"/>
      </w:tblGrid>
      <w:tr>
        <w:trPr/>
        <w:tc>
          <w:tcPr>
            <w:tcW w:w="3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116"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4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27" w:type="dxa"/>
            <w:tcBorders/>
            <w:shd w:fill="CCEEFF" w:val="clear"/>
            <w:vAlign w:val="center"/>
          </w:tcPr>
          <w:p>
            <w:pPr>
              <w:pStyle w:val="TableContents"/>
              <w:bidi w:val="0"/>
              <w:spacing w:before="0" w:after="283"/>
              <w:jc w:val="right"/>
              <w:rPr/>
            </w:pPr>
            <w:r>
              <w:rPr/>
              <w:t>(4,391,000</w:t>
            </w:r>
          </w:p>
        </w:tc>
        <w:tc>
          <w:tcPr>
            <w:tcW w:w="14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27" w:type="dxa"/>
            <w:tcBorders/>
            <w:shd w:fill="CCEEFF" w:val="clear"/>
            <w:vAlign w:val="center"/>
          </w:tcPr>
          <w:p>
            <w:pPr>
              <w:pStyle w:val="TableContents"/>
              <w:bidi w:val="0"/>
              <w:spacing w:before="0" w:after="283"/>
              <w:jc w:val="right"/>
              <w:rPr/>
            </w:pPr>
            <w:r>
              <w:rPr/>
              <w:t>(6,464,000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(15,263,000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(15,141,000</w:t>
            </w:r>
          </w:p>
        </w:tc>
        <w:tc>
          <w:tcPr>
            <w:tcW w:w="116" w:type="dxa"/>
            <w:tcBorders/>
            <w:shd w:fill="CCEEFF" w:val="clear"/>
            <w:vAlign w:val="center"/>
          </w:tcPr>
          <w:p>
            <w:pPr>
              <w:pStyle w:val="TableContents"/>
              <w:bidi w:val="0"/>
              <w:spacing w:before="0" w:after="283"/>
              <w:jc w:val="left"/>
              <w:rPr/>
            </w:pPr>
            <w:r>
              <w:rPr/>
              <w:t>)</w:t>
            </w:r>
          </w:p>
        </w:tc>
      </w:tr>
      <w:tr>
        <w:trPr/>
        <w:tc>
          <w:tcPr>
            <w:tcW w:w="3101"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pPr>
            <w:r>
              <w:rPr/>
              <w:t>4,476,000</w:t>
            </w:r>
          </w:p>
        </w:tc>
        <w:tc>
          <w:tcPr>
            <w:tcW w:w="14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pPr>
            <w:r>
              <w:rPr/>
              <w:t>1,932,000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11,521,000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5,941,000</w:t>
            </w:r>
          </w:p>
        </w:tc>
        <w:tc>
          <w:tcPr>
            <w:tcW w:w="116" w:type="dxa"/>
            <w:tcBorders/>
            <w:shd w:fill="FFFFFF" w:val="clear"/>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right"/>
              <w:rPr/>
            </w:pPr>
            <w:r>
              <w:rPr/>
              <w:t>5,749,000</w:t>
            </w:r>
          </w:p>
        </w:tc>
        <w:tc>
          <w:tcPr>
            <w:tcW w:w="14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right"/>
              <w:rPr/>
            </w:pPr>
            <w:r>
              <w:rPr/>
              <w:t>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16,200,000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5,386,000</w:t>
            </w:r>
          </w:p>
        </w:tc>
        <w:tc>
          <w:tcPr>
            <w:tcW w:w="116" w:type="dxa"/>
            <w:tcBorders/>
            <w:shd w:fill="CCEEFF" w:val="clear"/>
            <w:vAlign w:val="center"/>
          </w:tcPr>
          <w:p>
            <w:pPr>
              <w:pStyle w:val="TableContents"/>
              <w:bidi w:val="0"/>
              <w:spacing w:before="0" w:after="283"/>
              <w:jc w:val="left"/>
              <w:rPr/>
            </w:pPr>
            <w:r>
              <w:rPr/>
              <w:t> </w:t>
            </w:r>
          </w:p>
        </w:tc>
      </w:tr>
      <w:tr>
        <w:trPr/>
        <w:tc>
          <w:tcPr>
            <w:tcW w:w="3101"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pPr>
            <w:r>
              <w:rPr/>
              <w:t>1,539,000</w:t>
            </w:r>
          </w:p>
        </w:tc>
        <w:tc>
          <w:tcPr>
            <w:tcW w:w="14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1,236,000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75,000</w:t>
            </w:r>
          </w:p>
        </w:tc>
        <w:tc>
          <w:tcPr>
            <w:tcW w:w="116" w:type="dxa"/>
            <w:tcBorders/>
            <w:shd w:fill="FFFFFF" w:val="clear"/>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right"/>
              <w:rPr/>
            </w:pPr>
            <w:r>
              <w:rPr/>
              <w:t>405,000</w:t>
            </w:r>
          </w:p>
        </w:tc>
        <w:tc>
          <w:tcPr>
            <w:tcW w:w="14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right"/>
              <w:rPr/>
            </w:pPr>
            <w:r>
              <w:rPr/>
              <w:t>247,000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1,095,000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1,090,000</w:t>
            </w:r>
          </w:p>
        </w:tc>
        <w:tc>
          <w:tcPr>
            <w:tcW w:w="116" w:type="dxa"/>
            <w:tcBorders/>
            <w:shd w:fill="CCEEFF" w:val="clear"/>
            <w:vAlign w:val="center"/>
          </w:tcPr>
          <w:p>
            <w:pPr>
              <w:pStyle w:val="TableContents"/>
              <w:bidi w:val="0"/>
              <w:spacing w:before="0" w:after="283"/>
              <w:jc w:val="left"/>
              <w:rPr/>
            </w:pPr>
            <w:r>
              <w:rPr/>
              <w:t> </w:t>
            </w:r>
          </w:p>
        </w:tc>
      </w:tr>
      <w:tr>
        <w:trPr/>
        <w:tc>
          <w:tcPr>
            <w:tcW w:w="3101"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pPr>
            <w:r>
              <w:rPr/>
              <w:t>2,584,000</w:t>
            </w:r>
          </w:p>
        </w:tc>
        <w:tc>
          <w:tcPr>
            <w:tcW w:w="14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pPr>
            <w:r>
              <w:rPr/>
              <w:t>398,000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7,634,000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1,200,000</w:t>
            </w:r>
          </w:p>
        </w:tc>
        <w:tc>
          <w:tcPr>
            <w:tcW w:w="116" w:type="dxa"/>
            <w:tcBorders/>
            <w:shd w:fill="FFFFFF" w:val="clear"/>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283"/>
              <w:jc w:val="left"/>
              <w:rPr/>
            </w:pPr>
            <w:r>
              <w:rPr/>
              <w:t>Investment (income) loss, net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right"/>
              <w:rPr/>
            </w:pPr>
            <w:r>
              <w:rPr/>
              <w:t>(1,348,000</w:t>
            </w:r>
          </w:p>
        </w:tc>
        <w:tc>
          <w:tcPr>
            <w:tcW w:w="14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right"/>
              <w:rPr/>
            </w:pPr>
            <w:r>
              <w:rPr/>
              <w:t>4,535,000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(2,676,000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13,377,000</w:t>
            </w:r>
          </w:p>
        </w:tc>
        <w:tc>
          <w:tcPr>
            <w:tcW w:w="116" w:type="dxa"/>
            <w:tcBorders/>
            <w:shd w:fill="CCEEFF" w:val="clear"/>
            <w:vAlign w:val="center"/>
          </w:tcPr>
          <w:p>
            <w:pPr>
              <w:pStyle w:val="TableContents"/>
              <w:bidi w:val="0"/>
              <w:spacing w:before="0" w:after="283"/>
              <w:jc w:val="left"/>
              <w:rPr/>
            </w:pPr>
            <w:r>
              <w:rPr/>
              <w:t> </w:t>
            </w:r>
          </w:p>
        </w:tc>
      </w:tr>
      <w:tr>
        <w:trPr/>
        <w:tc>
          <w:tcPr>
            <w:tcW w:w="3101"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7" w:type="dxa"/>
            <w:tcBorders>
              <w:bottom w:val="single" w:sz="12" w:space="0" w:color="000000"/>
            </w:tcBorders>
            <w:shd w:fill="FFFFFF" w:val="clear"/>
            <w:tcMar>
              <w:bottom w:w="28" w:type="dxa"/>
            </w:tcMar>
            <w:vAlign w:val="center"/>
          </w:tcPr>
          <w:p>
            <w:pPr>
              <w:pStyle w:val="TableContents"/>
              <w:bidi w:val="0"/>
              <w:spacing w:before="0" w:after="283"/>
              <w:jc w:val="right"/>
              <w:rPr/>
            </w:pPr>
            <w:r>
              <w:rPr/>
              <w:t>195,000</w:t>
            </w:r>
          </w:p>
        </w:tc>
        <w:tc>
          <w:tcPr>
            <w:tcW w:w="14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pBdr>
                <w:bottom w:val="single" w:sz="4" w:space="1" w:color="000000"/>
              </w:pBdr>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5,809,000</w:t>
              <w:tab/>
            </w:r>
            <w:r>
              <w:rPr>
                <w:rFonts w:ascii="Times New Roman;Times;Serif" w:hAnsi="Times New Roman;Times;Serif"/>
                <w:b w:val="false"/>
                <w:i w:val="false"/>
                <w:caps w:val="false"/>
                <w:smallCaps w:val="false"/>
                <w:position w:val="7"/>
                <w:sz w:val="16"/>
                <w:sz w:val="20"/>
              </w:rPr>
              <w:t>(1)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9,209,000</w:t>
            </w:r>
          </w:p>
        </w:tc>
        <w:tc>
          <w:tcPr>
            <w:tcW w:w="14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25,556,000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11,928,000</w:t>
            </w:r>
          </w:p>
        </w:tc>
        <w:tc>
          <w:tcPr>
            <w:tcW w:w="11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income, core operating income, core basic and diluted loss per share, and core operating margin,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and nine months ended September 30, 2023, and for the same periods in 2022:</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3"/>
        <w:gridCol w:w="60"/>
        <w:gridCol w:w="140"/>
        <w:gridCol w:w="1100"/>
        <w:gridCol w:w="215"/>
        <w:gridCol w:w="60"/>
        <w:gridCol w:w="247"/>
        <w:gridCol w:w="1738"/>
        <w:gridCol w:w="60"/>
        <w:gridCol w:w="60"/>
        <w:gridCol w:w="140"/>
        <w:gridCol w:w="1055"/>
        <w:gridCol w:w="95"/>
        <w:gridCol w:w="60"/>
        <w:gridCol w:w="140"/>
        <w:gridCol w:w="800"/>
        <w:gridCol w:w="60"/>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September 30, 2023</w:t>
            </w:r>
          </w:p>
        </w:tc>
      </w:tr>
      <w:tr>
        <w:trPr/>
        <w:tc>
          <w:tcPr>
            <w:tcW w:w="26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5"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24,198,000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738" w:type="dxa"/>
            <w:tcBorders/>
            <w:shd w:fill="CCEEFF" w:val="clear"/>
            <w:tcMar>
              <w:bottom w:w="0" w:type="dxa"/>
            </w:tcMar>
            <w:vAlign w:val="center"/>
          </w:tcPr>
          <w:p>
            <w:pPr>
              <w:pStyle w:val="TableContents"/>
              <w:bidi w:val="0"/>
              <w:spacing w:before="0" w:after="283"/>
              <w:jc w:val="right"/>
              <w:rPr/>
            </w:pPr>
            <w:r>
              <w:rPr/>
              <w:t>2,480,000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26,678,000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43"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1,744,000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2,584,000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4,328,000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(2,852,000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2,584,000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(1,421,000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43"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(1,539,000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(1,539,000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43"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(4,391,000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2,584,000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(2,960,000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(0.09</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43"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34,255,197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34,255,197</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82"/>
        <w:gridCol w:w="60"/>
        <w:gridCol w:w="140"/>
        <w:gridCol w:w="1175"/>
        <w:gridCol w:w="215"/>
        <w:gridCol w:w="60"/>
        <w:gridCol w:w="211"/>
        <w:gridCol w:w="1481"/>
        <w:gridCol w:w="60"/>
        <w:gridCol w:w="60"/>
        <w:gridCol w:w="140"/>
        <w:gridCol w:w="1055"/>
        <w:gridCol w:w="95"/>
        <w:gridCol w:w="60"/>
        <w:gridCol w:w="140"/>
        <w:gridCol w:w="98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Nine Months Ended September 30, 2023</w:t>
            </w:r>
          </w:p>
        </w:tc>
      </w:tr>
      <w:tr>
        <w:trPr/>
        <w:tc>
          <w:tcPr>
            <w:tcW w:w="26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2" w:type="dxa"/>
            <w:gridSpan w:val="2"/>
            <w:tcBorders>
              <w:bottom w:val="single" w:sz="12"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68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65,500,000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481" w:type="dxa"/>
            <w:tcBorders/>
            <w:shd w:fill="CCEEFF" w:val="clear"/>
            <w:tcMar>
              <w:bottom w:w="0" w:type="dxa"/>
            </w:tcMar>
            <w:vAlign w:val="center"/>
          </w:tcPr>
          <w:p>
            <w:pPr>
              <w:pStyle w:val="TableContents"/>
              <w:bidi w:val="0"/>
              <w:spacing w:before="0" w:after="283"/>
              <w:jc w:val="right"/>
              <w:rPr/>
            </w:pPr>
            <w:r>
              <w:rPr/>
              <w:t>7,174,000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72,674,000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68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82"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5,306,000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7,634,000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12,940,000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682"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(14,027,000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7,634,000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(2,676,000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5,786,000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(3,283,000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82"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(1,236,000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(1,236,000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682"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(15,263,000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7,634,000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(2,676,000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5,786,000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(4,519,000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(0.14</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682"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31,689,947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31,689,947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47"/>
        <w:gridCol w:w="60"/>
        <w:gridCol w:w="140"/>
        <w:gridCol w:w="1100"/>
        <w:gridCol w:w="215"/>
        <w:gridCol w:w="60"/>
        <w:gridCol w:w="215"/>
        <w:gridCol w:w="1237"/>
        <w:gridCol w:w="60"/>
        <w:gridCol w:w="60"/>
        <w:gridCol w:w="140"/>
        <w:gridCol w:w="980"/>
        <w:gridCol w:w="60"/>
        <w:gridCol w:w="60"/>
        <w:gridCol w:w="140"/>
        <w:gridCol w:w="1100"/>
        <w:gridCol w:w="231"/>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Three Months Ended September 30, 2022</w:t>
            </w:r>
          </w:p>
        </w:tc>
      </w:tr>
      <w:tr>
        <w:trPr/>
        <w:tc>
          <w:tcPr>
            <w:tcW w:w="43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2"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Amortization</w:t>
              <w:br/>
              <w:t>of Certain Intangible</w:t>
            </w:r>
          </w:p>
          <w:p>
            <w:pPr>
              <w:pStyle w:val="TableContents"/>
              <w:pBdr/>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4347"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16,102,000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7" w:type="dxa"/>
            <w:tcBorders/>
            <w:shd w:fill="CCEEFF" w:val="clear"/>
            <w:tcMar>
              <w:bottom w:w="0" w:type="dxa"/>
            </w:tcMar>
            <w:vAlign w:val="center"/>
          </w:tcPr>
          <w:p>
            <w:pPr>
              <w:pStyle w:val="TableContents"/>
              <w:bidi w:val="0"/>
              <w:spacing w:before="0" w:after="283"/>
              <w:jc w:val="right"/>
              <w:rPr/>
            </w:pPr>
            <w:r>
              <w:rPr/>
              <w:t>341,000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16,443,000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347"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72</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(94,000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398,000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347"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(6,429,000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4,535,000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(1,496,000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(6,464,000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398,000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4,535,000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(1,531,000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(0.06</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27,349,642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27,349,642</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69"/>
        <w:gridCol w:w="60"/>
        <w:gridCol w:w="140"/>
        <w:gridCol w:w="1175"/>
        <w:gridCol w:w="215"/>
        <w:gridCol w:w="60"/>
        <w:gridCol w:w="179"/>
        <w:gridCol w:w="1256"/>
        <w:gridCol w:w="60"/>
        <w:gridCol w:w="60"/>
        <w:gridCol w:w="140"/>
        <w:gridCol w:w="1100"/>
        <w:gridCol w:w="60"/>
        <w:gridCol w:w="60"/>
        <w:gridCol w:w="140"/>
        <w:gridCol w:w="1100"/>
        <w:gridCol w:w="231"/>
      </w:tblGrid>
      <w:tr>
        <w:trPr/>
        <w:tc>
          <w:tcPr>
            <w:tcW w:w="10205" w:type="dxa"/>
            <w:gridSpan w:val="17"/>
            <w:tcBorders>
              <w:bottom w:val="single" w:sz="12" w:space="0" w:color="000000"/>
            </w:tcBorders>
            <w:vAlign w:val="center"/>
          </w:tcPr>
          <w:p>
            <w:pPr>
              <w:pStyle w:val="TableContents"/>
              <w:bidi w:val="0"/>
              <w:spacing w:before="0" w:after="283"/>
              <w:jc w:val="center"/>
              <w:rPr>
                <w:b/>
              </w:rPr>
            </w:pPr>
            <w:r>
              <w:rPr>
                <w:b/>
              </w:rPr>
              <w:t>For the Nine Months Ended September 30, 2022</w:t>
            </w:r>
          </w:p>
        </w:tc>
      </w:tr>
      <w:tr>
        <w:trPr/>
        <w:tc>
          <w:tcPr>
            <w:tcW w:w="41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Amortization</w:t>
              <w:br/>
              <w:t>of Certain Intangible</w:t>
            </w:r>
          </w:p>
          <w:p>
            <w:pPr>
              <w:pStyle w:val="TableContents"/>
              <w:pBdr/>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4169"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49,048,000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1,023,000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50,071,000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169"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73</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169"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3,697,000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4,897,000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169"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(15,066,000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13,377,000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(489,000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169"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169"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(15,141,000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13,377,000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(564,000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1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169"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27,293,756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27,293,756</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Condensed Consolidated Financial Statements included in the Company’s Quarterly Report on Form 10-Q for the quarter ended September 30, 2023.</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(includes Non-GAAP Values)</w:t>
      </w:r>
    </w:p>
    <w:p>
      <w:pPr>
        <w:pStyle w:val="TextBody"/>
        <w:pBdr/>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4265"/>
        <w:gridCol w:w="60"/>
        <w:gridCol w:w="92"/>
        <w:gridCol w:w="1502"/>
        <w:gridCol w:w="60"/>
        <w:gridCol w:w="60"/>
        <w:gridCol w:w="159"/>
        <w:gridCol w:w="1257"/>
        <w:gridCol w:w="305"/>
      </w:tblGrid>
      <w:tr>
        <w:trPr/>
        <w:tc>
          <w:tcPr>
            <w:tcW w:w="4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At September 30, 2023</w:t>
            </w:r>
          </w:p>
        </w:tc>
        <w:tc>
          <w:tcPr>
            <w:tcW w:w="305" w:type="dxa"/>
            <w:tcBorders/>
            <w:vAlign w:val="center"/>
          </w:tcPr>
          <w:p>
            <w:pPr>
              <w:pStyle w:val="TableContents"/>
              <w:bidi w:val="0"/>
              <w:spacing w:before="0" w:after="283"/>
              <w:jc w:val="left"/>
              <w:rPr/>
            </w:pPr>
            <w:r>
              <w:rPr/>
              <w:t> </w:t>
            </w:r>
          </w:p>
        </w:tc>
      </w:tr>
      <w:tr>
        <w:trPr/>
        <w:tc>
          <w:tcPr>
            <w:tcW w:w="4265" w:type="dxa"/>
            <w:tcBorders>
              <w:bottom w:val="single" w:sz="12" w:space="0" w:color="000000"/>
            </w:tcBorders>
            <w:tcMar>
              <w:bottom w:w="28" w:type="dxa"/>
            </w:tcMar>
            <w:vAlign w:val="center"/>
          </w:tcPr>
          <w:p>
            <w:pPr>
              <w:pStyle w:val="TableContents"/>
              <w:bidi w:val="0"/>
              <w:spacing w:before="0" w:after="283"/>
              <w:jc w:val="center"/>
              <w:rPr>
                <w:b/>
              </w:rPr>
            </w:pPr>
            <w:r>
              <w:rPr>
                <w:b/>
              </w:rPr>
              <w:t>Company</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 xml:space="preserve">Shares of </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pBdr/>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ableContents"/>
              <w:pBdr/>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Value</w:t>
            </w:r>
          </w:p>
        </w:tc>
        <w:tc>
          <w:tcPr>
            <w:tcW w:w="30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both"/>
              <w:rPr/>
            </w:pPr>
            <w:r>
              <w:rPr/>
              <w:t>Eton Pharmaceuticals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1,982,000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8,265,000</w:t>
            </w:r>
          </w:p>
        </w:tc>
        <w:tc>
          <w:tcPr>
            <w:tcW w:w="30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both"/>
              <w:rPr/>
            </w:pPr>
            <w:r>
              <w:rPr/>
              <w:t>Surface Ophthalmics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15,750,000</w:t>
            </w:r>
          </w:p>
        </w:tc>
        <w:tc>
          <w:tcPr>
            <w:tcW w:w="305" w:type="dxa"/>
            <w:tcBorders/>
            <w:shd w:fill="FFFFFF" w:val="clear"/>
            <w:vAlign w:val="center"/>
          </w:tcPr>
          <w:p>
            <w:pPr>
              <w:pStyle w:val="TableContents"/>
              <w:bidi w:val="0"/>
              <w:spacing w:before="0" w:after="283"/>
              <w:jc w:val="left"/>
              <w:rPr/>
            </w:pPr>
            <w:r>
              <w:rPr/>
              <w:t>(1)</w:t>
            </w:r>
          </w:p>
        </w:tc>
      </w:tr>
      <w:tr>
        <w:trPr/>
        <w:tc>
          <w:tcPr>
            <w:tcW w:w="4265" w:type="dxa"/>
            <w:tcBorders/>
            <w:shd w:fill="CCEEFF" w:val="clear"/>
            <w:vAlign w:val="center"/>
          </w:tcPr>
          <w:p>
            <w:pPr>
              <w:pStyle w:val="TableContents"/>
              <w:bidi w:val="0"/>
              <w:spacing w:before="0" w:after="283"/>
              <w:jc w:val="both"/>
              <w:rPr/>
            </w:pPr>
            <w:r>
              <w:rPr/>
              <w:t>Melt Pharmaceuticals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29,750,000</w:t>
            </w:r>
          </w:p>
        </w:tc>
        <w:tc>
          <w:tcPr>
            <w:tcW w:w="305" w:type="dxa"/>
            <w:tcBorders/>
            <w:shd w:fill="CCEEFF" w:val="clear"/>
            <w:vAlign w:val="center"/>
          </w:tcPr>
          <w:p>
            <w:pPr>
              <w:pStyle w:val="TableContents"/>
              <w:bidi w:val="0"/>
              <w:spacing w:before="0" w:after="283"/>
              <w:jc w:val="left"/>
              <w:rPr/>
            </w:pPr>
            <w:r>
              <w:rPr/>
              <w:t>(2)</w:t>
            </w:r>
          </w:p>
        </w:tc>
      </w:tr>
      <w:tr>
        <w:trPr/>
        <w:tc>
          <w:tcPr>
            <w:tcW w:w="4265" w:type="dxa"/>
            <w:tcBorders/>
            <w:shd w:fill="FFFFFF" w:val="clear"/>
            <w:vAlign w:val="center"/>
          </w:tcPr>
          <w:p>
            <w:pPr>
              <w:pStyle w:val="TableContents"/>
              <w:bidi w:val="0"/>
              <w:spacing w:before="0" w:after="283"/>
              <w:jc w:val="both"/>
              <w:rPr/>
            </w:pPr>
            <w:r>
              <w:rPr/>
              <w:t>Melt Pharmaceuticals – Secured Loan + PIK</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17,765,000</w:t>
            </w:r>
          </w:p>
        </w:tc>
        <w:tc>
          <w:tcPr>
            <w:tcW w:w="305" w:type="dxa"/>
            <w:tcBorders/>
            <w:shd w:fill="FFFFFF" w:val="clear"/>
            <w:vAlign w:val="center"/>
          </w:tcPr>
          <w:p>
            <w:pPr>
              <w:pStyle w:val="TableContents"/>
              <w:bidi w:val="0"/>
              <w:spacing w:before="0" w:after="283"/>
              <w:jc w:val="left"/>
              <w:rPr/>
            </w:pPr>
            <w:r>
              <w:rPr/>
              <w:t>(3)</w:t>
            </w:r>
          </w:p>
        </w:tc>
      </w:tr>
      <w:tr>
        <w:trPr/>
        <w:tc>
          <w:tcPr>
            <w:tcW w:w="4265" w:type="dxa"/>
            <w:tcBorders/>
            <w:shd w:fill="CCEEFF" w:val="clear"/>
            <w:vAlign w:val="center"/>
          </w:tcPr>
          <w:p>
            <w:pPr>
              <w:pStyle w:val="TableContents"/>
              <w:bidi w:val="0"/>
              <w:spacing w:before="0" w:after="283"/>
              <w:jc w:val="both"/>
              <w:rPr>
                <w:b/>
              </w:rPr>
            </w:pPr>
            <w:r>
              <w:rPr>
                <w:b/>
              </w:rPr>
              <w:t>Estimated Total Value</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71,530,000</w:t>
            </w:r>
          </w:p>
        </w:tc>
        <w:tc>
          <w:tcPr>
            <w:tcW w:w="30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$(4.50) of the Series A-1 Preferred Stock (the most recent equity offering) multiplied by the number of common shares owned by Harrow at September 30, 2023.</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$(8.50) of the Series B Preferred Stock (the most recent equity offering) multiplied by the number of common shares owned by Harrow at September 30, 2023.</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principal balance owed under the loan agreement, including interest paid in kind (or PIK). In accordance with ASC 323, Harrow’s presentation of this loan receivable on its consolidated balance sheet is presented at its carry value less reductions in the carrying value related to Harrow’s share of Melt equity losses.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9136</Words>
  <Characters>50377</Characters>
  <CharactersWithSpaces>60324</CharactersWithSpaces>
  <Paragraphs>3533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