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80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6"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-241935</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2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8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21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3"/>
            <w:vMerge w:val="restart"/>
          </w:tcPr>
          <w:p>
            <w:pPr>
              <w:ind w:left="38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80" w:type="dxa"/>
            <w:vAlign w:val="bottom"/>
            <w:vMerge w:val="restart"/>
          </w:tcPr>
          <w:p>
            <w:pPr>
              <w:jc w:val="center"/>
              <w:ind w:right="213"/>
              <w:spacing w:after="0" w:line="196"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8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65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820" w:type="dxa"/>
            <w:vAlign w:val="bottom"/>
            <w:vMerge w:val="restart"/>
          </w:tcPr>
          <w:p>
            <w:pPr>
              <w:jc w:val="right"/>
              <w:ind w:right="20"/>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7"/>
        </w:trPr>
        <w:tc>
          <w:tcPr>
            <w:tcW w:w="6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7"/>
        </w:trPr>
        <w:tc>
          <w:tcPr>
            <w:tcW w:w="658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5523230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4170680</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-1747520</wp:posOffset>
            </wp:positionH>
            <wp:positionV relativeFrom="paragraph">
              <wp:posOffset>20320</wp:posOffset>
            </wp:positionV>
            <wp:extent cx="7364730" cy="4855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64730" cy="48558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80"/>
            <w:col w:w="8920"/>
          </w:cols>
          <w:pgMar w:left="160" w:top="145" w:right="7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BAUM MARK L</w:t>
        </w:r>
      </w:hyperlink>
    </w:p>
    <w:p>
      <w:pPr>
        <w:spacing w:after="0" w:line="324" w:lineRule="exact"/>
        <w:rPr>
          <w:sz w:val="24"/>
          <w:szCs w:val="24"/>
          <w:color w:val="auto"/>
        </w:rPr>
      </w:pPr>
    </w:p>
    <w:p>
      <w:pPr>
        <w:ind w:left="120"/>
        <w:spacing w:after="0"/>
        <w:tabs>
          <w:tab w:leader="none" w:pos="1400" w:val="left"/>
          <w:tab w:leader="none" w:pos="26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HARROW HEALTH, INC.</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HARROW HEALTH,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HROW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11/22/2019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10" w:right="680" w:firstLine="10"/>
        <w:spacing w:after="0" w:line="255"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9" w:lineRule="exact"/>
        <w:rPr>
          <w:sz w:val="24"/>
          <w:szCs w:val="24"/>
          <w:color w:val="auto"/>
        </w:rPr>
      </w:pPr>
    </w:p>
    <w:tbl>
      <w:tblPr>
        <w:tblLayout w:type="fixed"/>
        <w:tblInd w:w="210" w:type="dxa"/>
        <w:tblCellMar>
          <w:top w:w="0" w:type="dxa"/>
          <w:left w:w="0" w:type="dxa"/>
          <w:bottom w:w="0" w:type="dxa"/>
          <w:right w:w="0" w:type="dxa"/>
        </w:tblCellMar>
      </w:tblPr>
      <w:tr>
        <w:trPr>
          <w:trHeight w:val="221"/>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44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4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4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30"/>
        <w:spacing w:after="0"/>
        <w:rPr>
          <w:sz w:val="20"/>
          <w:szCs w:val="20"/>
          <w:color w:val="auto"/>
        </w:rPr>
      </w:pPr>
      <w:r>
        <w:rPr>
          <w:rFonts w:ascii="Arial" w:cs="Arial" w:eastAsia="Arial" w:hAnsi="Arial"/>
          <w:sz w:val="17"/>
          <w:szCs w:val="17"/>
          <w:color w:val="0000FF"/>
        </w:rPr>
        <w:t>Chief Executive Officer</w:t>
      </w:r>
    </w:p>
    <w:p>
      <w:pPr>
        <w:spacing w:after="0" w:line="425" w:lineRule="exact"/>
        <w:rPr>
          <w:sz w:val="24"/>
          <w:szCs w:val="24"/>
          <w:color w:val="auto"/>
        </w:rPr>
      </w:pPr>
    </w:p>
    <w:p>
      <w:pPr>
        <w:sectPr>
          <w:pgSz w:w="11900" w:h="16838" w:orient="portrait"/>
          <w:cols w:equalWidth="0" w:num="3">
            <w:col w:w="3400" w:space="720"/>
            <w:col w:w="3310" w:space="720"/>
            <w:col w:w="3510"/>
          </w:cols>
          <w:pgMar w:left="160" w:top="145" w:right="79" w:bottom="1440" w:gutter="0" w:footer="0" w:header="0"/>
          <w:type w:val="continuous"/>
        </w:sectPr>
      </w:pPr>
    </w:p>
    <w:p>
      <w:pPr>
        <w:spacing w:after="0" w:line="21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NASHVILLE</w:t>
            </w:r>
          </w:p>
        </w:tc>
        <w:tc>
          <w:tcPr>
            <w:tcW w:w="1000" w:type="dxa"/>
            <w:vAlign w:val="bottom"/>
          </w:tcPr>
          <w:p>
            <w:pPr>
              <w:ind w:left="160"/>
              <w:spacing w:after="0"/>
              <w:rPr>
                <w:sz w:val="20"/>
                <w:szCs w:val="20"/>
                <w:color w:val="auto"/>
              </w:rPr>
            </w:pPr>
            <w:r>
              <w:rPr>
                <w:rFonts w:ascii="Arial" w:cs="Arial" w:eastAsia="Arial" w:hAnsi="Arial"/>
                <w:sz w:val="17"/>
                <w:szCs w:val="17"/>
                <w:color w:val="0000FF"/>
              </w:rPr>
              <w:t>TN</w:t>
            </w:r>
          </w:p>
        </w:tc>
        <w:tc>
          <w:tcPr>
            <w:tcW w:w="1700" w:type="dxa"/>
            <w:vAlign w:val="bottom"/>
          </w:tcPr>
          <w:p>
            <w:pPr>
              <w:ind w:left="440"/>
              <w:spacing w:after="0"/>
              <w:rPr>
                <w:sz w:val="20"/>
                <w:szCs w:val="20"/>
                <w:color w:val="auto"/>
              </w:rPr>
            </w:pPr>
            <w:r>
              <w:rPr>
                <w:rFonts w:ascii="Arial" w:cs="Arial" w:eastAsia="Arial" w:hAnsi="Arial"/>
                <w:sz w:val="17"/>
                <w:szCs w:val="17"/>
                <w:color w:val="0000FF"/>
              </w:rPr>
              <w:t>37205</w:t>
            </w:r>
          </w:p>
        </w:tc>
      </w:tr>
      <w:tr>
        <w:trPr>
          <w:trHeight w:val="156"/>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40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20"/>
        <w:spacing w:after="0"/>
        <w:rPr>
          <w:sz w:val="20"/>
          <w:szCs w:val="20"/>
          <w:color w:val="auto"/>
        </w:rPr>
      </w:pPr>
      <w:r>
        <w:rPr>
          <w:rFonts w:ascii="Arial" w:cs="Arial" w:eastAsia="Arial" w:hAnsi="Arial"/>
          <w:sz w:val="13"/>
          <w:szCs w:val="13"/>
          <w:color w:val="auto"/>
        </w:rPr>
        <w:t>Line)</w:t>
      </w:r>
    </w:p>
    <w:p>
      <w:pPr>
        <w:ind w:left="4240"/>
        <w:spacing w:after="0" w:line="235"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60" w:space="160"/>
            <w:col w:w="7540"/>
          </w:cols>
          <w:pgMar w:left="160" w:top="145" w:right="79" w:bottom="1440" w:gutter="0" w:footer="0" w:header="0"/>
          <w:type w:val="continuous"/>
        </w:sectPr>
      </w:pPr>
    </w:p>
    <w:p>
      <w:pPr>
        <w:jc w:val="center"/>
        <w:ind w:right="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10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0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Beneficially</w:t>
            </w:r>
          </w:p>
        </w:tc>
        <w:tc>
          <w:tcPr>
            <w:tcW w:w="52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20" w:type="dxa"/>
            <w:vAlign w:val="bottom"/>
            <w:gridSpan w:val="4"/>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2"/>
                <w:szCs w:val="22"/>
                <w:color w:val="auto"/>
              </w:rPr>
            </w:pPr>
          </w:p>
        </w:tc>
        <w:tc>
          <w:tcPr>
            <w:tcW w:w="1900" w:type="dxa"/>
            <w:vAlign w:val="bottom"/>
            <w:gridSpan w:val="2"/>
            <w:vMerge w:val="restart"/>
          </w:tcPr>
          <w:p>
            <w:pPr>
              <w:ind w:left="900"/>
              <w:spacing w:after="0"/>
              <w:rPr>
                <w:sz w:val="20"/>
                <w:szCs w:val="20"/>
                <w:color w:val="auto"/>
              </w:rPr>
            </w:pPr>
            <w:r>
              <w:rPr>
                <w:rFonts w:ascii="Arial" w:cs="Arial" w:eastAsia="Arial" w:hAnsi="Arial"/>
                <w:sz w:val="17"/>
                <w:szCs w:val="17"/>
                <w:color w:val="0000FF"/>
              </w:rPr>
              <w:t>11/22/2019</w:t>
            </w: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vMerge w:val="restart"/>
          </w:tcPr>
          <w:p>
            <w:pPr>
              <w:jc w:val="center"/>
              <w:ind w:right="258"/>
              <w:spacing w:after="0"/>
              <w:rPr>
                <w:sz w:val="20"/>
                <w:szCs w:val="20"/>
                <w:color w:val="auto"/>
              </w:rPr>
            </w:pPr>
            <w:r>
              <w:rPr>
                <w:rFonts w:ascii="Arial" w:cs="Arial" w:eastAsia="Arial" w:hAnsi="Arial"/>
                <w:sz w:val="13"/>
                <w:szCs w:val="13"/>
                <w:color w:val="0000FF"/>
                <w:w w:val="91"/>
              </w:rPr>
              <w:t>X</w:t>
            </w:r>
          </w:p>
        </w:tc>
        <w:tc>
          <w:tcPr>
            <w:tcW w:w="760" w:type="dxa"/>
            <w:vAlign w:val="bottom"/>
            <w:vMerge w:val="restart"/>
          </w:tcPr>
          <w:p>
            <w:pPr>
              <w:ind w:left="180"/>
              <w:spacing w:after="0"/>
              <w:rPr>
                <w:sz w:val="20"/>
                <w:szCs w:val="20"/>
                <w:color w:val="auto"/>
              </w:rPr>
            </w:pPr>
            <w:r>
              <w:rPr>
                <w:rFonts w:ascii="Arial" w:cs="Arial" w:eastAsia="Arial" w:hAnsi="Arial"/>
                <w:sz w:val="17"/>
                <w:szCs w:val="17"/>
                <w:color w:val="0000FF"/>
                <w:w w:val="91"/>
              </w:rPr>
              <w:t>156,000</w:t>
            </w:r>
          </w:p>
        </w:tc>
        <w:tc>
          <w:tcPr>
            <w:tcW w:w="640" w:type="dxa"/>
            <w:vAlign w:val="bottom"/>
            <w:vMerge w:val="restart"/>
          </w:tcPr>
          <w:p>
            <w:pPr>
              <w:ind w:left="340"/>
              <w:spacing w:after="0"/>
              <w:rPr>
                <w:sz w:val="20"/>
                <w:szCs w:val="20"/>
                <w:color w:val="auto"/>
              </w:rPr>
            </w:pPr>
            <w:r>
              <w:rPr>
                <w:rFonts w:ascii="Arial" w:cs="Arial" w:eastAsia="Arial" w:hAnsi="Arial"/>
                <w:sz w:val="17"/>
                <w:szCs w:val="17"/>
                <w:color w:val="0000FF"/>
              </w:rPr>
              <w:t>A</w:t>
            </w:r>
          </w:p>
        </w:tc>
        <w:tc>
          <w:tcPr>
            <w:tcW w:w="640" w:type="dxa"/>
            <w:vAlign w:val="bottom"/>
            <w:vMerge w:val="restart"/>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1.79</w:t>
            </w:r>
          </w:p>
        </w:tc>
        <w:tc>
          <w:tcPr>
            <w:tcW w:w="40" w:type="dxa"/>
            <w:vAlign w:val="bottom"/>
          </w:tcPr>
          <w:p>
            <w:pPr>
              <w:spacing w:after="0"/>
              <w:rPr>
                <w:sz w:val="22"/>
                <w:szCs w:val="22"/>
                <w:color w:val="auto"/>
              </w:rPr>
            </w:pPr>
          </w:p>
        </w:tc>
        <w:tc>
          <w:tcPr>
            <w:tcW w:w="1260" w:type="dxa"/>
            <w:vAlign w:val="bottom"/>
            <w:gridSpan w:val="2"/>
            <w:vMerge w:val="restart"/>
          </w:tcPr>
          <w:p>
            <w:pPr>
              <w:ind w:left="320"/>
              <w:spacing w:after="0"/>
              <w:rPr>
                <w:sz w:val="20"/>
                <w:szCs w:val="20"/>
                <w:color w:val="auto"/>
              </w:rPr>
            </w:pPr>
            <w:r>
              <w:rPr>
                <w:rFonts w:ascii="Arial" w:cs="Arial" w:eastAsia="Arial" w:hAnsi="Arial"/>
                <w:sz w:val="17"/>
                <w:szCs w:val="17"/>
                <w:color w:val="0000FF"/>
              </w:rPr>
              <w:t>598,126</w:t>
            </w:r>
          </w:p>
        </w:tc>
        <w:tc>
          <w:tcPr>
            <w:tcW w:w="360" w:type="dxa"/>
            <w:vAlign w:val="bottom"/>
          </w:tcPr>
          <w:p>
            <w:pPr>
              <w:spacing w:after="0"/>
              <w:rPr>
                <w:sz w:val="22"/>
                <w:szCs w:val="22"/>
                <w:color w:val="auto"/>
              </w:rPr>
            </w:pP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1020" w:type="dxa"/>
            <w:vAlign w:val="bottom"/>
            <w:gridSpan w:val="4"/>
          </w:tcPr>
          <w:p>
            <w:pPr>
              <w:ind w:left="10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20" w:type="dxa"/>
            <w:vAlign w:val="bottom"/>
            <w:gridSpan w:val="4"/>
            <w:vMerge w:val="restart"/>
          </w:tcPr>
          <w:p>
            <w:pPr>
              <w:ind w:left="10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20" w:type="dxa"/>
            <w:vAlign w:val="bottom"/>
            <w:tcBorders>
              <w:top w:val="single" w:sz="8" w:color="2C2C2C"/>
            </w:tcBorders>
          </w:tcPr>
          <w:p>
            <w:pPr>
              <w:spacing w:after="0"/>
              <w:rPr>
                <w:sz w:val="19"/>
                <w:szCs w:val="19"/>
                <w:color w:val="auto"/>
              </w:rPr>
            </w:pPr>
          </w:p>
        </w:tc>
        <w:tc>
          <w:tcPr>
            <w:tcW w:w="6560" w:type="dxa"/>
            <w:vAlign w:val="bottom"/>
            <w:tcBorders>
              <w:top w:val="single" w:sz="8" w:color="2C2C2C"/>
            </w:tcBorders>
            <w:gridSpan w:val="10"/>
          </w:tcPr>
          <w:p>
            <w:pPr>
              <w:jc w:val="center"/>
              <w:ind w:right="13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right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20" w:type="dxa"/>
            <w:vAlign w:val="bottom"/>
            <w:gridSpan w:val="9"/>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right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right w:val="single" w:sz="8" w:color="808080"/>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60" w:type="dxa"/>
            <w:vAlign w:val="bottom"/>
            <w:tcBorders>
              <w:right w:val="single" w:sz="8" w:color="808080"/>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808080"/>
            </w:tcBorders>
            <w:gridSpan w:val="3"/>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4"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60" w:type="dxa"/>
            <w:vAlign w:val="bottom"/>
            <w:tcBorders>
              <w:right w:val="single" w:sz="8" w:color="808080"/>
            </w:tcBorders>
            <w:gridSpan w:val="3"/>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808080"/>
            </w:tcBorders>
            <w:gridSpan w:val="3"/>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5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808080"/>
            </w:tcBorders>
            <w:gridSpan w:val="3"/>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80" w:type="dxa"/>
            <w:vAlign w:val="bottom"/>
            <w:gridSpan w:val="2"/>
            <w:vMerge w:val="restart"/>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Borders>
              <w:righ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808080"/>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1"/>
                <w:szCs w:val="11"/>
                <w:color w:val="auto"/>
              </w:rPr>
            </w:pPr>
          </w:p>
        </w:tc>
        <w:tc>
          <w:tcPr>
            <w:tcW w:w="5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right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2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right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right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Purchase</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1.79</w:t>
            </w:r>
          </w:p>
        </w:tc>
        <w:tc>
          <w:tcPr>
            <w:tcW w:w="1120" w:type="dxa"/>
            <w:vAlign w:val="bottom"/>
            <w:vMerge w:val="restart"/>
          </w:tcPr>
          <w:p>
            <w:pPr>
              <w:jc w:val="right"/>
              <w:ind w:right="178"/>
              <w:spacing w:after="0"/>
              <w:rPr>
                <w:sz w:val="20"/>
                <w:szCs w:val="20"/>
                <w:color w:val="auto"/>
              </w:rPr>
            </w:pPr>
            <w:r>
              <w:rPr>
                <w:rFonts w:ascii="Arial" w:cs="Arial" w:eastAsia="Arial" w:hAnsi="Arial"/>
                <w:sz w:val="13"/>
                <w:szCs w:val="13"/>
                <w:color w:val="0000FF"/>
              </w:rPr>
              <w:t>11/22/2019</w:t>
            </w:r>
          </w:p>
        </w:tc>
        <w:tc>
          <w:tcPr>
            <w:tcW w:w="1140" w:type="dxa"/>
            <w:vAlign w:val="bottom"/>
          </w:tcPr>
          <w:p>
            <w:pPr>
              <w:spacing w:after="0"/>
              <w:rPr>
                <w:sz w:val="16"/>
                <w:szCs w:val="16"/>
                <w:color w:val="auto"/>
              </w:rPr>
            </w:pPr>
          </w:p>
        </w:tc>
        <w:tc>
          <w:tcPr>
            <w:tcW w:w="760" w:type="dxa"/>
            <w:vAlign w:val="bottom"/>
            <w:vMerge w:val="restart"/>
          </w:tcPr>
          <w:p>
            <w:pPr>
              <w:ind w:left="160"/>
              <w:spacing w:after="0"/>
              <w:rPr>
                <w:sz w:val="20"/>
                <w:szCs w:val="20"/>
                <w:color w:val="auto"/>
              </w:rPr>
            </w:pPr>
            <w:r>
              <w:rPr>
                <w:rFonts w:ascii="Arial" w:cs="Arial" w:eastAsia="Arial" w:hAnsi="Arial"/>
                <w:sz w:val="13"/>
                <w:szCs w:val="13"/>
                <w:color w:val="0000FF"/>
              </w:rPr>
              <w:t>X</w:t>
            </w:r>
          </w:p>
        </w:tc>
        <w:tc>
          <w:tcPr>
            <w:tcW w:w="1020" w:type="dxa"/>
            <w:vAlign w:val="bottom"/>
            <w:vMerge w:val="restart"/>
          </w:tcPr>
          <w:p>
            <w:pPr>
              <w:ind w:left="460"/>
              <w:spacing w:after="0"/>
              <w:rPr>
                <w:sz w:val="20"/>
                <w:szCs w:val="20"/>
                <w:color w:val="auto"/>
              </w:rPr>
            </w:pPr>
            <w:r>
              <w:rPr>
                <w:rFonts w:ascii="Arial" w:cs="Arial" w:eastAsia="Arial" w:hAnsi="Arial"/>
                <w:sz w:val="13"/>
                <w:szCs w:val="13"/>
                <w:color w:val="0000FF"/>
              </w:rPr>
              <w:t>156,000</w:t>
            </w:r>
          </w:p>
        </w:tc>
        <w:tc>
          <w:tcPr>
            <w:tcW w:w="820" w:type="dxa"/>
            <w:vAlign w:val="bottom"/>
            <w:gridSpan w:val="2"/>
            <w:vMerge w:val="restart"/>
          </w:tcPr>
          <w:p>
            <w:pPr>
              <w:ind w:left="40"/>
              <w:spacing w:after="0"/>
              <w:rPr>
                <w:sz w:val="20"/>
                <w:szCs w:val="20"/>
                <w:color w:val="auto"/>
              </w:rPr>
            </w:pPr>
            <w:r>
              <w:rPr>
                <w:rFonts w:ascii="Arial" w:cs="Arial" w:eastAsia="Arial" w:hAnsi="Arial"/>
                <w:sz w:val="13"/>
                <w:szCs w:val="13"/>
                <w:color w:val="0000FF"/>
              </w:rPr>
              <w:t>06/23/2016</w:t>
            </w:r>
          </w:p>
        </w:tc>
        <w:tc>
          <w:tcPr>
            <w:tcW w:w="760" w:type="dxa"/>
            <w:vAlign w:val="bottom"/>
            <w:vMerge w:val="restart"/>
          </w:tcPr>
          <w:p>
            <w:pPr>
              <w:ind w:left="20"/>
              <w:spacing w:after="0"/>
              <w:rPr>
                <w:sz w:val="20"/>
                <w:szCs w:val="20"/>
                <w:color w:val="auto"/>
              </w:rPr>
            </w:pPr>
            <w:r>
              <w:rPr>
                <w:rFonts w:ascii="Arial" w:cs="Arial" w:eastAsia="Arial" w:hAnsi="Arial"/>
                <w:sz w:val="13"/>
                <w:szCs w:val="13"/>
                <w:color w:val="0000FF"/>
              </w:rPr>
              <w:t>12/23/2019</w:t>
            </w:r>
          </w:p>
        </w:tc>
        <w:tc>
          <w:tcPr>
            <w:tcW w:w="640" w:type="dxa"/>
            <w:vAlign w:val="bottom"/>
          </w:tcPr>
          <w:p>
            <w:pPr>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156,000</w:t>
            </w:r>
          </w:p>
        </w:tc>
        <w:tc>
          <w:tcPr>
            <w:tcW w:w="40" w:type="dxa"/>
            <w:vAlign w:val="bottom"/>
          </w:tcPr>
          <w:p>
            <w:pPr>
              <w:spacing w:after="0"/>
              <w:rPr>
                <w:sz w:val="16"/>
                <w:szCs w:val="16"/>
                <w:color w:val="auto"/>
              </w:rPr>
            </w:pPr>
          </w:p>
        </w:tc>
        <w:tc>
          <w:tcPr>
            <w:tcW w:w="74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520" w:type="dxa"/>
            <w:vAlign w:val="bottom"/>
            <w:vMerge w:val="restart"/>
          </w:tcPr>
          <w:p>
            <w:pPr>
              <w:ind w:left="40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16"/>
                <w:szCs w:val="16"/>
                <w:color w:val="auto"/>
              </w:rPr>
            </w:pPr>
          </w:p>
        </w:tc>
        <w:tc>
          <w:tcPr>
            <w:tcW w:w="54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right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ind w:left="60"/>
              <w:spacing w:after="0" w:line="67" w:lineRule="exact"/>
              <w:rPr>
                <w:sz w:val="20"/>
                <w:szCs w:val="20"/>
                <w:color w:val="auto"/>
              </w:rPr>
            </w:pPr>
            <w:r>
              <w:rPr>
                <w:rFonts w:ascii="Arial" w:cs="Arial" w:eastAsia="Arial" w:hAnsi="Arial"/>
                <w:sz w:val="6"/>
                <w:szCs w:val="6"/>
                <w:color w:val="0000FF"/>
              </w:rPr>
              <w:t>Warrant</w:t>
            </w:r>
            <w:r>
              <w:rPr>
                <w:rFonts w:ascii="Arial" w:cs="Arial" w:eastAsia="Arial" w:hAnsi="Arial"/>
                <w:sz w:val="7"/>
                <w:szCs w:val="7"/>
                <w:color w:val="008000"/>
                <w:vertAlign w:val="superscript"/>
              </w:rPr>
              <w:t>(2)</w:t>
            </w:r>
          </w:p>
        </w:tc>
        <w:tc>
          <w:tcPr>
            <w:tcW w:w="80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40" w:type="dxa"/>
            <w:vAlign w:val="bottom"/>
          </w:tcPr>
          <w:p>
            <w:pPr>
              <w:ind w:left="100"/>
              <w:spacing w:after="0" w:line="67" w:lineRule="exact"/>
              <w:rPr>
                <w:sz w:val="20"/>
                <w:szCs w:val="20"/>
                <w:color w:val="auto"/>
              </w:rPr>
            </w:pPr>
            <w:r>
              <w:rPr>
                <w:rFonts w:ascii="Arial" w:cs="Arial" w:eastAsia="Arial" w:hAnsi="Arial"/>
                <w:sz w:val="7"/>
                <w:szCs w:val="7"/>
                <w:color w:val="0000FF"/>
              </w:rPr>
              <w:t>Stock</w:t>
            </w: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Borders>
              <w:righ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2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1020" w:type="dxa"/>
            <w:vAlign w:val="bottom"/>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520" w:type="dxa"/>
            <w:vAlign w:val="bottom"/>
            <w:vMerge w:val="continue"/>
          </w:tcPr>
          <w:p>
            <w:pPr>
              <w:spacing w:after="0"/>
              <w:rPr>
                <w:sz w:val="3"/>
                <w:szCs w:val="3"/>
                <w:color w:val="auto"/>
              </w:rPr>
            </w:pPr>
          </w:p>
        </w:tc>
        <w:tc>
          <w:tcPr>
            <w:tcW w:w="360" w:type="dxa"/>
            <w:vAlign w:val="bottom"/>
          </w:tcPr>
          <w:p>
            <w:pPr>
              <w:spacing w:after="0"/>
              <w:rPr>
                <w:sz w:val="3"/>
                <w:szCs w:val="3"/>
                <w:color w:val="auto"/>
              </w:rPr>
            </w:pPr>
          </w:p>
        </w:tc>
        <w:tc>
          <w:tcPr>
            <w:tcW w:w="54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right w:val="single" w:sz="8" w:color="808080"/>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1"/>
        </w:trPr>
        <w:tc>
          <w:tcPr>
            <w:tcW w:w="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right w:val="single" w:sz="8" w:color="808080"/>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7390765</wp:posOffset>
            </wp:positionH>
            <wp:positionV relativeFrom="paragraph">
              <wp:posOffset>-1764030</wp:posOffset>
            </wp:positionV>
            <wp:extent cx="13335" cy="1777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35" cy="1777365"/>
                    </a:xfrm>
                    <a:prstGeom prst="rect">
                      <a:avLst/>
                    </a:prstGeom>
                    <a:noFill/>
                  </pic:spPr>
                </pic:pic>
              </a:graphicData>
            </a:graphic>
          </wp:anchor>
        </w:drawing>
      </w:r>
    </w:p>
    <w:p>
      <w:pPr>
        <w:spacing w:after="0" w:line="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50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Total number of shares beneficially held by the Four Tree Trust dated June 3, 2019 (the "Four Tree Trust"), a trust through which Mr. Baum has voting and investment control over the securities. Mr. Baum, individually, and the Beadore Trust dated March 20, 2015 (the "Beadore Trust") assigned 442,126 shares of the Company's common stock to the Four Tree Trust.</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22, 2019, the Beadore Trust assigned the Purchase Warrants to the Four Tree Trust.</w:t>
      </w:r>
    </w:p>
    <w:p>
      <w:pPr>
        <w:spacing w:after="0" w:line="68" w:lineRule="exact"/>
        <w:rPr>
          <w:sz w:val="24"/>
          <w:szCs w:val="24"/>
          <w:color w:val="auto"/>
        </w:rPr>
      </w:pPr>
    </w:p>
    <w:tbl>
      <w:tblPr>
        <w:tblLayout w:type="fixed"/>
        <w:tblInd w:w="6940" w:type="dxa"/>
        <w:tblCellMar>
          <w:top w:w="0" w:type="dxa"/>
          <w:left w:w="0" w:type="dxa"/>
          <w:bottom w:w="0" w:type="dxa"/>
          <w:right w:w="0" w:type="dxa"/>
        </w:tblCellMar>
      </w:tblPr>
      <w:tr>
        <w:trPr>
          <w:trHeight w:val="195"/>
        </w:trPr>
        <w:tc>
          <w:tcPr>
            <w:tcW w:w="2320" w:type="dxa"/>
            <w:vAlign w:val="bottom"/>
            <w:gridSpan w:val="2"/>
          </w:tcPr>
          <w:p>
            <w:pPr>
              <w:spacing w:after="0"/>
              <w:rPr>
                <w:sz w:val="20"/>
                <w:szCs w:val="20"/>
                <w:color w:val="auto"/>
              </w:rPr>
            </w:pPr>
            <w:r>
              <w:rPr>
                <w:rFonts w:ascii="Arial" w:cs="Arial" w:eastAsia="Arial" w:hAnsi="Arial"/>
                <w:sz w:val="17"/>
                <w:szCs w:val="17"/>
                <w:color w:val="0000FF"/>
              </w:rPr>
              <w:t>/s/ Mark L. Baum</w:t>
            </w:r>
          </w:p>
        </w:tc>
        <w:tc>
          <w:tcPr>
            <w:tcW w:w="780" w:type="dxa"/>
            <w:vAlign w:val="bottom"/>
          </w:tcPr>
          <w:p>
            <w:pPr>
              <w:spacing w:after="0"/>
              <w:rPr>
                <w:sz w:val="20"/>
                <w:szCs w:val="20"/>
                <w:color w:val="auto"/>
              </w:rPr>
            </w:pPr>
            <w:r>
              <w:rPr>
                <w:rFonts w:ascii="Arial" w:cs="Arial" w:eastAsia="Arial" w:hAnsi="Arial"/>
                <w:sz w:val="17"/>
                <w:szCs w:val="17"/>
                <w:color w:val="0000FF"/>
                <w:w w:val="89"/>
              </w:rPr>
              <w:t>11/25/2019</w:t>
            </w:r>
          </w:p>
        </w:tc>
      </w:tr>
      <w:tr>
        <w:trPr>
          <w:trHeight w:val="20"/>
        </w:trPr>
        <w:tc>
          <w:tcPr>
            <w:tcW w:w="12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3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88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660"/>
      </w:cols>
      <w:pgMar w:left="160" w:top="145" w:right="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file:///cgi-bin/browse-edgar?action=getcompany&amp;CIK=0001274282" TargetMode="External"/><Relationship Id="rId13" Type="http://schemas.openxmlformats.org/officeDocument/2006/relationships/hyperlink" Target="file:///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2019-11-26T09:54:23Z</dcterms:created>
  <dcterms:modified xsi:type="dcterms:W3CDTF">2019-11-26T09:54:23Z</dcterms:modified>
</cp:coreProperties>
</file>